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9FE75">
      <w:pPr>
        <w:rPr>
          <w:rFonts w:hint="eastAsia"/>
        </w:rPr>
      </w:pPr>
      <w:r>
        <w:rPr>
          <w:rFonts w:hint="eastAsia"/>
        </w:rPr>
        <w:t>**DeepSeek: Redefining the Frontier of Open-Source AI**</w:t>
      </w:r>
    </w:p>
    <w:p w14:paraId="6DA1CD1C">
      <w:pPr>
        <w:rPr>
          <w:rFonts w:hint="eastAsia"/>
        </w:rPr>
      </w:pPr>
    </w:p>
    <w:p w14:paraId="2E50163B">
      <w:pPr>
        <w:rPr>
          <w:rFonts w:hint="eastAsia"/>
        </w:rPr>
      </w:pPr>
      <w:r>
        <w:rPr>
          <w:rFonts w:hint="eastAsia"/>
        </w:rPr>
        <w:t>DeepSeek is a Chinese artificial intelligence company at the forefront of AI innovation, specializing in natural language processing (NLP) and large language models (LLMs). Officially known as DeepSeek Artificial Intelligence Fundamental Technology Research Co., Ltd, the firm was founded in July 2023 in Hangzhou, China, by Liang Wenfeng — a graduate of Zhejiang University and co-founder of the quantitative hedge fund High-Flyer. With a mission to democratize AI by making powerful tools accessible to a wide range of developers and organizations, DeepSeek has rapidly emerged as a formidable challenger to established industry giants.</w:t>
      </w:r>
    </w:p>
    <w:p w14:paraId="4C47D406">
      <w:pPr>
        <w:rPr>
          <w:rFonts w:hint="eastAsia"/>
        </w:rPr>
      </w:pPr>
    </w:p>
    <w:p w14:paraId="2ACE8B1D">
      <w:pPr>
        <w:rPr>
          <w:rFonts w:hint="eastAsia"/>
        </w:rPr>
      </w:pPr>
      <w:r>
        <w:rPr>
          <w:rFonts w:hint="eastAsia"/>
        </w:rPr>
        <w:t>**Breakthrough Models and Technical Innovation**</w:t>
      </w:r>
    </w:p>
    <w:p w14:paraId="7C457FC7">
      <w:pPr>
        <w:rPr>
          <w:rFonts w:hint="eastAsia"/>
        </w:rPr>
      </w:pPr>
    </w:p>
    <w:p w14:paraId="77FA78B7">
      <w:pPr>
        <w:rPr>
          <w:rFonts w:hint="eastAsia"/>
        </w:rPr>
      </w:pPr>
      <w:r>
        <w:rPr>
          <w:rFonts w:hint="eastAsia"/>
        </w:rPr>
        <w:t>DeepSeek's journey began with the release of its first LLM in January 2024, followed by multiple rounds of iteration. In December 2024, the company launched DeepSeek-V3, a Mixture-of-Experts (MoE) model featuring 671 billion total parameters with 37 billion activated per token, trained on 14.8 trillion high-quality tokens. This model outperformed other open-source LLMs and rivaled closed-source models such as GPT-4o and Claude-3.5-Sonnet. In January 2025, DeepSeek-R1 was released, achieving a major technological breakthrough by using reinforcement learning as a core training method to spontaneously emerge reasoning capabilities. The model demonstrated performance comparable to OpenAI's o1 in mathematics, coding, and natural language reasoning tasks.</w:t>
      </w:r>
    </w:p>
    <w:p w14:paraId="02C3D5A4">
      <w:pPr>
        <w:rPr>
          <w:rFonts w:hint="eastAsia"/>
        </w:rPr>
      </w:pPr>
    </w:p>
    <w:p w14:paraId="1D0F0094">
      <w:pPr>
        <w:rPr>
          <w:rFonts w:hint="eastAsia"/>
        </w:rPr>
      </w:pPr>
      <w:r>
        <w:rPr>
          <w:rFonts w:hint="eastAsia"/>
        </w:rPr>
        <w:t>**The V4 Era: Million-Token Context**</w:t>
      </w:r>
    </w:p>
    <w:p w14:paraId="4D915D24">
      <w:pPr>
        <w:rPr>
          <w:rFonts w:hint="eastAsia"/>
        </w:rPr>
      </w:pPr>
    </w:p>
    <w:p w14:paraId="60338B3E">
      <w:pPr>
        <w:rPr>
          <w:rFonts w:hint="eastAsia"/>
        </w:rPr>
      </w:pPr>
      <w:r>
        <w:rPr>
          <w:rFonts w:hint="eastAsia"/>
        </w:rPr>
        <w:t>In April 2026, DeepSeek unveiled its next-generation V4 series. The V4-Pro model features 1.6 trillion total parameters (49 billion active), making it the largest open-weight model available. Both V4-Pro and the efficient V4-Flash version support a 1-million-token context window as standard, enabling the processing of entire book-length texts in a single pass. The models introduce a novel attention mechanism with token-wise compression and DeepSeek Sparse Attention, achieving world-leading long-context capabilities while drastically reducing compute and memory costs.</w:t>
      </w:r>
    </w:p>
    <w:p w14:paraId="368F532E">
      <w:pPr>
        <w:rPr>
          <w:rFonts w:hint="eastAsia"/>
        </w:rPr>
      </w:pPr>
    </w:p>
    <w:p w14:paraId="1F0BBDA0">
      <w:pPr>
        <w:rPr>
          <w:rFonts w:hint="eastAsia"/>
        </w:rPr>
      </w:pPr>
      <w:r>
        <w:rPr>
          <w:rFonts w:hint="eastAsia"/>
        </w:rPr>
        <w:t>**Cost Efficiency and Industry Impact**</w:t>
      </w:r>
    </w:p>
    <w:p w14:paraId="77ED933B">
      <w:pPr>
        <w:rPr>
          <w:rFonts w:hint="eastAsia"/>
        </w:rPr>
      </w:pPr>
    </w:p>
    <w:p w14:paraId="17E2DE09">
      <w:r>
        <w:rPr>
          <w:rFonts w:hint="eastAsia"/>
        </w:rPr>
        <w:t>Perhaps most remarkably, DeepSeek has achieved these breakthroughs at a fraction of the cost of its competitors. DeepSeek-V3 was trained for approximately $5.57 million — a stark contrast to the hundreds of millions or billions that US companies typically invest. OpenAI co-founder Andrej Karpathy described it as "a frontier-grade LLM trained on a joke of a budget". With a free-to-use web and mobile chatbot and open-source availability, DeepSeek has fundamentally challenged the economics of the generative AI ecosystem. Committed to transparency, fairness, and ethical AI practices, DeepSeek continues to push toward its ultimate goal of artificial general intelligence, reshaping the global AI landscape.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A7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2026-09-15T02:34:58Z</dcterms:created>
  <dc:creator>kelin li</dc:creator>
  <cp:lastModifiedBy>吃鸡这辈子都是不可能的（科）</cp:lastModifiedBy>
  <dcterms:modified xsi:type="dcterms:W3CDTF">2026-09-15T02:35:03Z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eyJoZGlkIjoiODQ5ZGE2ZTdkYTUzZjc5NjNjOTFlOTIxNWVlY2I2NmMiLCJ1c2VySWQiOiI2NDQ1NTQ5OTAifQ==</vt:lpwstr>
  </property>
  <property fmtid="{D5CDD505-2E9C-101B-9397-08002B2CF9AE}" pid="4" name="ICV">
    <vt:lpwstr>08D6BC76DEE6496C86C2434F81394D11_12</vt:lpwstr>
  </property>
</Properties>
</file>