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56"/>
        </w:rPr>
        <w:t>THE WORLD'S BOND MARKETS</w:t>
      </w:r>
    </w:p>
    <w:p>
      <w:pPr>
        <w:jc w:val="center"/>
      </w:pPr>
      <w:r>
        <w:rPr>
          <w:sz w:val="26"/>
        </w:rPr>
        <w:t>Who Runs Them, How They Trade, and Where · A LIKE® Magazine Reference</w:t>
      </w:r>
    </w:p>
    <w:p>
      <w:pPr>
        <w:jc w:val="center"/>
      </w:pPr>
      <w:r>
        <w:rPr>
          <w:sz w:val="22"/>
        </w:rPr>
        <w:t>Verified October 2026.</w:t>
        <w:br/>
        <w:br/>
        <w:t>October 2026</w:t>
      </w:r>
    </w:p>
    <w:p>
      <w:r>
        <w:br w:type="page"/>
      </w:r>
    </w:p>
    <w:p>
      <w:pPr>
        <w:pStyle w:val="Heading1"/>
      </w:pPr>
      <w:r>
        <w:rPr>
          <w:sz w:val="32"/>
        </w:rPr>
        <w:t>WHAT THIS LIST IS</w:t>
      </w:r>
    </w:p>
    <w:p>
      <w:pPr>
        <w:spacing w:after="80"/>
      </w:pPr>
      <w:r>
        <w:rPr>
          <w:sz w:val="21"/>
        </w:rPr>
        <w:t>A bond is an IOU: governments and companies borrow from investors and pay back with interest. The venues where those IOUs are issued, listed, and traded — from the U.S. Treasury market, the deepest pool of money on earth, to a retail bond board in Warsaw — are the bond markets. They set the price of borrowing for every mortgage, corporate loan, and national deficit. That is why they command the respect James Carville once gave them: "I used to think that if there was reincarnation, I wanted to come back as the president or the pope or as a .400 baseball hitter. But now I would like to come back as the bond market. You can intimidate everybody."</w:t>
      </w:r>
    </w:p>
    <w:p>
      <w:pPr>
        <w:spacing w:after="80"/>
      </w:pPr>
      <w:r>
        <w:rPr>
          <w:sz w:val="21"/>
        </w:rPr>
        <w:t>This list covers 59 significant bond markets and fixed-income trading venues across North America, Europe, Asia-Pacific, the Middle East, Latin America, and Africa — sovereign and corporate bond markets plus the major electronic trading platforms, grouped by region. Every entry gives the venue's official trading-segment names, the operator and its leadership (full C-suite where published), how leaders are selected, how trading works and who may trade, what is traded with scale figures where published, official contact details, and the operator's annual-report cadence. "UNVERIFIED" marks what could not be confirmed — never guessed.</w:t>
      </w:r>
    </w:p>
    <w:p>
      <w:pPr>
        <w:spacing w:after="80"/>
      </w:pPr>
      <w:r>
        <w:rPr>
          <w:sz w:val="21"/>
        </w:rPr>
        <w:t>---</w:t>
      </w:r>
    </w:p>
    <w:p>
      <w:r>
        <w:br w:type="page"/>
      </w:r>
    </w:p>
    <w:p>
      <w:pPr>
        <w:pStyle w:val="Heading1"/>
      </w:pPr>
      <w:r>
        <w:rPr>
          <w:sz w:val="36"/>
        </w:rPr>
        <w:t>NORTH AMERICA</w:t>
      </w:r>
    </w:p>
    <w:p>
      <w:pPr>
        <w:pStyle w:val="Heading2"/>
      </w:pPr>
      <w:r>
        <w:rPr>
          <w:sz w:val="24"/>
        </w:rPr>
        <w:t>1. BROKERTEC — U.S. TREASURY INTERDEALER MARKET (CME GROUP)</w:t>
      </w:r>
    </w:p>
    <w:p>
      <w:pPr>
        <w:spacing w:after="120"/>
      </w:pPr>
      <w:r>
        <w:rPr>
          <w:i/>
          <w:sz w:val="20"/>
        </w:rPr>
        <w:t>United States — New York, New York (BrokerTec Americas LLC is headquartered in New York; the new BrokerTec Chicago CLOB aligns cash trading with the Chicago futures market).</w:t>
      </w:r>
    </w:p>
    <w:p>
      <w:pPr>
        <w:spacing w:after="80"/>
      </w:pPr>
      <w:r>
        <w:rPr>
          <w:b/>
          <w:sz w:val="21"/>
        </w:rPr>
        <w:t xml:space="preserve">Trading as: </w:t>
      </w:r>
      <w:r>
        <w:rPr>
          <w:sz w:val="21"/>
        </w:rPr>
        <w:t>BrokerTec — the dealer-to-dealer (interdealer) central limit order book (CLOB) for on-the-run benchmark U.S. Treasuries, plus U.S. and EU repo (BrokerTec Stream, BrokerTec Chicago CLOB). Also trades via CME Globex.</w:t>
      </w:r>
    </w:p>
    <w:p>
      <w:pPr>
        <w:spacing w:after="80"/>
      </w:pPr>
      <w:r>
        <w:rPr>
          <w:b/>
          <w:sz w:val="21"/>
        </w:rPr>
        <w:t xml:space="preserve">Operator: </w:t>
      </w:r>
      <w:r>
        <w:rPr>
          <w:sz w:val="21"/>
        </w:rPr>
        <w:t>BrokerTec Americas LLC, an indirect wholly owned subsidiary of CME Group Inc. (registered broker-dealer with the SEC and member of FINRA).</w:t>
      </w:r>
    </w:p>
    <w:p>
      <w:pPr>
        <w:spacing w:after="80"/>
      </w:pPr>
      <w:r>
        <w:rPr>
          <w:b/>
          <w:sz w:val="21"/>
        </w:rPr>
        <w:t xml:space="preserve">Leadership: </w:t>
      </w:r>
      <w:r>
        <w:rPr>
          <w:sz w:val="21"/>
        </w:rPr>
        <w:t>Terrence A. (Terry) Duffy — Chairman and Chief Executive Officer, CME Group. Lynne Fitzpatrick — President and Chief Financial Officer (becomes CEO in March 2027, when Duffy becomes Executive Chairman). Mike Dennis — Global Head of Fixed Income, CME Group. Matt Gierke — Global Head of BrokerTec.</w:t>
      </w:r>
    </w:p>
    <w:p>
      <w:pPr>
        <w:spacing w:after="80"/>
      </w:pPr>
      <w:r>
        <w:rPr>
          <w:b/>
          <w:sz w:val="21"/>
        </w:rPr>
        <w:t xml:space="preserve">Hierarchy &amp; selection: </w:t>
      </w:r>
      <w:r>
        <w:rPr>
          <w:sz w:val="21"/>
        </w:rPr>
        <w:t>Public company (Nasdaq: CME). Board of Directors elected by shareholders; annual meeting typically held in May in Chicago; CEO appointed by the board. In June 2026 CME announced a CEO succession: Terry Duffy steps down as CEO March 2027 (becoming Executive Chairman), Lynne Fitzpatrick becomes CEO. Selection process details beyond the announcement: UNVERIFIED in sources checked.</w:t>
      </w:r>
    </w:p>
    <w:p>
      <w:pPr>
        <w:spacing w:after="80"/>
      </w:pPr>
      <w:r>
        <w:rPr>
          <w:b/>
          <w:sz w:val="21"/>
        </w:rPr>
        <w:t xml:space="preserve">How it works: </w:t>
      </w:r>
      <w:r>
        <w:rPr>
          <w:sz w:val="21"/>
        </w:rPr>
        <w:t>Electronic interdealer CLOB (anonymous matching) plus RFQ and streaming protocols, via CME Globex and the BrokerTec API. Institutional/dealer access only (120+ dealer customers trade daily). Trades settle delivery-versus-payment / receipt-versus-payment; BrokerTec holds FICC membership and self-clears U.S. Treasury transactions. Cash leg settlement through FICC; the SEC's December 2023 clearing mandate requires eligible cash Treasury transactions to be centrally cleared from December 31, 2026 (repo from June 30, 2027).</w:t>
      </w:r>
    </w:p>
    <w:p>
      <w:pPr>
        <w:spacing w:after="80"/>
      </w:pPr>
      <w:r>
        <w:rPr>
          <w:b/>
          <w:sz w:val="21"/>
        </w:rPr>
        <w:t xml:space="preserve">What it trades: </w:t>
      </w:r>
      <w:r>
        <w:rPr>
          <w:sz w:val="21"/>
        </w:rPr>
        <w:t>Benchmark on-the-run cash U.S. Treasuries and U.S./EU repo. Approximately $700 billion notional in fixed income products traded daily across BrokerTec platforms; Q1 set an all-time single-day average daily notional volume record of $1.05 trillion across the D2D CLOB, D2C RFQ and streaming platforms. New BrokerTec Chicago CLOB (launched October 6) trades all seven on-the-run benchmark Treasuries in smaller notional sizes with tighter increments, aligned to the futures market; "Treasury Link" spread trading between CBOT futures and BrokerTec cash expected Q4 2026 (pending regulatory review).</w:t>
      </w:r>
    </w:p>
    <w:p>
      <w:pPr>
        <w:spacing w:after="80"/>
      </w:pPr>
      <w:r>
        <w:rPr>
          <w:b/>
          <w:sz w:val="21"/>
        </w:rPr>
        <w:t xml:space="preserve">Oversight: </w:t>
      </w:r>
      <w:r>
        <w:rPr>
          <w:sz w:val="21"/>
        </w:rPr>
        <w:t>SEC (cash securities), FINRA (broker-dealer reporting), Federal Reserve (primary-dealer supervision; Treasury market structure oversight shared with Treasury/SEC). CME Group exchanges are CFTC-regulated.</w:t>
      </w:r>
    </w:p>
    <w:p>
      <w:pPr>
        <w:spacing w:after="80"/>
      </w:pPr>
      <w:r>
        <w:rPr>
          <w:b/>
          <w:sz w:val="21"/>
        </w:rPr>
        <w:t xml:space="preserve">Website: </w:t>
      </w:r>
      <w:r>
        <w:rPr>
          <w:sz w:val="21"/>
        </w:rPr>
        <w:t>https://www.cmegroup.com/markets/brokertec.html (parent: https://www.cmegroup.com)</w:t>
      </w:r>
    </w:p>
    <w:p>
      <w:pPr>
        <w:spacing w:after="80"/>
      </w:pPr>
      <w:r>
        <w:rPr>
          <w:b/>
          <w:sz w:val="21"/>
        </w:rPr>
        <w:t xml:space="preserve">Contact: </w:t>
      </w:r>
      <w:r>
        <w:rPr>
          <w:sz w:val="21"/>
        </w:rPr>
        <w:t>HQ — 20 South Wacker Drive, Chicago, IL 60606; main phone +1 312 930 1000. Investor Relations: +1 312 466 7459, investors@cmegroup.com; Shareholder Relations: +1 312 930 3484, shareholder.relations@cmegroup.com. General/media email for BrokerTec: UNVERIFIED (not published on sources checked).</w:t>
      </w:r>
    </w:p>
    <w:p>
      <w:pPr>
        <w:spacing w:after="80"/>
      </w:pPr>
      <w:r>
        <w:rPr>
          <w:b/>
          <w:sz w:val="21"/>
        </w:rPr>
        <w:t xml:space="preserve">Annual reports: </w:t>
      </w:r>
      <w:r>
        <w:rPr>
          <w:sz w:val="21"/>
        </w:rPr>
        <w:t>Fiscal year ends December. Annual Report on Form 10-K and proxy statement published via Investor Relations on cmegroup.com (proxy typically filed with the SEC mid-March; annual meeting typically in May). Quarterly earnings releases and calls published on the same IR site.</w:t>
      </w:r>
    </w:p>
    <w:p>
      <w:pPr>
        <w:spacing w:after="240"/>
      </w:pPr>
      <w:r>
        <w:rPr>
          <w:i/>
          <w:sz w:val="16"/>
        </w:rPr>
        <w:t>CME Group BrokerTec product page (cmegroup.com); BrokerTec Americas LLC audited statement of financial condition, June 30, 2026 (states SEC broker-dealer registration, FINRA membership, FICC membership, DVP/RVP settlement); CME Group press release, Sept 4, 2025 — "Leading Financial Institutions to Join BrokerTec Chicago"; CME Group management-team page; finance press coverage of March 2027 succession (FinanceFeeds, Pulse2, Sept 2026). ---</w:t>
      </w:r>
    </w:p>
    <w:p>
      <w:pPr>
        <w:pStyle w:val="Heading2"/>
      </w:pPr>
      <w:r>
        <w:rPr>
          <w:sz w:val="24"/>
        </w:rPr>
        <w:t>2. CME GROUP TREASURY FUTURES &amp; OPTIONS (CBOT INTEREST-RATE COMPLEX)</w:t>
      </w:r>
    </w:p>
    <w:p>
      <w:pPr>
        <w:spacing w:after="120"/>
      </w:pPr>
      <w:r>
        <w:rPr>
          <w:i/>
          <w:sz w:val="20"/>
        </w:rPr>
        <w:t>United States — Chicago, Illinois.</w:t>
      </w:r>
    </w:p>
    <w:p>
      <w:pPr>
        <w:spacing w:after="80"/>
      </w:pPr>
      <w:r>
        <w:rPr>
          <w:b/>
          <w:sz w:val="21"/>
        </w:rPr>
        <w:t xml:space="preserve">Trading as: </w:t>
      </w:r>
      <w:r>
        <w:rPr>
          <w:sz w:val="21"/>
        </w:rPr>
        <w:t>U.S. Treasury futures and options listed on the Chicago Board of Trade (CBOT), traded on CME Globex (electronic CLOB) and cleared by CME Clearing.</w:t>
      </w:r>
    </w:p>
    <w:p>
      <w:pPr>
        <w:spacing w:after="80"/>
      </w:pPr>
      <w:r>
        <w:rPr>
          <w:b/>
          <w:sz w:val="21"/>
        </w:rPr>
        <w:t xml:space="preserve">Operator: </w:t>
      </w:r>
      <w:r>
        <w:rPr>
          <w:sz w:val="21"/>
        </w:rPr>
        <w:t>CME Group Inc. (CBOT is a designated contract market of CME Group).</w:t>
      </w:r>
    </w:p>
    <w:p>
      <w:pPr>
        <w:spacing w:after="80"/>
      </w:pPr>
      <w:r>
        <w:rPr>
          <w:b/>
          <w:sz w:val="21"/>
        </w:rPr>
        <w:t xml:space="preserve">C-suite: </w:t>
      </w:r>
      <w:r>
        <w:rPr>
          <w:sz w:val="21"/>
        </w:rPr>
        <w:t>As per BrokerTec entry (same operator). Chief Regulatory Officer / Chief Compliance Officer for the futures exchanges: UNVERIFIED in sources checked.</w:t>
      </w:r>
    </w:p>
    <w:p>
      <w:pPr>
        <w:spacing w:after="80"/>
      </w:pPr>
      <w:r>
        <w:rPr>
          <w:b/>
          <w:sz w:val="21"/>
        </w:rPr>
        <w:t xml:space="preserve">Hierarchy &amp; selection: </w:t>
      </w:r>
      <w:r>
        <w:rPr>
          <w:sz w:val="21"/>
        </w:rPr>
        <w:t>Public company; board elected by shareholders; designated contract markets regulated by the Commodity Futures Trading Commission (CFTC). CEO succession announced for March 2027 (Duffy → Executive Chairman; Fitzpatrick → CEO).</w:t>
      </w:r>
    </w:p>
    <w:p>
      <w:pPr>
        <w:spacing w:after="80"/>
      </w:pPr>
      <w:r>
        <w:rPr>
          <w:b/>
          <w:sz w:val="21"/>
        </w:rPr>
        <w:t xml:space="preserve">How it works: </w:t>
      </w:r>
      <w:r>
        <w:rPr>
          <w:sz w:val="21"/>
        </w:rPr>
        <w:t>Electronic CLOB on CME Globex with equal access; relationship-based bilateral trading via CME ClearPort; block trades, EFPs (cash-futures) and EFRs (swaps-futures). Cleared and settled by CME Clearing (central counterparty), with margining. Institutional, dealer, hedge fund, proprietary-trading and (via intermediaries) retail access.</w:t>
      </w:r>
    </w:p>
    <w:p>
      <w:pPr>
        <w:spacing w:after="80"/>
      </w:pPr>
      <w:r>
        <w:rPr>
          <w:b/>
          <w:sz w:val="21"/>
        </w:rPr>
        <w:t xml:space="preserve">What it trades: </w:t>
      </w:r>
      <w:r>
        <w:rPr>
          <w:sz w:val="21"/>
        </w:rPr>
        <w:t>Treasury futures and options across the curve (2-, 5-, 10-year notes, T-bond, ultra T-bond). All-time average daily volume record of 8.8 million contracts in 2025. CME cites ~$27 billion in capital efficiencies across cash, futures and swaps portfolios.</w:t>
      </w:r>
    </w:p>
    <w:p>
      <w:pPr>
        <w:spacing w:after="80"/>
      </w:pPr>
      <w:r>
        <w:rPr>
          <w:b/>
          <w:sz w:val="21"/>
        </w:rPr>
        <w:t xml:space="preserve">Website: </w:t>
      </w:r>
      <w:r>
        <w:rPr>
          <w:sz w:val="21"/>
        </w:rPr>
        <w:t>https://www.cmegroup.com/markets/interest-rates/us-treasury.html</w:t>
      </w:r>
    </w:p>
    <w:p>
      <w:pPr>
        <w:spacing w:after="80"/>
      </w:pPr>
      <w:r>
        <w:rPr>
          <w:b/>
          <w:sz w:val="21"/>
        </w:rPr>
        <w:t xml:space="preserve">Contact: </w:t>
      </w:r>
      <w:r>
        <w:rPr>
          <w:sz w:val="21"/>
        </w:rPr>
        <w:t>As per BrokerTec entry (20 South Wacker Drive, Chicago, IL 60606; +1 312 930 1000; investors@cmegroup.com).</w:t>
      </w:r>
    </w:p>
    <w:p>
      <w:pPr>
        <w:spacing w:after="80"/>
      </w:pPr>
      <w:r>
        <w:rPr>
          <w:b/>
          <w:sz w:val="21"/>
        </w:rPr>
        <w:t xml:space="preserve">Annual reports: </w:t>
      </w:r>
      <w:r>
        <w:rPr>
          <w:sz w:val="21"/>
        </w:rPr>
        <w:t>As per BrokerTec entry — FY ends December; Form 10-K and proxy via cmegroup.com Investor Relations (proxy typically mid-March; annual meeting typically May); quarterly reporting cadence.</w:t>
      </w:r>
    </w:p>
    <w:p>
      <w:pPr>
        <w:spacing w:after="240"/>
      </w:pPr>
      <w:r>
        <w:rPr>
          <w:i/>
          <w:sz w:val="16"/>
        </w:rPr>
        <w:t>CME Group U.S. Treasury product page; CME Group press releases (BrokerTec Chicago launch, Treasury Link announcement, July 2026); Finadium and A-Team Insight coverage of Treasury Link. ---</w:t>
      </w:r>
    </w:p>
    <w:p>
      <w:pPr>
        <w:pStyle w:val="Heading2"/>
      </w:pPr>
      <w:r>
        <w:rPr>
          <w:sz w:val="24"/>
        </w:rPr>
        <w:t>3. NYSE BONDS (NYSE / NYSE AMERICAN)</w:t>
      </w:r>
    </w:p>
    <w:p>
      <w:pPr>
        <w:spacing w:after="120"/>
      </w:pPr>
      <w:r>
        <w:rPr>
          <w:i/>
          <w:sz w:val="20"/>
        </w:rPr>
        <w:t>United States — New York, New York.</w:t>
      </w:r>
    </w:p>
    <w:p>
      <w:pPr>
        <w:spacing w:after="80"/>
      </w:pPr>
      <w:r>
        <w:rPr>
          <w:b/>
          <w:sz w:val="21"/>
        </w:rPr>
        <w:t xml:space="preserve">Trading as: </w:t>
      </w:r>
      <w:r>
        <w:rPr>
          <w:sz w:val="21"/>
        </w:rPr>
        <w:t>NYSE Bonds — the all-electronic bond trading platform of the New York Stock Exchange (and NYSE American). Bonds listed on NYSE LLC and on NYSE American trade on the same NYSE Bonds platform.</w:t>
      </w:r>
    </w:p>
    <w:p>
      <w:pPr>
        <w:spacing w:after="80"/>
      </w:pPr>
      <w:r>
        <w:rPr>
          <w:b/>
          <w:sz w:val="21"/>
        </w:rPr>
        <w:t xml:space="preserve">Operator: </w:t>
      </w:r>
      <w:r>
        <w:rPr>
          <w:sz w:val="21"/>
        </w:rPr>
        <w:t>New York Stock Exchange LLC, a wholly owned subsidiary of Intercontinental Exchange, Inc. (NYSE: ICE).</w:t>
      </w:r>
    </w:p>
    <w:p>
      <w:pPr>
        <w:spacing w:after="80"/>
      </w:pPr>
      <w:r>
        <w:rPr>
          <w:b/>
          <w:sz w:val="21"/>
        </w:rPr>
        <w:t xml:space="preserve">C-suite: </w:t>
      </w:r>
      <w:r>
        <w:rPr>
          <w:sz w:val="21"/>
        </w:rPr>
        <w:t>NYSE Bonds is a platform, not a standalone company; no separate C-suite published. Parent ICE leadership (per joint press materials): Chairman &amp; CEO Jeff Sprecher; CFO Warren Gardiner. ICE's President of ICE Bonds: Peter Borstelmann. Other ICE chief officers: UNVERIFIED in sources checked. Board chair (ICE): Jeff Sprecher (chairman &amp; CEO).</w:t>
      </w:r>
    </w:p>
    <w:p>
      <w:pPr>
        <w:spacing w:after="80"/>
      </w:pPr>
      <w:r>
        <w:rPr>
          <w:b/>
          <w:sz w:val="21"/>
        </w:rPr>
        <w:t xml:space="preserve">Hierarchy &amp; selection: </w:t>
      </w:r>
      <w:r>
        <w:rPr>
          <w:sz w:val="21"/>
        </w:rPr>
        <w:t>NYSE is a national securities exchange, an SEC-registered self-regulatory organization owned by public company ICE; exchange leadership appointed by ICE/the exchange board. NYSE presidents are appointed (not shareholder-elected); Lynn Martin became the 68th NYSE president on January 3, 2022. Board-of-directors election mechanics for ICE: shareholders elect directors at the annual meeting. Term lengths: UNVERIFIED in sources checked.</w:t>
      </w:r>
    </w:p>
    <w:p>
      <w:pPr>
        <w:spacing w:after="80"/>
      </w:pPr>
      <w:r>
        <w:rPr>
          <w:b/>
          <w:sz w:val="21"/>
        </w:rPr>
        <w:t xml:space="preserve">How it works: </w:t>
      </w:r>
      <w:r>
        <w:rPr>
          <w:sz w:val="21"/>
        </w:rPr>
        <w:t>All-electronic trading platform. Executed trades are transmitted to the National Securities Clearing Corporation (NSCC) for clearance and settlement via the Regional Interface Organization (RIO) as "locked-in" matched transactions; CNS-eligible bonds settle regular-way (two-day timetable). Open to NYSE members/broker-dealers; institutional and retail order flow via member firms.</w:t>
      </w:r>
    </w:p>
    <w:p>
      <w:pPr>
        <w:spacing w:after="80"/>
      </w:pPr>
      <w:r>
        <w:rPr>
          <w:b/>
          <w:sz w:val="21"/>
        </w:rPr>
        <w:t xml:space="preserve">What it trades: </w:t>
      </w:r>
      <w:r>
        <w:rPr>
          <w:sz w:val="21"/>
        </w:rPr>
        <w:t>Corporate and other bonds listed on NYSE and NYSE American (original listing standard: aggregate market value or principal amount of at least $5,000,000). Published listings count or turnover: UNVERIFIED in sources checked.</w:t>
      </w:r>
    </w:p>
    <w:p>
      <w:pPr>
        <w:spacing w:after="80"/>
      </w:pPr>
      <w:r>
        <w:rPr>
          <w:b/>
          <w:sz w:val="21"/>
        </w:rPr>
        <w:t xml:space="preserve">Website: </w:t>
      </w:r>
      <w:r>
        <w:rPr>
          <w:sz w:val="21"/>
        </w:rPr>
        <w:t>https://www.nyse.com/markets/bonds/trading-info (NYSE: https://www.nyse.com)</w:t>
      </w:r>
    </w:p>
    <w:p>
      <w:pPr>
        <w:spacing w:after="80"/>
      </w:pPr>
      <w:r>
        <w:rPr>
          <w:b/>
          <w:sz w:val="21"/>
        </w:rPr>
        <w:t xml:space="preserve">Contact: </w:t>
      </w:r>
      <w:r>
        <w:rPr>
          <w:sz w:val="21"/>
        </w:rPr>
        <w:t>Platform details via nyse.com; NYSE Group President's office: UNVERIFIED direct contact. ICE HQ: 5660 New Northside Drive, Atlanta, GA 30328 (per SEC filings). General/media email for NYSE Bonds: UNVERIFIED (not published on sources checked).</w:t>
      </w:r>
    </w:p>
    <w:p>
      <w:pPr>
        <w:spacing w:after="80"/>
      </w:pPr>
      <w:r>
        <w:rPr>
          <w:b/>
          <w:sz w:val="21"/>
        </w:rPr>
        <w:t xml:space="preserve">Annual reports: </w:t>
      </w:r>
      <w:r>
        <w:rPr>
          <w:sz w:val="21"/>
        </w:rPr>
        <w:t>NYSE is part of ICE; no separate annual report. ICE fiscal year ends December; Annual Report on Form 10-K published via ir.theice.com; quarterly earnings cadence.</w:t>
      </w:r>
    </w:p>
    <w:p>
      <w:pPr>
        <w:spacing w:after="240"/>
      </w:pPr>
      <w:r>
        <w:rPr>
          <w:i/>
          <w:sz w:val="16"/>
        </w:rPr>
        <w:t>NYSE Bonds trading-info page (nyse.com); SEC rule filing 34-101967 on NYSE American bond listing fees (confirms bonds listed on NYSE and NYSE American trade on the NYSE Bonds platform); ICE governance page (Lynn Martin bio); ICE/MarketAxess joint press coverage (July 30, 2026) for Sprecher/Gardiner titles. ---</w:t>
      </w:r>
    </w:p>
    <w:p>
      <w:pPr>
        <w:pStyle w:val="Heading2"/>
      </w:pPr>
      <w:r>
        <w:rPr>
          <w:sz w:val="24"/>
        </w:rPr>
        <w:t>4. NASDAQ FIXED INCOME — LEGACY U.S. PLATFORM (NOW TRADEWEB DEALERWEB) + NORDIC MARKETS</w:t>
      </w:r>
    </w:p>
    <w:p>
      <w:pPr>
        <w:spacing w:after="120"/>
      </w:pPr>
      <w:r>
        <w:rPr>
          <w:i/>
          <w:sz w:val="20"/>
        </w:rPr>
        <w:t>United States (legacy, New York) — current fixed income markets are Nordic/Baltic.</w:t>
      </w:r>
    </w:p>
    <w:p>
      <w:pPr>
        <w:spacing w:after="80"/>
      </w:pPr>
      <w:r>
        <w:rPr>
          <w:b/>
          <w:sz w:val="21"/>
        </w:rPr>
        <w:t xml:space="preserve">Trading as: </w:t>
      </w:r>
      <w:r>
        <w:rPr>
          <w:sz w:val="21"/>
        </w:rPr>
        <w:t>Legacy: Nasdaq's U.S. fixed income electronic trading platform (formerly eSpeed), a fully executable CLOB for on-the-run U.S. Treasuries — acquired by Tradeweb (see entry 5). Current: Nasdaq Nordic &amp; Baltic fixed income cash and derivatives markets on the Fusion FI platform (migrated from Genium INET, go-live October 13, 2025) covering Nasdaq Copenhagen, Stockholm, Helsinki, Iceland, Riga, Tallinn, Vilnius and First North fixed income segments.</w:t>
      </w:r>
    </w:p>
    <w:p>
      <w:pPr>
        <w:spacing w:after="80"/>
      </w:pPr>
      <w:r>
        <w:rPr>
          <w:b/>
          <w:sz w:val="21"/>
        </w:rPr>
        <w:t xml:space="preserve">Operator: </w:t>
      </w:r>
      <w:r>
        <w:rPr>
          <w:sz w:val="21"/>
        </w:rPr>
        <w:t>Nasdaq, Inc. (public company, Nasdaq: NDAQ).</w:t>
      </w:r>
    </w:p>
    <w:p>
      <w:pPr>
        <w:spacing w:after="80"/>
      </w:pPr>
      <w:r>
        <w:rPr>
          <w:b/>
          <w:sz w:val="21"/>
        </w:rPr>
        <w:t xml:space="preserve">C-suite: </w:t>
      </w:r>
      <w:r>
        <w:rPr>
          <w:sz w:val="21"/>
        </w:rPr>
        <w:t>UNVERIFIED — not confirmed from sources checked.</w:t>
      </w:r>
    </w:p>
    <w:p>
      <w:pPr>
        <w:spacing w:after="80"/>
      </w:pPr>
      <w:r>
        <w:rPr>
          <w:b/>
          <w:sz w:val="21"/>
        </w:rPr>
        <w:t xml:space="preserve">Hierarchy &amp; selection: </w:t>
      </w:r>
      <w:r>
        <w:rPr>
          <w:sz w:val="21"/>
        </w:rPr>
        <w:t>Public company; board elected by shareholders; exchanges operate as SEC-registered national securities exchanges. Details UNVERIFIED in sources checked.</w:t>
      </w:r>
    </w:p>
    <w:p>
      <w:pPr>
        <w:spacing w:after="80"/>
      </w:pPr>
      <w:r>
        <w:rPr>
          <w:b/>
          <w:sz w:val="21"/>
        </w:rPr>
        <w:t xml:space="preserve">How it works: </w:t>
      </w:r>
      <w:r>
        <w:rPr>
          <w:sz w:val="21"/>
        </w:rPr>
        <w:t>Legacy U.S. platform was a dealer-to-dealer CLOB for on-the-run Treasuries. Nordic fixed income trades on Fusion FI (INET technology), cash and derivatives; derivatives cleared on the Genium INET clearing platform post-migration.</w:t>
      </w:r>
    </w:p>
    <w:p>
      <w:pPr>
        <w:spacing w:after="80"/>
      </w:pPr>
      <w:r>
        <w:rPr>
          <w:b/>
          <w:sz w:val="21"/>
        </w:rPr>
        <w:t xml:space="preserve">What it trades: </w:t>
      </w:r>
      <w:r>
        <w:rPr>
          <w:sz w:val="21"/>
        </w:rPr>
        <w:t>(Legacy U.S.: on-the-run Treasuries.) Nordic: fixed income cash markets across seven exchanges plus Swedish and Danish bond derivatives segments. Scale figures: UNVERIFIED in sources checked.</w:t>
      </w:r>
    </w:p>
    <w:p>
      <w:pPr>
        <w:spacing w:after="80"/>
      </w:pPr>
      <w:r>
        <w:rPr>
          <w:b/>
          <w:sz w:val="21"/>
        </w:rPr>
        <w:t xml:space="preserve">Website: </w:t>
      </w:r>
      <w:r>
        <w:rPr>
          <w:sz w:val="21"/>
        </w:rPr>
        <w:t>https://www.nasdaq.com/solutions/nordic-fixed-income-trading-system</w:t>
      </w:r>
    </w:p>
    <w:p>
      <w:pPr>
        <w:spacing w:after="80"/>
      </w:pPr>
      <w:r>
        <w:rPr>
          <w:b/>
          <w:sz w:val="21"/>
        </w:rPr>
        <w:t xml:space="preserve">Contact: </w:t>
      </w:r>
      <w:r>
        <w:rPr>
          <w:sz w:val="21"/>
        </w:rPr>
        <w:t>UNVERIFIED — general/media contact and HQ address not confirmed from sources checked.</w:t>
      </w:r>
    </w:p>
    <w:p>
      <w:pPr>
        <w:spacing w:after="80"/>
      </w:pPr>
      <w:r>
        <w:rPr>
          <w:b/>
          <w:sz w:val="21"/>
        </w:rPr>
        <w:t xml:space="preserve">Annual reports: </w:t>
      </w:r>
      <w:r>
        <w:rPr>
          <w:sz w:val="21"/>
        </w:rPr>
        <w:t>Nasdaq, Inc. is public; fiscal year ends December; Form 10-K via the Investor Relations section of nasdaq.com; quarterly reporting cadence. (Specific IR URL and publication timing: UNVERIFIED in sources checked.)</w:t>
      </w:r>
    </w:p>
    <w:p>
      <w:pPr>
        <w:spacing w:after="240"/>
      </w:pPr>
      <w:r>
        <w:rPr>
          <w:i/>
          <w:sz w:val="16"/>
        </w:rPr>
        <w:t>Nasdaq and Tradeweb press releases, Feb 2 and June 25, 2021 (Nasdaq's U.S. fixed income platform acquisition by Tradeweb, $190M, folded into Dealerweb); Nasdaq IT notices on the Fusion FI migration (go-live Oct 13, 2025); Nasdaq Nordic fixed income page. ---</w:t>
      </w:r>
    </w:p>
    <w:p>
      <w:pPr>
        <w:pStyle w:val="Heading2"/>
      </w:pPr>
      <w:r>
        <w:rPr>
          <w:sz w:val="24"/>
        </w:rPr>
        <w:t>5. TRADEWEB MARKETS (INCL. DEALERWEB WHOLESALE TREASURIES)</w:t>
      </w:r>
    </w:p>
    <w:p>
      <w:pPr>
        <w:spacing w:after="120"/>
      </w:pPr>
      <w:r>
        <w:rPr>
          <w:i/>
          <w:sz w:val="20"/>
        </w:rPr>
        <w:t>United States — New York, New York (245 Park Avenue).</w:t>
      </w:r>
    </w:p>
    <w:p>
      <w:pPr>
        <w:spacing w:after="80"/>
      </w:pPr>
      <w:r>
        <w:rPr>
          <w:b/>
          <w:sz w:val="21"/>
        </w:rPr>
        <w:t xml:space="preserve">Trading as: </w:t>
      </w:r>
      <w:r>
        <w:rPr>
          <w:sz w:val="21"/>
        </w:rPr>
        <w:t>Tradeweb Markets Inc. — institutional electronic trading platform (dealer-to-client), Dealerweb (wholesale/interdealer, incl. the former Nasdaq eSpeed CLOB for on-the-run Treasuries), Tradeweb Direct (U.S. retail fixed income).</w:t>
      </w:r>
    </w:p>
    <w:p>
      <w:pPr>
        <w:spacing w:after="80"/>
      </w:pPr>
      <w:r>
        <w:rPr>
          <w:b/>
          <w:sz w:val="21"/>
        </w:rPr>
        <w:t xml:space="preserve">Operator: </w:t>
      </w:r>
      <w:r>
        <w:rPr>
          <w:sz w:val="21"/>
        </w:rPr>
        <w:t>Tradeweb Markets Inc. (Nasdaq: TW); majority-owned and controlled by the London Stock Exchange Group (LSEG).</w:t>
      </w:r>
    </w:p>
    <w:p>
      <w:pPr>
        <w:spacing w:after="80"/>
      </w:pPr>
      <w:r>
        <w:rPr>
          <w:b/>
          <w:sz w:val="21"/>
        </w:rPr>
        <w:t xml:space="preserve">Hierarchy &amp; selection: </w:t>
      </w:r>
      <w:r>
        <w:rPr>
          <w:sz w:val="21"/>
        </w:rPr>
        <w:t>Public company; board of directors elected by shareholders at the annual meeting; CEO and officers appointed by the board. LSEG is the controlling shareholder. Term lengths: UNVERIFIED in sources checked.</w:t>
      </w:r>
    </w:p>
    <w:p>
      <w:pPr>
        <w:spacing w:after="80"/>
      </w:pPr>
      <w:r>
        <w:rPr>
          <w:b/>
          <w:sz w:val="21"/>
        </w:rPr>
        <w:t xml:space="preserve">How it works: </w:t>
      </w:r>
      <w:r>
        <w:rPr>
          <w:sz w:val="21"/>
        </w:rPr>
        <w:t>Multi-dealer request-for-quote (institutional), CLOB and directed streaming (Dealerweb wholesale Treasuries), all-to-all and portfolio trading protocols across rates, credit, money markets, ETFs. Institutional (3,000+ clients incl. banks, asset managers, central banks, pension funds, insurers), wholesale dealers, and U.S. retail via Tradeweb Direct. Straight-through processing to settlement; trades clear per product conventions (no central clearinghouse for cash bonds; swaps via clearinghouses).</w:t>
      </w:r>
    </w:p>
    <w:p>
      <w:pPr>
        <w:spacing w:after="80"/>
      </w:pPr>
      <w:r>
        <w:rPr>
          <w:b/>
          <w:sz w:val="21"/>
        </w:rPr>
        <w:t xml:space="preserve">What it trades: </w:t>
      </w:r>
      <w:r>
        <w:rPr>
          <w:sz w:val="21"/>
        </w:rPr>
        <w:t>U.S. and European government bonds, mortgage-backed securities, interest-rate swaps, U.S. and international corporate bonds, money markets, ETFs. More than $2.6 trillion average daily trading volume and over $2 billion annual revenue in 2025; 2025 revenue $2.1 billion (52% rates, 27% credit). Founded 1998.</w:t>
      </w:r>
    </w:p>
    <w:p>
      <w:pPr>
        <w:spacing w:after="80"/>
      </w:pPr>
      <w:r>
        <w:rPr>
          <w:b/>
          <w:sz w:val="21"/>
        </w:rPr>
        <w:t xml:space="preserve">Website: </w:t>
      </w:r>
      <w:r>
        <w:rPr>
          <w:sz w:val="21"/>
        </w:rPr>
        <w:t>https://www.tradeweb.com</w:t>
      </w:r>
    </w:p>
    <w:p>
      <w:pPr>
        <w:spacing w:after="80"/>
      </w:pPr>
      <w:r>
        <w:rPr>
          <w:b/>
          <w:sz w:val="21"/>
        </w:rPr>
        <w:t xml:space="preserve">Contact: </w:t>
      </w:r>
      <w:r>
        <w:rPr>
          <w:sz w:val="21"/>
        </w:rPr>
        <w:t>HQ — 245 Park Avenue, New York, NY 10167 (per corporate profile). Investors: investors.tradeweb.com. General/media email and phone: UNVERIFIED (not published on sources checked).</w:t>
      </w:r>
    </w:p>
    <w:p>
      <w:pPr>
        <w:spacing w:after="80"/>
      </w:pPr>
      <w:r>
        <w:rPr>
          <w:b/>
          <w:sz w:val="21"/>
        </w:rPr>
        <w:t xml:space="preserve">Annual reports: </w:t>
      </w:r>
      <w:r>
        <w:rPr>
          <w:sz w:val="21"/>
        </w:rPr>
        <w:t>Fiscal year ends December. Annual Report on Form 10-K via investors.tradeweb.com (Investor Relations); quarterly results cadence (e.g., Q3 2026 results announced for October 29, 2026). Typical 10-K publication: February–March — UNVERIFIED as to exact timing; the IR events page lists earnings dates.</w:t>
      </w:r>
    </w:p>
    <w:p>
      <w:pPr>
        <w:spacing w:after="240"/>
      </w:pPr>
      <w:r>
        <w:rPr>
          <w:i/>
          <w:sz w:val="16"/>
        </w:rPr>
        <w:t>Tradeweb leadership page (tradeweb.com/who-we-are/leadership/); Billy Hult bio (tradeweb.com); FIX Trading Community member profile (institutional/Dealerweb/Direct segmentation); 2021 Nasdaq U.S. fixed income acquisition releases; Morningstar/Business Wire Q3 2026 results notice. ---</w:t>
      </w:r>
    </w:p>
    <w:p>
      <w:pPr>
        <w:pStyle w:val="Heading2"/>
      </w:pPr>
      <w:r>
        <w:rPr>
          <w:sz w:val="24"/>
        </w:rPr>
        <w:t>6. MARKETAXESS — CORPORATE BOND E-TRADING (PENDING ICE ACQUISITION)</w:t>
      </w:r>
    </w:p>
    <w:p>
      <w:pPr>
        <w:spacing w:after="120"/>
      </w:pPr>
      <w:r>
        <w:rPr>
          <w:i/>
          <w:sz w:val="20"/>
        </w:rPr>
        <w:t>United States — New York, New York (55 Hudson Yards).</w:t>
      </w:r>
    </w:p>
    <w:p>
      <w:pPr>
        <w:spacing w:after="80"/>
      </w:pPr>
      <w:r>
        <w:rPr>
          <w:b/>
          <w:sz w:val="21"/>
        </w:rPr>
        <w:t xml:space="preserve">Trading as: </w:t>
      </w:r>
      <w:r>
        <w:rPr>
          <w:sz w:val="21"/>
        </w:rPr>
        <w:t>MarketAxess — electronic trading platform for institutional credit; flagship Open Trading all-to-all marketplace; protocols include X-Pro, Auto-X, portfolio trading, request-for-quote; U.S. Treasuries via the acquired LiquidityEdge platform; post-trade via Trax.</w:t>
      </w:r>
    </w:p>
    <w:p>
      <w:pPr>
        <w:spacing w:after="80"/>
      </w:pPr>
      <w:r>
        <w:rPr>
          <w:b/>
          <w:sz w:val="21"/>
        </w:rPr>
        <w:t xml:space="preserve">Operator: </w:t>
      </w:r>
      <w:r>
        <w:rPr>
          <w:sz w:val="21"/>
        </w:rPr>
        <w:t>MarketAxess Holdings Inc. (Nasdaq: MKTX) — PENDING: definitive agreement announced July 30, 2026 for Intercontinental Exchange to acquire MarketAxess for $167/share (equity ~$6.0B, enterprise ~$5.7B); expected close first half of 2027, subject to shareholder and regulatory approvals.</w:t>
      </w:r>
    </w:p>
    <w:p>
      <w:pPr>
        <w:spacing w:after="80"/>
      </w:pPr>
      <w:r>
        <w:rPr>
          <w:b/>
          <w:sz w:val="21"/>
        </w:rPr>
        <w:t xml:space="preserve">C-suite: </w:t>
      </w:r>
      <w:r>
        <w:rPr>
          <w:sz w:val="21"/>
        </w:rPr>
        <w:t>CEO Chris Concannon; Chairman Carlos M. Hernandez; CFO, COO, CTO, General Counsel, Chief Risk Officer: UNVERIFIED in sources checked (William Quan joined as CTO, Feb 2026, per company release; full current roster not confirmed). Douglas Cifu and Kenneth Schiciano elected to the board, Jan 2026.</w:t>
      </w:r>
    </w:p>
    <w:p>
      <w:pPr>
        <w:spacing w:after="80"/>
      </w:pPr>
      <w:r>
        <w:rPr>
          <w:b/>
          <w:sz w:val="21"/>
        </w:rPr>
        <w:t xml:space="preserve">Hierarchy &amp; selection: </w:t>
      </w:r>
      <w:r>
        <w:rPr>
          <w:sz w:val="21"/>
        </w:rPr>
        <w:t>Public company; board elected by shareholders; CEO appointed by the board. The ICE acquisition was unanimously approved by both boards (July 29, 2026 merger agreement). Term lengths: UNVERIFIED in sources checked.</w:t>
      </w:r>
    </w:p>
    <w:p>
      <w:pPr>
        <w:spacing w:after="80"/>
      </w:pPr>
      <w:r>
        <w:rPr>
          <w:b/>
          <w:sz w:val="21"/>
        </w:rPr>
        <w:t xml:space="preserve">How it works: </w:t>
      </w:r>
      <w:r>
        <w:rPr>
          <w:sz w:val="21"/>
        </w:rPr>
        <w:t>Institutional dealer-to-client RFQ plus all-to-all anonymous Open Trading (matched principal), automated/algorithmic execution, portfolio trading; data products CP+ and Axess All (real-time pricing). ~2,100 institutional investors and broker-dealers across 90+ countries; 2025 volume mix 91.3% institutional investors, 8.7% broker-dealers. Straight-through processing; cash bonds settle bilaterally/DVP.</w:t>
      </w:r>
    </w:p>
    <w:p>
      <w:pPr>
        <w:spacing w:after="80"/>
      </w:pPr>
      <w:r>
        <w:rPr>
          <w:b/>
          <w:sz w:val="21"/>
        </w:rPr>
        <w:t xml:space="preserve">What it trades: </w:t>
      </w:r>
      <w:r>
        <w:rPr>
          <w:sz w:val="21"/>
        </w:rPr>
        <w:t>U.S. investment-grade and high-yield corporate bonds, emerging market debt, Eurobonds, municipal bonds, agency securities, asset-backed securities, credit default swaps, U.S. Treasuries. ~17.0% market share in U.S. corporate bond trading; 5.9% U.S. municipal; 2.4% U.S. government (2025). 2025 revenue $846 million; record quarter of credit trading volume over $1 trillion (2025). Portfolio trading ~17.5% estimated U.S. credit market share.</w:t>
      </w:r>
    </w:p>
    <w:p>
      <w:pPr>
        <w:spacing w:after="80"/>
      </w:pPr>
      <w:r>
        <w:rPr>
          <w:b/>
          <w:sz w:val="21"/>
        </w:rPr>
        <w:t xml:space="preserve">Website: </w:t>
      </w:r>
      <w:r>
        <w:rPr>
          <w:sz w:val="21"/>
        </w:rPr>
        <w:t>https://www.marketaxess.com</w:t>
      </w:r>
    </w:p>
    <w:p>
      <w:pPr>
        <w:spacing w:after="80"/>
      </w:pPr>
      <w:r>
        <w:rPr>
          <w:b/>
          <w:sz w:val="21"/>
        </w:rPr>
        <w:t xml:space="preserve">Contact: </w:t>
      </w:r>
      <w:r>
        <w:rPr>
          <w:sz w:val="21"/>
        </w:rPr>
        <w:t>HQ — 55 Hudson Yards, New York, NY (per company profile). Investors: investor.marketaxess.com. General/media email and phone: UNVERIFIED (not published on sources checked).</w:t>
      </w:r>
    </w:p>
    <w:p>
      <w:pPr>
        <w:spacing w:after="80"/>
      </w:pPr>
      <w:r>
        <w:rPr>
          <w:b/>
          <w:sz w:val="21"/>
        </w:rPr>
        <w:t xml:space="preserve">Annual reports: </w:t>
      </w:r>
      <w:r>
        <w:rPr>
          <w:sz w:val="21"/>
        </w:rPr>
        <w:t>Fiscal year ends December. Annual Report on Form 10-K via investor.marketaxess.com (Investor Relations); quarterly results cadence (Q2 2026 results reported July 30, 2026). Exact publication timing: UNVERIFIED in sources checked. Note: acquisition by ICE expected to close H1 2027.</w:t>
      </w:r>
    </w:p>
    <w:p>
      <w:pPr>
        <w:spacing w:after="240"/>
      </w:pPr>
      <w:r>
        <w:rPr>
          <w:i/>
          <w:sz w:val="16"/>
        </w:rPr>
        <w:t>MarketAxess investor press-release index (July 30, 2026: "Intercontinental Exchange to Acquire MarketAxess"; Q2 2026 results; CTO appointment); MarketAxess Form 8-K merger agreement filing; TipRanks/Asset Servicing Times deal coverage (quoting the joint release: Sprecher, Gardiner, Concannon); Simply Wall St/Wikipedia company profiles (2025 revenue, market shares). ---</w:t>
      </w:r>
    </w:p>
    <w:p>
      <w:pPr>
        <w:pStyle w:val="Heading2"/>
      </w:pPr>
      <w:r>
        <w:rPr>
          <w:sz w:val="24"/>
        </w:rPr>
        <w:t>7. ICE BONDS (INTERCONTINENTAL EXCHANGE FIXED INCOME EXECUTION)</w:t>
      </w:r>
    </w:p>
    <w:p>
      <w:pPr>
        <w:spacing w:after="120"/>
      </w:pPr>
      <w:r>
        <w:rPr>
          <w:i/>
          <w:sz w:val="20"/>
        </w:rPr>
        <w:t>United States — Atlanta, Georgia / New York, New York (ICE HQ Atlanta; fixed income operations in New York).</w:t>
      </w:r>
    </w:p>
    <w:p>
      <w:pPr>
        <w:spacing w:after="80"/>
      </w:pPr>
      <w:r>
        <w:rPr>
          <w:b/>
          <w:sz w:val="21"/>
        </w:rPr>
        <w:t xml:space="preserve">Trading as: </w:t>
      </w:r>
      <w:r>
        <w:rPr>
          <w:sz w:val="21"/>
        </w:rPr>
        <w:t>ICE Bonds — brings together ICE BondPoint, TMC Bonds and ICE Credit Trade under one brand and management team. ICE TMC is an anonymous all-to-all Alternative Trading System (ATS) operated by ICE Bonds.</w:t>
      </w:r>
    </w:p>
    <w:p>
      <w:pPr>
        <w:spacing w:after="80"/>
      </w:pPr>
      <w:r>
        <w:rPr>
          <w:b/>
          <w:sz w:val="21"/>
        </w:rPr>
        <w:t xml:space="preserve">Operator: </w:t>
      </w:r>
      <w:r>
        <w:rPr>
          <w:sz w:val="21"/>
        </w:rPr>
        <w:t>Intercontinental Exchange, Inc. (NYSE: ICE).</w:t>
      </w:r>
    </w:p>
    <w:p>
      <w:pPr>
        <w:spacing w:after="80"/>
      </w:pPr>
      <w:r>
        <w:rPr>
          <w:b/>
          <w:sz w:val="21"/>
        </w:rPr>
        <w:t xml:space="preserve">Hierarchy &amp; selection: </w:t>
      </w:r>
      <w:r>
        <w:rPr>
          <w:sz w:val="21"/>
        </w:rPr>
        <w:t>Public company; board elected by shareholders; CEO appointed by the board; divisional presidents (ICE Bonds) appointed by senior management. Term lengths: UNVERIFIED in sources checked.</w:t>
      </w:r>
    </w:p>
    <w:p>
      <w:pPr>
        <w:spacing w:after="80"/>
      </w:pPr>
      <w:r>
        <w:rPr>
          <w:b/>
          <w:sz w:val="21"/>
        </w:rPr>
        <w:t xml:space="preserve">How it works: </w:t>
      </w:r>
      <w:r>
        <w:rPr>
          <w:sz w:val="21"/>
        </w:rPr>
        <w:t>Multiple anonymous and disclosed trading protocols — click-to-trade, request-for-quote, portfolio auctions, sweeps, voice-assisted trades; ICE TMC is an SEC-registered ATS (anonymous, all-to-all). Serves institutional and wealth/retail-adjacent participants; private-labeled versions offered via partners (e.g., Tigress Financial). Leverages ICE Data Services continuous and end-of-day pricing and analytics.</w:t>
      </w:r>
    </w:p>
    <w:p>
      <w:pPr>
        <w:spacing w:after="80"/>
      </w:pPr>
      <w:r>
        <w:rPr>
          <w:b/>
          <w:sz w:val="21"/>
        </w:rPr>
        <w:t xml:space="preserve">What it trades: </w:t>
      </w:r>
      <w:r>
        <w:rPr>
          <w:sz w:val="21"/>
        </w:rPr>
        <w:t>Corporates, municipals, Treasuries, agencies, certificates of deposit, MBS pass-throughs, emerging market and sovereign bonds. ICE TMC: 475+ liquidity providers and takers, 250,000+ registered users (2024). ICE describes ICE Bonds as a leading all-to-all municipal bond market.</w:t>
      </w:r>
    </w:p>
    <w:p>
      <w:pPr>
        <w:spacing w:after="80"/>
      </w:pPr>
      <w:r>
        <w:rPr>
          <w:b/>
          <w:sz w:val="21"/>
        </w:rPr>
        <w:t xml:space="preserve">Website: </w:t>
      </w:r>
      <w:r>
        <w:rPr>
          <w:sz w:val="21"/>
        </w:rPr>
        <w:t>https://www.theice.com/fixed-income/ice-bonds</w:t>
      </w:r>
    </w:p>
    <w:p>
      <w:pPr>
        <w:spacing w:after="80"/>
      </w:pPr>
      <w:r>
        <w:rPr>
          <w:b/>
          <w:sz w:val="21"/>
        </w:rPr>
        <w:t xml:space="preserve">Contact: </w:t>
      </w:r>
      <w:r>
        <w:rPr>
          <w:sz w:val="21"/>
        </w:rPr>
        <w:t>ICE HQ — 5660 New Northside Drive, Atlanta, GA 30328 (per SEC filings). IR: ir.theice.com. General/media email for ICE Bonds: UNVERIFIED (not published on sources checked).</w:t>
      </w:r>
    </w:p>
    <w:p>
      <w:pPr>
        <w:spacing w:after="80"/>
      </w:pPr>
      <w:r>
        <w:rPr>
          <w:b/>
          <w:sz w:val="21"/>
        </w:rPr>
        <w:t xml:space="preserve">Annual reports: </w:t>
      </w:r>
      <w:r>
        <w:rPr>
          <w:sz w:val="21"/>
        </w:rPr>
        <w:t>Fiscal year ends December. Annual Report on Form 10-K via ir.theice.com; quarterly earnings cadence. Exact publication timing: UNVERIFIED in sources checked.</w:t>
      </w:r>
    </w:p>
    <w:p>
      <w:pPr>
        <w:spacing w:after="240"/>
      </w:pPr>
      <w:r>
        <w:rPr>
          <w:i/>
          <w:sz w:val="16"/>
        </w:rPr>
        <w:t>ICE press release, Feb 2019 — "Intercontinental Exchange Announces the Launch of ICE Bonds" (ir.theice.com); ICE releases: ICE Bonds–Investortools integration (2021), ICE Bonds–Adroit EMS connection (2021), Tigress co-branded ICE TMC platform (2024); ICE governance page (Lynn Martin bio). ---</w:t>
      </w:r>
    </w:p>
    <w:p>
      <w:pPr>
        <w:pStyle w:val="Heading2"/>
      </w:pPr>
      <w:r>
        <w:rPr>
          <w:sz w:val="24"/>
        </w:rPr>
        <w:t>8. BLOOMBERG — ELECTRONIC FIXED INCOME TRADING &amp; PRICING (BVAL/BOLT)</w:t>
      </w:r>
    </w:p>
    <w:p>
      <w:pPr>
        <w:spacing w:after="120"/>
      </w:pPr>
      <w:r>
        <w:rPr>
          <w:i/>
          <w:sz w:val="20"/>
        </w:rPr>
        <w:t>United States — New York, New York.</w:t>
      </w:r>
    </w:p>
    <w:p>
      <w:pPr>
        <w:spacing w:after="80"/>
      </w:pPr>
      <w:r>
        <w:rPr>
          <w:b/>
          <w:sz w:val="21"/>
        </w:rPr>
        <w:t xml:space="preserve">Trading as: </w:t>
      </w:r>
      <w:r>
        <w:rPr>
          <w:sz w:val="21"/>
        </w:rPr>
        <w:t>Bloomberg electronic trading venues (Terminal-based): RFQ and all-to-all list trading via BOLT (Bloomberg's list-trading tool), portfolio/basket trading; pricing via BVAL (Bloomberg's Evaluated Pricing Service), IBVAL, CBBT, BGN.</w:t>
      </w:r>
    </w:p>
    <w:p>
      <w:pPr>
        <w:spacing w:after="80"/>
      </w:pPr>
      <w:r>
        <w:rPr>
          <w:b/>
          <w:sz w:val="21"/>
        </w:rPr>
        <w:t xml:space="preserve">Operator: </w:t>
      </w:r>
      <w:r>
        <w:rPr>
          <w:sz w:val="21"/>
        </w:rPr>
        <w:t>Bloomberg L.P. — privately held (majority owned by founder Michael Bloomberg).</w:t>
      </w:r>
    </w:p>
    <w:p>
      <w:pPr>
        <w:spacing w:after="80"/>
      </w:pPr>
      <w:r>
        <w:rPr>
          <w:b/>
          <w:sz w:val="21"/>
        </w:rPr>
        <w:t xml:space="preserve">C-suite: </w:t>
      </w:r>
      <w:r>
        <w:rPr>
          <w:sz w:val="21"/>
        </w:rPr>
        <w:t>CEO Vlad Kliatchko; President Jean-Paul Zammitt; CFO Patti Roskill; Board Chair Mark Carney. CIO/CTO, COO, General Counsel, Chief Risk Officer, Chief Compliance Officer, head of fixed income trading: UNVERIFIED (not published on sources checked).</w:t>
      </w:r>
    </w:p>
    <w:p>
      <w:pPr>
        <w:spacing w:after="80"/>
      </w:pPr>
      <w:r>
        <w:rPr>
          <w:b/>
          <w:sz w:val="21"/>
        </w:rPr>
        <w:t xml:space="preserve">Hierarchy &amp; selection: </w:t>
      </w:r>
      <w:r>
        <w:rPr>
          <w:sz w:val="21"/>
        </w:rPr>
        <w:t>Privately held partnership; founder-controlled. In August 2023 founder Michael Bloomberg named a new CEO, president, CFO and a new board chaired by Mark Carney via internal memo. Formal selection/term mechanics: UNVERIFIED in sources checked.</w:t>
      </w:r>
    </w:p>
    <w:p>
      <w:pPr>
        <w:spacing w:after="80"/>
      </w:pPr>
      <w:r>
        <w:rPr>
          <w:b/>
          <w:sz w:val="21"/>
        </w:rPr>
        <w:t xml:space="preserve">How it works: </w:t>
      </w:r>
      <w:r>
        <w:rPr>
          <w:sz w:val="21"/>
        </w:rPr>
        <w:t>Electronic execution embedded in the Bloomberg Terminal: dealer-to-client RFQ, all-to-all list trading (BOLT, incl. portfolio/basket trading on an all-or-none basis with up to six dealers in competition), basket-builder tools referencing BVAL pricing. Serves institutional buy- and sell-side. Registration status of specific trading venues (e.g., SEF/ATS registrations): UNVERIFIED in sources checked.</w:t>
      </w:r>
    </w:p>
    <w:p>
      <w:pPr>
        <w:spacing w:after="80"/>
      </w:pPr>
      <w:r>
        <w:rPr>
          <w:b/>
          <w:sz w:val="21"/>
        </w:rPr>
        <w:t xml:space="preserve">What it trades: </w:t>
      </w:r>
      <w:r>
        <w:rPr>
          <w:sz w:val="21"/>
        </w:rPr>
        <w:t>Corporate bonds, government bonds, municipals, securitized products, derivatives across the Terminal network. BVAL prices more than 2.5–2.9 million securities daily (multiple times daily) and is the pricing provider to the Bloomberg Indices. Trading-volume figures: UNVERIFIED in sources checked.</w:t>
      </w:r>
    </w:p>
    <w:p>
      <w:pPr>
        <w:spacing w:after="80"/>
      </w:pPr>
      <w:r>
        <w:rPr>
          <w:b/>
          <w:sz w:val="21"/>
        </w:rPr>
        <w:t xml:space="preserve">Website: </w:t>
      </w:r>
      <w:r>
        <w:rPr>
          <w:sz w:val="21"/>
        </w:rPr>
        <w:t>https://www.bloomberg.com</w:t>
      </w:r>
    </w:p>
    <w:p>
      <w:pPr>
        <w:spacing w:after="80"/>
      </w:pPr>
      <w:r>
        <w:rPr>
          <w:b/>
          <w:sz w:val="21"/>
        </w:rPr>
        <w:t xml:space="preserve">Contact: </w:t>
      </w:r>
      <w:r>
        <w:rPr>
          <w:sz w:val="21"/>
        </w:rPr>
        <w:t>HQ New York, NY (street address UNVERIFIED in sources checked). General/media email: UNVERIFIED (not published on sources checked).</w:t>
      </w:r>
    </w:p>
    <w:p>
      <w:pPr>
        <w:spacing w:after="80"/>
      </w:pPr>
      <w:r>
        <w:rPr>
          <w:b/>
          <w:sz w:val="21"/>
        </w:rPr>
        <w:t xml:space="preserve">Annual reports: </w:t>
      </w:r>
      <w:r>
        <w:rPr>
          <w:sz w:val="21"/>
        </w:rPr>
        <w:t>No public annual report — Bloomberg L.P. is a private company.</w:t>
      </w:r>
    </w:p>
    <w:p>
      <w:pPr>
        <w:spacing w:after="240"/>
      </w:pPr>
      <w:r>
        <w:rPr>
          <w:i/>
          <w:sz w:val="16"/>
        </w:rPr>
        <w:t>NYT/Adweek/Talking Biz News coverage of the August 2023 Bloomberg LP management overhaul (Kliatchko CEO, Zammitt president, Roskill CFO, Carney board chair); TechDefused/WSJ (Oct 2026) confirming Kliatchko as CEO; The TRADE (portfolio trading/BOLT); Bloomberg careers pages (BVAL scope: 2.5M+ bonds, official pricing provider to Bloomberg Indices). ---</w:t>
      </w:r>
    </w:p>
    <w:p>
      <w:pPr>
        <w:pStyle w:val="Heading2"/>
      </w:pPr>
      <w:r>
        <w:rPr>
          <w:sz w:val="24"/>
        </w:rPr>
        <w:t>9. FINRA TRACE — FIXED INCOME PRICE REPORTING (INFRASTRUCTURE, NOT A VENUE)</w:t>
      </w:r>
    </w:p>
    <w:p>
      <w:pPr>
        <w:spacing w:after="120"/>
      </w:pPr>
      <w:r>
        <w:rPr>
          <w:i/>
          <w:sz w:val="20"/>
        </w:rPr>
        <w:t>United States — Washington, D.C.</w:t>
      </w:r>
    </w:p>
    <w:p>
      <w:pPr>
        <w:spacing w:after="80"/>
      </w:pPr>
      <w:r>
        <w:rPr>
          <w:b/>
          <w:sz w:val="21"/>
        </w:rPr>
        <w:t xml:space="preserve">Operator: </w:t>
      </w:r>
      <w:r>
        <w:rPr>
          <w:sz w:val="21"/>
        </w:rPr>
        <w:t>The Financial Industry Regulatory Authority (FINRA) — a private, non-governmental self-regulatory organization for the U.S. securities industry (formed 2007 from NASD and NYSE regulation).</w:t>
      </w:r>
    </w:p>
    <w:p>
      <w:pPr>
        <w:spacing w:after="80"/>
      </w:pPr>
      <w:r>
        <w:rPr>
          <w:b/>
          <w:sz w:val="21"/>
        </w:rPr>
        <w:t xml:space="preserve">C-suite: </w:t>
      </w:r>
      <w:r>
        <w:rPr>
          <w:sz w:val="21"/>
        </w:rPr>
        <w:t>President &amp; CEO Robert Cook; Board Chair Scott Curtis. EVP Board and External Relations Marcia Asquith (also Corporate Secretary, per FINRA Unscripted). CFO, CIO, General Counsel, Chief Risk Officer, Chief Compliance Officer: UNVERIFIED in sources checked.</w:t>
      </w:r>
    </w:p>
    <w:p>
      <w:pPr>
        <w:spacing w:after="80"/>
      </w:pPr>
      <w:r>
        <w:rPr>
          <w:b/>
          <w:sz w:val="21"/>
        </w:rPr>
        <w:t xml:space="preserve">Hierarchy &amp; selection: </w:t>
      </w:r>
      <w:r>
        <w:rPr>
          <w:sz w:val="21"/>
        </w:rPr>
        <w:t>SRO governed by a Board of Governors (mix of public and industry governors); CEO appointed by the board. Selection mechanics and term lengths: UNVERIFIED in sources checked. Overseen by the SEC.</w:t>
      </w:r>
    </w:p>
    <w:p>
      <w:pPr>
        <w:spacing w:after="80"/>
      </w:pPr>
      <w:r>
        <w:rPr>
          <w:b/>
          <w:sz w:val="21"/>
        </w:rPr>
        <w:t xml:space="preserve">How it works: </w:t>
      </w:r>
      <w:r>
        <w:rPr>
          <w:sz w:val="21"/>
        </w:rPr>
        <w:t>FINRA member broker-dealers (and some depository institutions) must report transactions in TRACE-eligible securities generally within 15 minutes of execution; FINRA disseminates price, yield, volume and time data in real time to the public. Covers 100% of OTC activity representing over 99% of total U.S. corporate bond market activity — 30,000+ securities. Individual-investor access via FINRA market-data pages.</w:t>
      </w:r>
    </w:p>
    <w:p>
      <w:pPr>
        <w:spacing w:after="80"/>
      </w:pPr>
      <w:r>
        <w:rPr>
          <w:b/>
          <w:sz w:val="21"/>
        </w:rPr>
        <w:t xml:space="preserve">Website: </w:t>
      </w:r>
      <w:r>
        <w:rPr>
          <w:sz w:val="21"/>
        </w:rPr>
        <w:t>https://www.finra.org (TRACE overview and fact book at finra.org)</w:t>
      </w:r>
    </w:p>
    <w:p>
      <w:pPr>
        <w:spacing w:after="80"/>
      </w:pPr>
      <w:r>
        <w:rPr>
          <w:b/>
          <w:sz w:val="21"/>
        </w:rPr>
        <w:t xml:space="preserve">Contact: </w:t>
      </w:r>
      <w:r>
        <w:rPr>
          <w:sz w:val="21"/>
        </w:rPr>
        <w:t>FINRA HQ, Washington, D.C. (street address UNVERIFIED in sources checked). Media/press email: UNVERIFIED (not published on sources checked).</w:t>
      </w:r>
    </w:p>
    <w:p>
      <w:pPr>
        <w:spacing w:after="80"/>
      </w:pPr>
      <w:r>
        <w:rPr>
          <w:b/>
          <w:sz w:val="21"/>
        </w:rPr>
        <w:t xml:space="preserve">Annual reports: </w:t>
      </w:r>
      <w:r>
        <w:rPr>
          <w:sz w:val="21"/>
        </w:rPr>
        <w:t>FINRA publishes an annual report on finra.org (fiscal year-end month and publication timing: UNVERIFIED in sources checked).</w:t>
      </w:r>
    </w:p>
    <w:p>
      <w:pPr>
        <w:spacing w:after="240"/>
      </w:pPr>
      <w:r>
        <w:rPr>
          <w:i/>
          <w:sz w:val="16"/>
        </w:rPr>
        <w:t>FINRA "What Is TRACE" investor page; TRACE Fact Book 2024 (finra.org); FINRA fixed-income trade-activity page; FINRA Unscripted (June 2026) confirming Robert Cook (President &amp; CEO) and Scott Curtis (Board Chair); Dimensional "TRACE at 20". ---</w:t>
      </w:r>
    </w:p>
    <w:p>
      <w:pPr>
        <w:pStyle w:val="Heading2"/>
      </w:pPr>
      <w:r>
        <w:rPr>
          <w:sz w:val="24"/>
        </w:rPr>
        <w:t>10. CANDEAL — CANADA'S INSTITUTIONAL FIXED INCOME MARKETPLACE</w:t>
      </w:r>
    </w:p>
    <w:p>
      <w:pPr>
        <w:spacing w:after="120"/>
      </w:pPr>
      <w:r>
        <w:rPr>
          <w:i/>
          <w:sz w:val="20"/>
        </w:rPr>
        <w:t>Canada — Toronto, Ontario (Bay Street).</w:t>
      </w:r>
    </w:p>
    <w:p>
      <w:pPr>
        <w:spacing w:after="80"/>
      </w:pPr>
      <w:r>
        <w:rPr>
          <w:b/>
          <w:sz w:val="21"/>
        </w:rPr>
        <w:t xml:space="preserve">Trading as: </w:t>
      </w:r>
      <w:r>
        <w:rPr>
          <w:sz w:val="21"/>
        </w:rPr>
        <w:t>CanDeal Markets (electronic marketplace; Evolution fixed income trading platform) and CanDeal DNA (Data &amp; Analytics — composite/evaluated pricing, IPV).</w:t>
      </w:r>
    </w:p>
    <w:p>
      <w:pPr>
        <w:spacing w:after="80"/>
      </w:pPr>
      <w:r>
        <w:rPr>
          <w:b/>
          <w:sz w:val="21"/>
        </w:rPr>
        <w:t xml:space="preserve">Operator: </w:t>
      </w:r>
      <w:r>
        <w:rPr>
          <w:sz w:val="21"/>
        </w:rPr>
        <w:t>CanDeal Group — privately held. Stakeholders: BMO Nesbitt Burns Inc., CIBC World Markets, National Bank Financial Inc., RBC Capital Markets, Scotia Capital, TD Securities, and TMX Group.</w:t>
      </w:r>
    </w:p>
    <w:p>
      <w:pPr>
        <w:spacing w:after="80"/>
      </w:pPr>
      <w:r>
        <w:rPr>
          <w:b/>
          <w:sz w:val="21"/>
        </w:rPr>
        <w:t xml:space="preserve">C-suite: </w:t>
      </w:r>
      <w:r>
        <w:rPr>
          <w:sz w:val="21"/>
        </w:rPr>
        <w:t>President &amp; CEO Jayson Horner; CanDeal DNA President Andre Craig; Head of Credit Trading Robert Kelsall. CFO, COO, CIO/CTO, General Counsel, Chief Risk Officer, Chief Compliance Officer: UNVERIFIED in sources checked.</w:t>
      </w:r>
    </w:p>
    <w:p>
      <w:pPr>
        <w:spacing w:after="80"/>
      </w:pPr>
      <w:r>
        <w:rPr>
          <w:b/>
          <w:sz w:val="21"/>
        </w:rPr>
        <w:t xml:space="preserve">Hierarchy &amp; selection: </w:t>
      </w:r>
      <w:r>
        <w:rPr>
          <w:sz w:val="21"/>
        </w:rPr>
        <w:t>Privately held by dealer/bank stakeholders; leadership appointed by the board/stakeholders. Selection mechanics and term lengths: UNVERIFIED in sources checked.</w:t>
      </w:r>
    </w:p>
    <w:p>
      <w:pPr>
        <w:spacing w:after="80"/>
      </w:pPr>
      <w:r>
        <w:rPr>
          <w:b/>
          <w:sz w:val="21"/>
        </w:rPr>
        <w:t xml:space="preserve">How it works: </w:t>
      </w:r>
      <w:r>
        <w:rPr>
          <w:sz w:val="21"/>
        </w:rPr>
        <w:t>Multi-dealer-to-institutional-investor electronic marketplace: continuous dealer streaming, RFQ, corporate matrix pricing with intraday dealer-sourced pricing on the Evolution platform; straight-through processing (DealXpress) to custodians. Institutional only (dealers + global institutional investors). Partnership with Tradeweb gives Canadian institutions access to U.S./European debt marketplaces.</w:t>
      </w:r>
    </w:p>
    <w:p>
      <w:pPr>
        <w:spacing w:after="80"/>
      </w:pPr>
      <w:r>
        <w:rPr>
          <w:b/>
          <w:sz w:val="21"/>
        </w:rPr>
        <w:t xml:space="preserve">What it trades: </w:t>
      </w:r>
      <w:r>
        <w:rPr>
          <w:sz w:val="21"/>
        </w:rPr>
        <w:t>Canadian government, agency, provincial and corporate bonds; money market instruments; Canadian-dollar interest rate swaps. CanDeal's Markets division accounts for more than 90% of electronic trading in Canada. Historical marker: $232 billion monthly volume record, September 2014. Current turnover: UNVERIFIED in sources checked. Bank of Canada selected CanDeal DNA reference pricing for its operations (Sept 2026).</w:t>
      </w:r>
    </w:p>
    <w:p>
      <w:pPr>
        <w:spacing w:after="80"/>
      </w:pPr>
      <w:r>
        <w:rPr>
          <w:b/>
          <w:sz w:val="21"/>
        </w:rPr>
        <w:t xml:space="preserve">Website: </w:t>
      </w:r>
      <w:r>
        <w:rPr>
          <w:sz w:val="21"/>
        </w:rPr>
        <w:t>https://www.candeal.com (data: https://candealdna.com)</w:t>
      </w:r>
    </w:p>
    <w:p>
      <w:pPr>
        <w:spacing w:after="80"/>
      </w:pPr>
      <w:r>
        <w:rPr>
          <w:b/>
          <w:sz w:val="21"/>
        </w:rPr>
        <w:t xml:space="preserve">Contact: </w:t>
      </w:r>
      <w:r>
        <w:rPr>
          <w:sz w:val="21"/>
        </w:rPr>
        <w:t>Toronto, Ontario (street address UNVERIFIED in sources checked). Media: Andrew Kearney, Marketing Manager, +1 416 814 7815 (per company release). General/media email: UNVERIFIED (not published on sources checked).</w:t>
      </w:r>
    </w:p>
    <w:p>
      <w:pPr>
        <w:spacing w:after="80"/>
      </w:pPr>
      <w:r>
        <w:rPr>
          <w:b/>
          <w:sz w:val="21"/>
        </w:rPr>
        <w:t xml:space="preserve">Annual reports: </w:t>
      </w:r>
      <w:r>
        <w:rPr>
          <w:sz w:val="21"/>
        </w:rPr>
        <w:t>No public annual report — private company.</w:t>
      </w:r>
    </w:p>
    <w:p>
      <w:pPr>
        <w:spacing w:after="240"/>
      </w:pPr>
      <w:r>
        <w:rPr>
          <w:i/>
          <w:sz w:val="16"/>
        </w:rPr>
        <w:t>CanDeal company releases (candeal.com): six-bank third-party-risk solution (Feb 26, 2026, quoting Horner); IHS Markit partnership (CanDeal DNA scope, &gt;90% electronic trading); Corporate Matrix Pricing on Evolution (Apr 1, 2025, quoting Robert Kelsall); LSEG/FTSE Russell integration (Andre Craig title); FinanzWire/Bank of Canada pricing agreement (Sept 2026). ---</w:t>
      </w:r>
    </w:p>
    <w:p>
      <w:pPr>
        <w:pStyle w:val="Heading2"/>
      </w:pPr>
      <w:r>
        <w:rPr>
          <w:sz w:val="24"/>
        </w:rPr>
        <w:t>11. TMX GROUP / TSX — CANADIAN FIXED INCOME (DEBT LISTINGS &amp; TRADING)</w:t>
      </w:r>
    </w:p>
    <w:p>
      <w:pPr>
        <w:spacing w:after="120"/>
      </w:pPr>
      <w:r>
        <w:rPr>
          <w:i/>
          <w:sz w:val="20"/>
        </w:rPr>
        <w:t>Canada — Toronto, Ontario.</w:t>
      </w:r>
    </w:p>
    <w:p>
      <w:pPr>
        <w:spacing w:after="80"/>
      </w:pPr>
      <w:r>
        <w:rPr>
          <w:b/>
          <w:sz w:val="21"/>
        </w:rPr>
        <w:t xml:space="preserve">Trading as: </w:t>
      </w:r>
      <w:r>
        <w:rPr>
          <w:sz w:val="21"/>
        </w:rPr>
        <w:t>Toronto Stock Exchange (TSX) and TSX Venture Exchange — listing and trading of debt securities alongside equities; Montréal Exchange (derivatives, incl. interest-rate derivatives); TSX Trust; Canadian Depository for Securities (CDS) for clearing/settlement.</w:t>
      </w:r>
    </w:p>
    <w:p>
      <w:pPr>
        <w:spacing w:after="80"/>
      </w:pPr>
      <w:r>
        <w:rPr>
          <w:b/>
          <w:sz w:val="21"/>
        </w:rPr>
        <w:t xml:space="preserve">Operator: </w:t>
      </w:r>
      <w:r>
        <w:rPr>
          <w:sz w:val="21"/>
        </w:rPr>
        <w:t>TMX Group Limited (TSX: X) — public company.</w:t>
      </w:r>
    </w:p>
    <w:p>
      <w:pPr>
        <w:spacing w:after="80"/>
      </w:pPr>
      <w:r>
        <w:rPr>
          <w:b/>
          <w:sz w:val="21"/>
        </w:rPr>
        <w:t xml:space="preserve">C-suite: </w:t>
      </w:r>
      <w:r>
        <w:rPr>
          <w:sz w:val="21"/>
        </w:rPr>
        <w:t>CEO John McKenzie; CFO David Arnold; Chair Luc Bertrand. COO, CIO/CTO, General Counsel, Chief Risk Officer, Chief Compliance Officer: UNVERIFIED in sources checked. IR contact: Amanda Tang, Director, Investor Relations.</w:t>
      </w:r>
    </w:p>
    <w:p>
      <w:pPr>
        <w:spacing w:after="80"/>
      </w:pPr>
      <w:r>
        <w:rPr>
          <w:b/>
          <w:sz w:val="21"/>
        </w:rPr>
        <w:t xml:space="preserve">Hierarchy &amp; selection: </w:t>
      </w:r>
      <w:r>
        <w:rPr>
          <w:sz w:val="21"/>
        </w:rPr>
        <w:t>Public company; board elected by shareholders at the annual and special meeting; CEO appointed by the board. Luc Bertrand appointed chair by the board/directors' vote of confidence (2023). Term lengths: UNVERIFIED in sources checked. Regulated by the Ontario Securities Commission (lead regulator) and other Canadian securities regulators.</w:t>
      </w:r>
    </w:p>
    <w:p>
      <w:pPr>
        <w:spacing w:after="80"/>
      </w:pPr>
      <w:r>
        <w:rPr>
          <w:b/>
          <w:sz w:val="21"/>
        </w:rPr>
        <w:t xml:space="preserve">How it works: </w:t>
      </w:r>
      <w:r>
        <w:rPr>
          <w:sz w:val="21"/>
        </w:rPr>
        <w:t>Exchange listing and electronic trading of debt securities (corporate debentures, structured notes) on TSX/TSXV; interest-rate derivatives on Montréal Exchange; clearing via Canadian Derivatives Clearing Corporation and settlement/custody via CDS. Institutional and retail access through dealers.</w:t>
      </w:r>
    </w:p>
    <w:p>
      <w:pPr>
        <w:spacing w:after="80"/>
      </w:pPr>
      <w:r>
        <w:rPr>
          <w:b/>
          <w:sz w:val="21"/>
        </w:rPr>
        <w:t xml:space="preserve">What it trades: </w:t>
      </w:r>
      <w:r>
        <w:rPr>
          <w:sz w:val="21"/>
        </w:rPr>
        <w:t>Canadian equities plus listed debt securities; interest-rate derivatives (BAX/bankers' acceptance futures, bond futures) on Montréal Exchange. Debt-specific listings count or turnover: UNVERIFIED in sources checked.</w:t>
      </w:r>
    </w:p>
    <w:p>
      <w:pPr>
        <w:spacing w:after="80"/>
      </w:pPr>
      <w:r>
        <w:rPr>
          <w:b/>
          <w:sz w:val="21"/>
        </w:rPr>
        <w:t xml:space="preserve">Website: </w:t>
      </w:r>
      <w:r>
        <w:rPr>
          <w:sz w:val="21"/>
        </w:rPr>
        <w:t>https://www.tmx.com (markets: https://www.tsx.com)</w:t>
      </w:r>
    </w:p>
    <w:p>
      <w:pPr>
        <w:spacing w:after="80"/>
      </w:pPr>
      <w:r>
        <w:rPr>
          <w:b/>
          <w:sz w:val="21"/>
        </w:rPr>
        <w:t xml:space="preserve">Contact: </w:t>
      </w:r>
      <w:r>
        <w:rPr>
          <w:sz w:val="21"/>
        </w:rPr>
        <w:t>HQ Toronto, Ontario (street address UNVERIFIED in sources checked). IR: investors.tmx.com. General/media email and phone: UNVERIFIED (not published on sources checked).</w:t>
      </w:r>
    </w:p>
    <w:p>
      <w:pPr>
        <w:spacing w:after="80"/>
      </w:pPr>
      <w:r>
        <w:rPr>
          <w:b/>
          <w:sz w:val="21"/>
        </w:rPr>
        <w:t xml:space="preserve">Annual reports: </w:t>
      </w:r>
      <w:r>
        <w:rPr>
          <w:sz w:val="21"/>
        </w:rPr>
        <w:t>Fiscal year ends December 31. Annual report published via investors.tmx.com; quarterly reporting cadence (Q3 2026 results announced October 29, 2026; analyst call October 30, 2026). Typical annual-report publication in February–March — UNVERIFIED as to exact timing.</w:t>
      </w:r>
    </w:p>
    <w:p>
      <w:pPr>
        <w:spacing w:after="240"/>
      </w:pPr>
      <w:r>
        <w:rPr>
          <w:i/>
          <w:sz w:val="16"/>
        </w:rPr>
        <w:t>TMX Group news release, 2023 — "TMX Group to Appoint Luc Bertrand as Chair of the Board" (investors.tmx.com); TMX Q3 2026 results notice (Oct 8, 2026) naming McKenzie (CEO), Arnold (CFO), Tang (IR); TMX corporate profile (operations list). ---</w:t>
      </w:r>
    </w:p>
    <w:p>
      <w:pPr>
        <w:pStyle w:val="Heading2"/>
      </w:pPr>
      <w:r>
        <w:rPr>
          <w:sz w:val="24"/>
        </w:rPr>
        <w:t>12. LIQUIDNET FIXED INCOME / REALQ (TP ICAP) — INSTITUTIONAL CREDIT</w:t>
      </w:r>
    </w:p>
    <w:p>
      <w:pPr>
        <w:spacing w:after="120"/>
      </w:pPr>
      <w:r>
        <w:rPr>
          <w:i/>
          <w:sz w:val="20"/>
        </w:rPr>
        <w:t>United States — New York, New York (North American operations); TP ICAP Group HQ London (street address UNVERIFIED in sources checked).</w:t>
      </w:r>
    </w:p>
    <w:p>
      <w:pPr>
        <w:spacing w:after="80"/>
      </w:pPr>
      <w:r>
        <w:rPr>
          <w:b/>
          <w:sz w:val="21"/>
        </w:rPr>
        <w:t xml:space="preserve">Trading as: </w:t>
      </w:r>
      <w:r>
        <w:rPr>
          <w:sz w:val="21"/>
        </w:rPr>
        <w:t>RealQ — institutional credit trading and data platform (launched June 8, 2026), combining Neptune Networks dealer axe/inventory data with Liquidnet Fixed Income electronic execution. Liquidnet Fixed Income is TP ICAP's electronic credit trading platform (acquired by TP ICAP in 2021).</w:t>
      </w:r>
    </w:p>
    <w:p>
      <w:pPr>
        <w:spacing w:after="80"/>
      </w:pPr>
      <w:r>
        <w:rPr>
          <w:b/>
          <w:sz w:val="21"/>
        </w:rPr>
        <w:t xml:space="preserve">Operator: </w:t>
      </w:r>
      <w:r>
        <w:rPr>
          <w:sz w:val="21"/>
        </w:rPr>
        <w:t>TP ICAP Group plc (LON: TCAP), via Liquidnet; Neptune Networks acquired June 2025 in partnership with nine global banks (banks own 30% of the combined D2C credit business: Barclays, BNP Paribas, Citi, Crédit Agricole CIB, Deutsche Bank, ING, J.P. Morgan, Morgan Stanley, UBS).</w:t>
      </w:r>
    </w:p>
    <w:p>
      <w:pPr>
        <w:spacing w:after="80"/>
      </w:pPr>
      <w:r>
        <w:rPr>
          <w:b/>
          <w:sz w:val="21"/>
        </w:rPr>
        <w:t xml:space="preserve">C-suite: </w:t>
      </w:r>
      <w:r>
        <w:rPr>
          <w:sz w:val="21"/>
        </w:rPr>
        <w:t>UNVERIFIED — not confirmed from official sources checked.</w:t>
      </w:r>
    </w:p>
    <w:p>
      <w:pPr>
        <w:spacing w:after="80"/>
      </w:pPr>
      <w:r>
        <w:rPr>
          <w:b/>
          <w:sz w:val="21"/>
        </w:rPr>
        <w:t xml:space="preserve">Hierarchy &amp; selection: </w:t>
      </w:r>
      <w:r>
        <w:rPr>
          <w:sz w:val="21"/>
        </w:rPr>
        <w:t>Public company (London-listed); board elected by shareholders; CEO appointed by the board. Details UNVERIFIED in sources checked.</w:t>
      </w:r>
    </w:p>
    <w:p>
      <w:pPr>
        <w:spacing w:after="80"/>
      </w:pPr>
      <w:r>
        <w:rPr>
          <w:b/>
          <w:sz w:val="21"/>
        </w:rPr>
        <w:t xml:space="preserve">How it works: </w:t>
      </w:r>
      <w:r>
        <w:rPr>
          <w:sz w:val="21"/>
        </w:rPr>
        <w:t>Unified dealer-to-client (D2C) credit platform: Neptune's dealer axe and inventory data fused with Liquidnet's execution infrastructure. Protocols: dealer-to-client targeted negotiation for blocks, all-to-all anonymous liquidity interactions, dealer-to-dealer internal crossing and balance-sheet workflows. 500+ buy-side and sell-side firms across North America and EMEA. Liquidnet's agency-only model.</w:t>
      </w:r>
    </w:p>
    <w:p>
      <w:pPr>
        <w:spacing w:after="80"/>
      </w:pPr>
      <w:r>
        <w:rPr>
          <w:b/>
          <w:sz w:val="21"/>
        </w:rPr>
        <w:t xml:space="preserve">What it trades: </w:t>
      </w:r>
      <w:r>
        <w:rPr>
          <w:sz w:val="21"/>
        </w:rPr>
        <w:t>Corporate bonds (all currencies), government bonds, convertibles, structured bonds, medium-term notes, ABS/MBS (per TP ICAP EU MTF product specifications for Liquidnet Debt Products). Turnover figures: UNVERIFIED in sources checked. (Context: global corporate bond market valued at $41.04 trillion in 2025, per industry press cited in RealQ coverage.)</w:t>
      </w:r>
    </w:p>
    <w:p>
      <w:pPr>
        <w:spacing w:after="80"/>
      </w:pPr>
      <w:r>
        <w:rPr>
          <w:b/>
          <w:sz w:val="21"/>
        </w:rPr>
        <w:t xml:space="preserve">Website: </w:t>
      </w:r>
      <w:r>
        <w:rPr>
          <w:sz w:val="21"/>
        </w:rPr>
        <w:t>https://www.tpicap.com (RealQ announcements via mondovisione/tpicap.com)</w:t>
      </w:r>
    </w:p>
    <w:p>
      <w:pPr>
        <w:spacing w:after="80"/>
      </w:pPr>
      <w:r>
        <w:rPr>
          <w:b/>
          <w:sz w:val="21"/>
        </w:rPr>
        <w:t xml:space="preserve">Contact: </w:t>
      </w:r>
      <w:r>
        <w:rPr>
          <w:sz w:val="21"/>
        </w:rPr>
        <w:t>UNVERIFIED — HQ address, phone, and general/media email not confirmed from official sources checked.</w:t>
      </w:r>
    </w:p>
    <w:p>
      <w:pPr>
        <w:spacing w:after="80"/>
      </w:pPr>
      <w:r>
        <w:rPr>
          <w:b/>
          <w:sz w:val="21"/>
        </w:rPr>
        <w:t xml:space="preserve">Annual reports: </w:t>
      </w:r>
      <w:r>
        <w:rPr>
          <w:sz w:val="21"/>
        </w:rPr>
        <w:t>TP ICAP Group is public; fiscal year ends December; annual report published via tpicap.com investor relations; quarterly/interim reporting cadence. Exact publication timing: UNVERIFIED in sources checked. (Record Q1 2026 revenue of £689 million reported per press.)</w:t>
      </w:r>
    </w:p>
    <w:p>
      <w:pPr>
        <w:spacing w:after="240"/>
      </w:pPr>
      <w:r>
        <w:rPr>
          <w:i/>
          <w:sz w:val="16"/>
        </w:rPr>
        <w:t>TP ICAP announcement via MondoVisione — "TP ICAP Launches RealQ" (June 8, 2026); FinanceX Magazine RealQ analysis; Fidelity/Sharecast on TP ICAP's Neptune Networks acquisition (2025); LSE Regulatory News on the Liquidnet acquisition rationale; TP ICAP EU MTF product specifications (Liquidnet Debt Products). ---</w:t>
      </w:r>
    </w:p>
    <w:p>
      <w:pPr>
        <w:pStyle w:val="Heading2"/>
      </w:pPr>
      <w:r>
        <w:rPr>
          <w:sz w:val="24"/>
        </w:rPr>
        <w:t>13. TRUMID — U.S. CORPORATE BOND ATS</w:t>
      </w:r>
    </w:p>
    <w:p>
      <w:pPr>
        <w:spacing w:after="120"/>
      </w:pPr>
      <w:r>
        <w:rPr>
          <w:i/>
          <w:sz w:val="20"/>
        </w:rPr>
        <w:t>United States — New York, New York.</w:t>
      </w:r>
    </w:p>
    <w:p>
      <w:pPr>
        <w:spacing w:after="80"/>
      </w:pPr>
      <w:r>
        <w:rPr>
          <w:b/>
          <w:sz w:val="21"/>
        </w:rPr>
        <w:t xml:space="preserve">Trading as: </w:t>
      </w:r>
      <w:r>
        <w:rPr>
          <w:sz w:val="21"/>
        </w:rPr>
        <w:t>Trumid Market Center (Market Center 2.0) — all-to-all electronic trading and market intelligence platform; protocols: Swarms (session-based all-to-all), portfolio trading (PT), attributed trading (AT, dealer-to-client), RFQ, FST.</w:t>
      </w:r>
    </w:p>
    <w:p>
      <w:pPr>
        <w:spacing w:after="80"/>
      </w:pPr>
      <w:r>
        <w:rPr>
          <w:b/>
          <w:sz w:val="21"/>
        </w:rPr>
        <w:t xml:space="preserve">Operator: </w:t>
      </w:r>
      <w:r>
        <w:rPr>
          <w:sz w:val="21"/>
        </w:rPr>
        <w:t>Trumid Holdings, LLC / Trumid Financial, LLC — privately held (founded 2014). Major investors include BlackRock, Dragoneer, Hillhouse, SGX, T. Rowe Price (per Forge).</w:t>
      </w:r>
    </w:p>
    <w:p>
      <w:pPr>
        <w:spacing w:after="80"/>
      </w:pPr>
      <w:r>
        <w:rPr>
          <w:b/>
          <w:sz w:val="21"/>
        </w:rPr>
        <w:t xml:space="preserve">C-suite: </w:t>
      </w:r>
      <w:r>
        <w:rPr>
          <w:sz w:val="21"/>
        </w:rPr>
        <w:t>Co-CEOs Ronnie Mateo and Mike Sobel (Sobel also President); General Counsel Cheryl Knopp (third-party attribution). CFO, COO, CIO/CTO, Chief Risk Officer, Chief Compliance Officer: UNVERIFIED in sources checked.</w:t>
      </w:r>
    </w:p>
    <w:p>
      <w:pPr>
        <w:spacing w:after="80"/>
      </w:pPr>
      <w:r>
        <w:rPr>
          <w:b/>
          <w:sz w:val="21"/>
        </w:rPr>
        <w:t xml:space="preserve">Hierarchy &amp; selection: </w:t>
      </w:r>
      <w:r>
        <w:rPr>
          <w:sz w:val="21"/>
        </w:rPr>
        <w:t>Privately held; leadership appointed by the board/owners. Selection mechanics and term lengths: UNVERIFIED in sources checked. Registered as an Alternative Trading System (ATS) and broker-dealer with the SEC; FINRA member (Trumid Financial, LLC).</w:t>
      </w:r>
    </w:p>
    <w:p>
      <w:pPr>
        <w:spacing w:after="80"/>
      </w:pPr>
      <w:r>
        <w:rPr>
          <w:b/>
          <w:sz w:val="21"/>
        </w:rPr>
        <w:t xml:space="preserve">How it works: </w:t>
      </w:r>
      <w:r>
        <w:rPr>
          <w:sz w:val="21"/>
        </w:rPr>
        <w:t>SEC-registered ATS; all-to-all anonymous matching (Swarms concentrate liquidity in timed sessions), disclosed/partially-anonymous RFQ, bilateral attributed dealer streams, portfolio trading with pre-trade analytics (Trumid PT Pricer, AutoPilot). Institutional buy- and sell-side. Matched-principal and bilateral settlement.</w:t>
      </w:r>
    </w:p>
    <w:p>
      <w:pPr>
        <w:spacing w:after="80"/>
      </w:pPr>
      <w:r>
        <w:rPr>
          <w:b/>
          <w:sz w:val="21"/>
        </w:rPr>
        <w:t xml:space="preserve">What it trades: </w:t>
      </w:r>
      <w:r>
        <w:rPr>
          <w:sz w:val="21"/>
        </w:rPr>
        <w:t>Corporate bonds (round lots) and CDS; emerging market bonds added 2020. June 2026 average daily volume $9.6 billion, up 68% year-over-year (per Simplify Jobs, third-party). Last known valuation $2.4B (June 2026, per Forge — third-party). 600+ institutional buy-side customers (2022 figure; current count UNVERIFIED).</w:t>
      </w:r>
    </w:p>
    <w:p>
      <w:pPr>
        <w:spacing w:after="80"/>
      </w:pPr>
      <w:r>
        <w:rPr>
          <w:b/>
          <w:sz w:val="21"/>
        </w:rPr>
        <w:t xml:space="preserve">Website: </w:t>
      </w:r>
      <w:r>
        <w:rPr>
          <w:sz w:val="21"/>
        </w:rPr>
        <w:t>https://www.trumid.com</w:t>
      </w:r>
    </w:p>
    <w:p>
      <w:pPr>
        <w:spacing w:after="80"/>
      </w:pPr>
      <w:r>
        <w:rPr>
          <w:b/>
          <w:sz w:val="21"/>
        </w:rPr>
        <w:t xml:space="preserve">Contact: </w:t>
      </w:r>
      <w:r>
        <w:rPr>
          <w:sz w:val="21"/>
        </w:rPr>
        <w:t>New York, NY (street address UNVERIFIED in sources checked). Trumid president Mike Sobel: msobel@trumid.com / 212-618-0300 (per Bond Dealers of America announcement, 2016). General/media email: UNVERIFIED (not published on official sources checked).</w:t>
      </w:r>
    </w:p>
    <w:p>
      <w:pPr>
        <w:spacing w:after="80"/>
      </w:pPr>
      <w:r>
        <w:rPr>
          <w:b/>
          <w:sz w:val="21"/>
        </w:rPr>
        <w:t xml:space="preserve">Annual reports: </w:t>
      </w:r>
      <w:r>
        <w:rPr>
          <w:sz w:val="21"/>
        </w:rPr>
        <w:t>No public annual report — private company.</w:t>
      </w:r>
    </w:p>
    <w:p>
      <w:pPr>
        <w:spacing w:after="240"/>
      </w:pPr>
      <w:r>
        <w:rPr>
          <w:i/>
          <w:sz w:val="16"/>
        </w:rPr>
        <w:t>Trumid platform overview pages (trumid.com); Markets Media "Trumid Emerges From Pack" (co-CEOs Mateo/Sobel); FI-Desk (Goldman Sachs strategic relationship; Mateo founder/CEO); Forge (valuation, investors); Simplify Jobs (June 2026 ADV); Bond Dealers of America (contact details). ---</w:t>
      </w:r>
    </w:p>
    <w:p>
      <w:pPr>
        <w:pStyle w:val="Heading2"/>
      </w:pPr>
      <w:r>
        <w:rPr>
          <w:sz w:val="24"/>
        </w:rPr>
        <w:t>14. MSRB EMMA — MUNICIPAL MARKET TRANSPARENCY (INFRASTRUCTURE, NOT A VENUE)</w:t>
      </w:r>
    </w:p>
    <w:p>
      <w:pPr>
        <w:spacing w:after="120"/>
      </w:pPr>
      <w:r>
        <w:rPr>
          <w:i/>
          <w:sz w:val="20"/>
        </w:rPr>
        <w:t>United States — Washington, D.C. (MSRB HQ).</w:t>
      </w:r>
    </w:p>
    <w:p>
      <w:pPr>
        <w:spacing w:after="80"/>
      </w:pPr>
      <w:r>
        <w:rPr>
          <w:b/>
          <w:sz w:val="21"/>
        </w:rPr>
        <w:t xml:space="preserve">Operator: </w:t>
      </w:r>
      <w:r>
        <w:rPr>
          <w:sz w:val="21"/>
        </w:rPr>
        <w:t>The Municipal Securities Rulemaking Board (MSRB) — a Congressionally-chartered, independent private self-regulatory organization established 1975; governed by a 21-member board with a majority of public members plus regulated-entity representatives; subject to SEC oversight.</w:t>
      </w:r>
    </w:p>
    <w:p>
      <w:pPr>
        <w:spacing w:after="80"/>
      </w:pPr>
      <w:r>
        <w:rPr>
          <w:b/>
          <w:sz w:val="21"/>
        </w:rPr>
        <w:t xml:space="preserve">C-suite: </w:t>
      </w:r>
      <w:r>
        <w:rPr>
          <w:sz w:val="21"/>
        </w:rPr>
        <w:t>CEO Mark Kim. Chief External Relations Officer Leah Szarek (per 2021 release). CFO, CIO, General Counsel, Chief Risk Officer, Chief Compliance Officer, Chief Regulatory Officer: UNVERIFIED in sources checked.</w:t>
      </w:r>
    </w:p>
    <w:p>
      <w:pPr>
        <w:spacing w:after="80"/>
      </w:pPr>
      <w:r>
        <w:rPr>
          <w:b/>
          <w:sz w:val="21"/>
        </w:rPr>
        <w:t xml:space="preserve">Hierarchy &amp; selection: </w:t>
      </w:r>
      <w:r>
        <w:rPr>
          <w:sz w:val="21"/>
        </w:rPr>
        <w:t>SRO with Congressionally-mandated board composition (majority public members); CEO appointed by the board. Selection mechanics and term lengths: UNVERIFIED in sources checked.</w:t>
      </w:r>
    </w:p>
    <w:p>
      <w:pPr>
        <w:spacing w:after="80"/>
      </w:pPr>
      <w:r>
        <w:rPr>
          <w:b/>
          <w:sz w:val="21"/>
        </w:rPr>
        <w:t xml:space="preserve">How it works: </w:t>
      </w:r>
      <w:r>
        <w:rPr>
          <w:sz w:val="21"/>
        </w:rPr>
        <w:t>Free public website providing official disclosures (official statements, continuing disclosures via EMMA Dataport — 150,000+ submissions/year), real-time secondary-market trade price data (real-time trade reporting system created 2005; EMMA became the official centralized disclosure access point July 1, 2009, SEC-approved May 2009). Interactive tools for issuers, investors, and the public.</w:t>
      </w:r>
    </w:p>
    <w:p>
      <w:pPr>
        <w:spacing w:after="80"/>
      </w:pPr>
      <w:r>
        <w:rPr>
          <w:b/>
          <w:sz w:val="21"/>
        </w:rPr>
        <w:t xml:space="preserve">Website: </w:t>
      </w:r>
      <w:r>
        <w:rPr>
          <w:sz w:val="21"/>
        </w:rPr>
        <w:t>https://emma.msrb.org (MSRB: https://www.msrb.org)</w:t>
      </w:r>
    </w:p>
    <w:p>
      <w:pPr>
        <w:spacing w:after="80"/>
      </w:pPr>
      <w:r>
        <w:rPr>
          <w:b/>
          <w:sz w:val="21"/>
        </w:rPr>
        <w:t xml:space="preserve">Contact: </w:t>
      </w:r>
      <w:r>
        <w:rPr>
          <w:sz w:val="21"/>
        </w:rPr>
        <w:t>MSRB HQ — 1300 I Street NW, Suite 1000, Washington, DC 20005 (per official MSRB correspondence). Main phone: 202-838-1300 (per MSRB press release). Media contact (2021): Leah Szarek, lszarek@msrb.org (current status UNVERIFIED). General/media email: UNVERIFIED as currently published.</w:t>
      </w:r>
    </w:p>
    <w:p>
      <w:pPr>
        <w:spacing w:after="80"/>
      </w:pPr>
      <w:r>
        <w:rPr>
          <w:b/>
          <w:sz w:val="21"/>
        </w:rPr>
        <w:t xml:space="preserve">Annual reports: </w:t>
      </w:r>
      <w:r>
        <w:rPr>
          <w:sz w:val="21"/>
        </w:rPr>
        <w:t>MSRB publishes an annual report on msrb.org (fiscal year-end month and publication timing: UNVERIFIED in sources checked).</w:t>
      </w:r>
    </w:p>
    <w:p>
      <w:pPr>
        <w:spacing w:after="240"/>
      </w:pPr>
      <w:r>
        <w:rPr>
          <w:i/>
          <w:sz w:val="16"/>
        </w:rPr>
        <w:t>MSRB "50 Years of Protecting Investors, Issuers and the Public Interest" (Mark Kim, CEO, Feb 2025, msrb.org); MSRB press releases (EMMA approval May 22, 2009; five-year transparency milestone July 1, 2014); MSRB issuer guide to EMMA; MSRB strategic plan 2022–2025 (Mark Kim, CEO). --- *End of batch 1 — North America (14 entries).*</w:t>
      </w:r>
    </w:p>
    <w:p>
      <w:pPr>
        <w:pStyle w:val="Heading1"/>
      </w:pPr>
      <w:r>
        <w:rPr>
          <w:sz w:val="36"/>
        </w:rPr>
        <w:t>EUROPE &amp; UNITED KINGDOM</w:t>
      </w:r>
    </w:p>
    <w:p>
      <w:pPr>
        <w:pStyle w:val="Heading2"/>
      </w:pPr>
      <w:r>
        <w:rPr>
          <w:sz w:val="24"/>
        </w:rPr>
        <w:t>15. LONDON STOCK EXCHANGE — ORDER BOOK FOR FIXED INCOME SECURITIES (OFIS)</w:t>
      </w:r>
    </w:p>
    <w:p>
      <w:pPr>
        <w:spacing w:after="80"/>
      </w:pPr>
      <w:r>
        <w:rPr>
          <w:b/>
          <w:sz w:val="21"/>
        </w:rPr>
        <w:t xml:space="preserve">Operator: </w:t>
      </w:r>
      <w:r>
        <w:rPr>
          <w:sz w:val="21"/>
        </w:rPr>
        <w:t>London Stock Exchange plc, part of London Stock Exchange Group (LSEG).</w:t>
      </w:r>
    </w:p>
    <w:p>
      <w:pPr>
        <w:spacing w:after="80"/>
      </w:pPr>
      <w:r>
        <w:rPr>
          <w:b/>
          <w:sz w:val="21"/>
        </w:rPr>
        <w:t xml:space="preserve">How it works: </w:t>
      </w:r>
      <w:r>
        <w:rPr>
          <w:sz w:val="21"/>
        </w:rPr>
        <w:t>Electronic order book on the Millennium Exchange platform. Trading is quote-driven via registered market makers; both retail and institutional investors access through member firms, stockbrokers and investment platforms (e.g. AJ Bell, Hargreaves Lansdown, Interactive Investor). Settlement in CREST (Euroclear UK).</w:t>
      </w:r>
    </w:p>
    <w:p>
      <w:pPr>
        <w:spacing w:after="80"/>
      </w:pPr>
      <w:r>
        <w:rPr>
          <w:b/>
          <w:sz w:val="21"/>
        </w:rPr>
        <w:t xml:space="preserve">Website: </w:t>
      </w:r>
      <w:r>
        <w:rPr>
          <w:sz w:val="21"/>
        </w:rPr>
        <w:t>https://www.londonstockexchange.com</w:t>
      </w:r>
    </w:p>
    <w:p>
      <w:pPr>
        <w:spacing w:after="80"/>
      </w:pPr>
      <w:r>
        <w:rPr>
          <w:b/>
          <w:sz w:val="21"/>
        </w:rPr>
        <w:t xml:space="preserve">Contact: </w:t>
      </w:r>
      <w:r>
        <w:rPr>
          <w:sz w:val="21"/>
        </w:rPr>
        <w:t>LSEG Investor Relations: ir@lseg.com (Peregrine Riviere / Chris Turner / Neha Kasabia / Sharon Muzikarova); LSEG Media: +44 (0)20 7797 1222, newsroom@lseg.com (Lucie Holloway / Rhiannon Davies) — as published on LSEG's Q1 2026 trading statement. *LSE plc-specific general email / HQ street address: UNVERIFIED from official pages in this pass.*</w:t>
      </w:r>
    </w:p>
    <w:p>
      <w:pPr>
        <w:spacing w:after="80"/>
      </w:pPr>
      <w:r>
        <w:rPr>
          <w:b/>
          <w:sz w:val="21"/>
        </w:rPr>
        <w:t xml:space="preserve">Annual reports: </w:t>
      </w:r>
      <w:r>
        <w:rPr>
          <w:sz w:val="21"/>
        </w:rPr>
        <w:t>LSEG plc (listed group) — FY ends 31 December; preliminary full-year results in February (FY2025 call: 12 Feb 2026); Annual Report published with the AGM notice in March (2026 AGM notice dated 17 March 2026, lseg.com); interim (half-year) results in July/August (H1 2026 reported late July 2026) and Q1/Q3 trading statements (Q1 2026 call: David Schwimmer &amp; Michel-Alain Proch). Found under Investor Relations on lseg.com. LSE plc itself publishes no separate public annual report (it reports within LSEG).</w:t>
      </w:r>
    </w:p>
    <w:p>
      <w:pPr>
        <w:spacing w:after="240"/>
      </w:pPr>
      <w:r>
        <w:rPr>
          <w:i/>
          <w:sz w:val="16"/>
        </w:rPr>
        <w:t>LSE Market Notice N03/26 (16 Jan 2026, lseg.com); LSE Service Announcement 001/26112025 (Nov 2025, lseg.com); Secured Fixed Income plc PR Newswire listing announcement (Oct 2026, via advfn.com) confirming OFIS admission route; LSE "LSE 24" announcement (Jul 2026) quoting Julia Hoggett as CEO of LSE plc. ---</w:t>
      </w:r>
    </w:p>
    <w:p>
      <w:pPr>
        <w:pStyle w:val="Heading2"/>
      </w:pPr>
      <w:r>
        <w:rPr>
          <w:sz w:val="24"/>
        </w:rPr>
        <w:t>16. MTS — PAN-EUROPEAN ELECTRONIC BOND TRADING</w:t>
      </w:r>
    </w:p>
    <w:p>
      <w:pPr>
        <w:spacing w:after="80"/>
      </w:pPr>
      <w:r>
        <w:rPr>
          <w:b/>
          <w:sz w:val="21"/>
        </w:rPr>
        <w:t xml:space="preserve">Operator: </w:t>
      </w:r>
      <w:r>
        <w:rPr>
          <w:sz w:val="21"/>
        </w:rPr>
        <w:t>MTS S.p.A., part of the Euronext Group. Euronext holds a 63% stake (reported by Bloomberg, October 2026); Italy's state lender CDP holds ~8%. MTS came into Euronext via the Borsa Italiana acquisition completed 29 April 2021 (it had been majority-owned by Euronext/Borsa Italiana since 2005). Founded 1988 by the Italian Treasury; privatised thereafter. Note: in October 2026 the Italian government was reported to be studying a purchase of Euronext's 63% stake via CDP (valued ~€600m); CDP CEO Dario Scannapieco said on 15 October 2026 that CDP has no plan to bid. Status as of 19 Oct 2026: Euronext remains the 63% owner; no sale completed.</w:t>
      </w:r>
    </w:p>
    <w:p>
      <w:pPr>
        <w:spacing w:after="80"/>
      </w:pPr>
      <w:r>
        <w:rPr>
          <w:b/>
          <w:sz w:val="21"/>
        </w:rPr>
        <w:t xml:space="preserve">How it works: </w:t>
      </w:r>
      <w:r>
        <w:rPr>
          <w:sz w:val="21"/>
        </w:rPr>
        <w:t>Anonymous dealer-to-dealer central limit order book (CLOB) for cash government bonds and repo, with full straight-through processing for clearing/settlement; dealer-to-client RFQ/click-to-trade via BondVision; primary-dealer market-making obligations underpin liquidity. Institutional (dealer/buy-side) access; retail access is indirect. Clearing via central counterparties with full STP (per MTS's official description).</w:t>
      </w:r>
    </w:p>
    <w:p>
      <w:pPr>
        <w:spacing w:after="80"/>
      </w:pPr>
      <w:r>
        <w:rPr>
          <w:b/>
          <w:sz w:val="21"/>
        </w:rPr>
        <w:t xml:space="preserve">Website: </w:t>
      </w:r>
      <w:r>
        <w:rPr>
          <w:sz w:val="21"/>
        </w:rPr>
        <w:t>https://www.mtsmarkets.com</w:t>
      </w:r>
    </w:p>
    <w:p>
      <w:pPr>
        <w:spacing w:after="80"/>
      </w:pPr>
      <w:r>
        <w:rPr>
          <w:b/>
          <w:sz w:val="21"/>
        </w:rPr>
        <w:t xml:space="preserve">Contact: </w:t>
      </w:r>
      <w:r>
        <w:rPr>
          <w:sz w:val="21"/>
        </w:rPr>
        <w:t>MTS Markets — email mts.info@euronext.com; Milan: Piazza degli Affari 6, 20123 Milan, Italy, tel. +39 02 7242 6945; London: 25 North Colonnade, London E14 5HS, tel. +44 20 7076 0001 (as published in Euronext's official "Discover MTS Markets" brochure). Media: mediateam@euronext.com (Milan/Rome: Ester Russom +39 02 72 42 67 56, italypressoffice@euronext.com — per mtsmarkets.com release).</w:t>
      </w:r>
    </w:p>
    <w:p>
      <w:pPr>
        <w:spacing w:after="80"/>
      </w:pPr>
      <w:r>
        <w:rPr>
          <w:b/>
          <w:sz w:val="21"/>
        </w:rPr>
        <w:t xml:space="preserve">Annual reports: </w:t>
      </w:r>
      <w:r>
        <w:rPr>
          <w:sz w:val="21"/>
        </w:rPr>
        <w:t>MTS S.p.A. publishes no standalone public annual report identified; it reports within Euronext N.V.'s Universal Registration Document (see Euronext entry). *UNVERIFIED whether MTS files separate statutory accounts publicly.*</w:t>
      </w:r>
    </w:p>
    <w:p>
      <w:pPr>
        <w:spacing w:after="240"/>
      </w:pPr>
      <w:r>
        <w:rPr>
          <w:i/>
          <w:sz w:val="16"/>
        </w:rPr>
        <w:t>Euronext "Discover MTS Markets" brochure (euronext.com); MTS BondVision portfolio-trading announcement quoting CEO Angelo Proni (mtsmarkets.com); Markets Media on MTS EU launch (Nov 2023) and on the 2022 sale of MTS Markets International to Tradition; Euronext press release on Fabrizio Testa's appointment (Nov 2021) confirming Angelo Proni as MTS CEO; Bloomberg via europesays.com and TradingView/Reuters (Oct 2026) on the 63% stake and CDP's "no bid" statement. ---</w:t>
      </w:r>
    </w:p>
    <w:p>
      <w:pPr>
        <w:pStyle w:val="Heading2"/>
      </w:pPr>
      <w:r>
        <w:rPr>
          <w:sz w:val="24"/>
        </w:rPr>
        <w:t>17. EURONEXT — PAN-EUROPEAN BOND LISTING &amp; TRADING SEGMENTS</w:t>
      </w:r>
    </w:p>
    <w:p>
      <w:pPr>
        <w:spacing w:after="80"/>
      </w:pPr>
      <w:r>
        <w:rPr>
          <w:b/>
          <w:sz w:val="21"/>
        </w:rPr>
        <w:t xml:space="preserve">Operator: </w:t>
      </w:r>
      <w:r>
        <w:rPr>
          <w:sz w:val="21"/>
        </w:rPr>
        <w:t>Euronext N.V., listed on its own Amsterdam market (EPA: ENX). Reference shareholders hold 23.56% of capital (as of 24 Nov 2025): Caisse des Dépôts et Consignations 8.08%, CDP Equity 8.08%, SFPI/FPIM 5.34%, Intesa Sanpaolo 1.55%, ABN AMRO 0.52%.</w:t>
      </w:r>
    </w:p>
    <w:p>
      <w:pPr>
        <w:spacing w:after="80"/>
      </w:pPr>
      <w:r>
        <w:rPr>
          <w:b/>
          <w:sz w:val="21"/>
        </w:rPr>
        <w:t xml:space="preserve">How it works: </w:t>
      </w:r>
      <w:r>
        <w:rPr>
          <w:sz w:val="21"/>
        </w:rPr>
        <w:t>Listing venues (regulated markets and MTFs) for primary issuance with Euronext as listing authority under its own rulebooks; secondary trading on the pan-European Optiq® platform; settlement via Euronext Securities CSDs (Denmark, Italy, Norway, Portugal) and Euroclear Bank; clearing via Euronext Clearing. Institutional and retail access depending on segment (GEM is professional/wholesale-oriented; regulated markets admit retail-eligible issues).</w:t>
      </w:r>
    </w:p>
    <w:p>
      <w:pPr>
        <w:spacing w:after="80"/>
      </w:pPr>
      <w:r>
        <w:rPr>
          <w:b/>
          <w:sz w:val="21"/>
        </w:rPr>
        <w:t xml:space="preserve">Website: </w:t>
      </w:r>
      <w:r>
        <w:rPr>
          <w:sz w:val="21"/>
        </w:rPr>
        <w:t>https://www.euronext.com</w:t>
      </w:r>
    </w:p>
    <w:p>
      <w:pPr>
        <w:spacing w:after="80"/>
      </w:pPr>
      <w:r>
        <w:rPr>
          <w:b/>
          <w:sz w:val="21"/>
        </w:rPr>
        <w:t xml:space="preserve">Contact: </w:t>
      </w:r>
      <w:r>
        <w:rPr>
          <w:sz w:val="21"/>
        </w:rPr>
        <w:t>Media contacts as published on euronext.com press releases: Amsterdam +31 20 721 4488; Brussels +32 2 620 15 50; Paris +33 1 70 48 24 17. Investor Relations: ir@euronext.com (Margaux Kurver, IR Manager, +33 6 84 16 85 03; Judith Stein, Head of Investor Relations, +33 (0)6 15 23 91 97 — as published on euronext.com's governance page). Registered office: Amsterdam, the Netherlands (per euronext.com). *HQ street address / main switchboard: UNVERIFIED from official pages in this pass.*</w:t>
      </w:r>
    </w:p>
    <w:p>
      <w:pPr>
        <w:spacing w:after="80"/>
      </w:pPr>
      <w:r>
        <w:rPr>
          <w:b/>
          <w:sz w:val="21"/>
        </w:rPr>
        <w:t xml:space="preserve">Annual reports: </w:t>
      </w:r>
      <w:r>
        <w:rPr>
          <w:sz w:val="21"/>
        </w:rPr>
        <w:t>Euronext N.V. — FY ends 31 December; Universal Registration Document (annual report) published in March/April (2024 URD referenced in governance pages). Quarterly results cadence: Q1/Q3 trading updates, H1/full-year results; Q3 2026 results scheduled 5 November 2026. Found under Investor Relations → Financial information / Regulated information on euronext.com. *(Exact publication month verified only by pattern; confirm on the IR page.)*</w:t>
      </w:r>
    </w:p>
    <w:p>
      <w:pPr>
        <w:spacing w:after="240"/>
      </w:pPr>
      <w:r>
        <w:rPr>
          <w:i/>
          <w:sz w:val="16"/>
        </w:rPr>
        <w:t>Euronext "Did you know? Your bond listing questions answered" (euronext.com); Euronext corporate-bond and commercial-paper listing pages (euronext.com); Euronext 2019 FAQ (BondMatch description); Euronext Dublin market page; Euronext Supervisory Board pages incl. rotation schedule and committee charters (euronext.com); AFM press release on Euronext's €1.8bn Dublin-listed bond (2021); Markets Media/Euronext on the ATHEX acquisition (Nov 2025). ---</w:t>
      </w:r>
    </w:p>
    <w:p>
      <w:pPr>
        <w:pStyle w:val="Heading2"/>
      </w:pPr>
      <w:r>
        <w:rPr>
          <w:sz w:val="24"/>
        </w:rPr>
        <w:t>18. EURONEXT PARIS — FRENCH BOND MARKET (OATS CONTEXT)</w:t>
      </w:r>
    </w:p>
    <w:p>
      <w:pPr>
        <w:spacing w:after="80"/>
      </w:pPr>
      <w:r>
        <w:rPr>
          <w:b/>
          <w:sz w:val="21"/>
        </w:rPr>
        <w:t xml:space="preserve">Operator: </w:t>
      </w:r>
      <w:r>
        <w:rPr>
          <w:sz w:val="21"/>
        </w:rPr>
        <w:t>Euronext Paris S.A., part of Euronext N.V.</w:t>
      </w:r>
    </w:p>
    <w:p>
      <w:pPr>
        <w:spacing w:after="80"/>
      </w:pPr>
      <w:r>
        <w:rPr>
          <w:b/>
          <w:sz w:val="21"/>
        </w:rPr>
        <w:t xml:space="preserve">How it works: </w:t>
      </w:r>
      <w:r>
        <w:rPr>
          <w:sz w:val="21"/>
        </w:rPr>
        <w:t>Euronext Paris admits corporate and other bonds to listing on its regulated market and to trading on BondMatch; secondary trading on Optiq®. OATs themselves are overwhelmingly an OTC/primary-dealer market (MTS France as the electronic interdealer venue), not an exchange order-book market.</w:t>
      </w:r>
    </w:p>
    <w:p>
      <w:pPr>
        <w:spacing w:after="80"/>
      </w:pPr>
      <w:r>
        <w:rPr>
          <w:b/>
          <w:sz w:val="21"/>
        </w:rPr>
        <w:t xml:space="preserve">Website: </w:t>
      </w:r>
      <w:r>
        <w:rPr>
          <w:sz w:val="21"/>
        </w:rPr>
        <w:t>https://www.euronext.com (Paris market)</w:t>
      </w:r>
    </w:p>
    <w:p>
      <w:pPr>
        <w:spacing w:after="80"/>
      </w:pPr>
      <w:r>
        <w:rPr>
          <w:b/>
          <w:sz w:val="21"/>
        </w:rPr>
        <w:t xml:space="preserve">Contact: </w:t>
      </w:r>
      <w:r>
        <w:rPr>
          <w:sz w:val="21"/>
        </w:rPr>
        <w:t>Euronext Paris media: +33 1 70 48 24 17 (as published on euronext.com releases). *General email / address / phone: UNVERIFIED.*</w:t>
      </w:r>
    </w:p>
    <w:p>
      <w:pPr>
        <w:spacing w:after="80"/>
      </w:pPr>
      <w:r>
        <w:rPr>
          <w:b/>
          <w:sz w:val="21"/>
        </w:rPr>
        <w:t xml:space="preserve">Annual reports: </w:t>
      </w:r>
      <w:r>
        <w:rPr>
          <w:sz w:val="21"/>
        </w:rPr>
        <w:t>None standalone — reports within Euronext N.V. (see entry 3).</w:t>
      </w:r>
    </w:p>
    <w:p>
      <w:pPr>
        <w:spacing w:after="240"/>
      </w:pPr>
      <w:r>
        <w:rPr>
          <w:i/>
          <w:sz w:val="16"/>
        </w:rPr>
        <w:t>Euronext 2019 FAQ (euronext.com) on cash markets incl. BondMatch; Eurex circular on options on OAT futures; UBS/ADVFN market commentary on OATs (Oct 2026) for market context. ---</w:t>
      </w:r>
    </w:p>
    <w:p>
      <w:pPr>
        <w:pStyle w:val="Heading2"/>
      </w:pPr>
      <w:r>
        <w:rPr>
          <w:sz w:val="24"/>
        </w:rPr>
        <w:t>19. DEUTSCHE BÖRSE / EUREX BONDS (GERMANY)</w:t>
      </w:r>
    </w:p>
    <w:p>
      <w:pPr>
        <w:spacing w:after="80"/>
      </w:pPr>
      <w:r>
        <w:rPr>
          <w:b/>
          <w:sz w:val="21"/>
        </w:rPr>
        <w:t xml:space="preserve">Operator: </w:t>
      </w:r>
      <w:r>
        <w:rPr>
          <w:sz w:val="21"/>
        </w:rPr>
        <w:t>Eurex Bonds GmbH / Eurex Frankfurt AG, part of Deutsche Börse Group (Deutsche Börse AG, listed, DAX constituent).</w:t>
      </w:r>
    </w:p>
    <w:p>
      <w:pPr>
        <w:spacing w:after="80"/>
      </w:pPr>
      <w:r>
        <w:rPr>
          <w:b/>
          <w:sz w:val="21"/>
        </w:rPr>
        <w:t xml:space="preserve">How it works: </w:t>
      </w:r>
      <w:r>
        <w:rPr>
          <w:sz w:val="21"/>
        </w:rPr>
        <w:t>Eurex Bonds runs a central quote/order book: quotes and orders are entered electronically and executed against the best bid/ask (price-time priority; fill-or-kill / immediate-or-cancel supported). Direct link between cash and futures markets enables electronic basis trading; clearing and settlement through Eurex Clearing AG (central counterparty). Open to banks and financial-services firms meeting trading/clearing admission requirements — institutional/dealer market. The German Finance Agency conducts its secondary-market activities in German government bonds on Eurex Bonds.</w:t>
      </w:r>
    </w:p>
    <w:p>
      <w:pPr>
        <w:spacing w:after="80"/>
      </w:pPr>
      <w:r>
        <w:rPr>
          <w:b/>
          <w:sz w:val="21"/>
        </w:rPr>
        <w:t xml:space="preserve">Website: </w:t>
      </w:r>
      <w:r>
        <w:rPr>
          <w:sz w:val="21"/>
        </w:rPr>
        <w:t>https://www.eurex.com (Eurex Bonds); https://www.deutsche-boerse.com (group)</w:t>
      </w:r>
    </w:p>
    <w:p>
      <w:pPr>
        <w:spacing w:after="80"/>
      </w:pPr>
      <w:r>
        <w:rPr>
          <w:b/>
          <w:sz w:val="21"/>
        </w:rPr>
        <w:t xml:space="preserve">Contact: </w:t>
      </w:r>
      <w:r>
        <w:rPr>
          <w:sz w:val="21"/>
        </w:rPr>
        <w:t>Deutsche Börse AG, 60485 Frankfurt am Main, Germany; tel. +49-(0) 69-2 11-0; email info@deutsche-boerse.com (as published in Deutsche Börse's official privacy notice, cashmarket.deutsche-boerse.com). Group HQ campus: Mergenthalerallee 61 ("The Cube"), 65760 Eschborn (per Deutsche Börse AGM documents).</w:t>
      </w:r>
    </w:p>
    <w:p>
      <w:pPr>
        <w:spacing w:after="80"/>
      </w:pPr>
      <w:r>
        <w:rPr>
          <w:b/>
          <w:sz w:val="21"/>
        </w:rPr>
        <w:t xml:space="preserve">Annual reports: </w:t>
      </w:r>
      <w:r>
        <w:rPr>
          <w:sz w:val="21"/>
        </w:rPr>
        <w:t>Deutsche Börse AG — FY ends 31 December; Annual Report published in February/March (preliminary Q4/FY2025 results call held 12 February 2026); quarterly interim reports (Q1/Q3) and half-year report. Found under Investor Relations → Reports on deutsche-boerse.com. AGM 2026 held 13 May 2026.</w:t>
      </w:r>
    </w:p>
    <w:p>
      <w:pPr>
        <w:spacing w:after="240"/>
      </w:pPr>
      <w:r>
        <w:rPr>
          <w:i/>
          <w:sz w:val="16"/>
        </w:rPr>
        <w:t>Eurex Bonds circulars (eurex.com: Pricing Model Release 10.3.1; circulars 66/09 and 35/12 on products &amp; segmentation); SIFMA "eCommerce in the Fixed-Income Markets" 2002 review (Eurex Bonds GmbH profile); MondoVisione 5th-anniversary release (2005); Deutsche Börse press release on EU-Bond Futures launch (2025); Deutsche Börse CV of Stephan Leithner (deutsche-boerse.com, as of 10 June 2026); Seeking Alpha transcript of Deutsche Börse Q4 2025 earnings call (Jens Schulte, CFO); Deutsche Börse AGM 2026 page (Clara-Christina Streit, Chair of the Supervisory Board). ---</w:t>
      </w:r>
    </w:p>
    <w:p>
      <w:pPr>
        <w:pStyle w:val="Heading2"/>
      </w:pPr>
      <w:r>
        <w:rPr>
          <w:sz w:val="24"/>
        </w:rPr>
        <w:t>20. BORSA ITALIANA — MOT, EUROMOT, EXTRAMOT (ITALY)</w:t>
      </w:r>
    </w:p>
    <w:p>
      <w:pPr>
        <w:spacing w:after="80"/>
      </w:pPr>
      <w:r>
        <w:rPr>
          <w:b/>
          <w:sz w:val="21"/>
        </w:rPr>
        <w:t xml:space="preserve">Operator: </w:t>
      </w:r>
      <w:r>
        <w:rPr>
          <w:sz w:val="21"/>
        </w:rPr>
        <w:t>Borsa Italiana S.p.A., part of the Euronext Group since the acquisition from LSEG completed 29 April 2021 (€4,444m final consideration).</w:t>
      </w:r>
    </w:p>
    <w:p>
      <w:pPr>
        <w:spacing w:after="80"/>
      </w:pPr>
      <w:r>
        <w:rPr>
          <w:b/>
          <w:sz w:val="21"/>
        </w:rPr>
        <w:t xml:space="preserve">How it works: </w:t>
      </w:r>
      <w:r>
        <w:rPr>
          <w:sz w:val="21"/>
        </w:rPr>
        <w:t>Fully electronic order-driven markets on Euronext's Optiq® platform with designated market makers/liquidity providers; strong retail and institutional participation — Borsa Italiana describes MOT as the European leader for electronically traded bond contracts. Settlement via Euronext Securities Milan (Monte Titoli); clearing via Euronext Clearing where applicable. No listing sponsor required for MOT admission.</w:t>
      </w:r>
    </w:p>
    <w:p>
      <w:pPr>
        <w:spacing w:after="80"/>
      </w:pPr>
      <w:r>
        <w:rPr>
          <w:b/>
          <w:sz w:val="21"/>
        </w:rPr>
        <w:t xml:space="preserve">Website: </w:t>
      </w:r>
      <w:r>
        <w:rPr>
          <w:sz w:val="21"/>
        </w:rPr>
        <w:t>https://www.borsaitaliana.it</w:t>
      </w:r>
    </w:p>
    <w:p>
      <w:pPr>
        <w:spacing w:after="80"/>
      </w:pPr>
      <w:r>
        <w:rPr>
          <w:b/>
          <w:sz w:val="21"/>
        </w:rPr>
        <w:t xml:space="preserve">Contact: </w:t>
      </w:r>
      <w:r>
        <w:rPr>
          <w:sz w:val="21"/>
        </w:rPr>
        <w:t>Media Relations: media.relations@borsaitaliana.it, +39 02 72426.211 (as published on borsaitaliana.it press releases). HQ: Palazzo Mezzanotte, Piazza degli Affari 6, 20123 Milano (as published on borsaitaliana.it). *General contact email / main switchboard: UNVERIFIED from official pages in this pass.*</w:t>
      </w:r>
    </w:p>
    <w:p>
      <w:pPr>
        <w:spacing w:after="80"/>
      </w:pPr>
      <w:r>
        <w:rPr>
          <w:b/>
          <w:sz w:val="21"/>
        </w:rPr>
        <w:t xml:space="preserve">Annual reports: </w:t>
      </w:r>
      <w:r>
        <w:rPr>
          <w:sz w:val="21"/>
        </w:rPr>
        <w:t>None standalone identified — Borsa Italiana reports within Euronext N.V.'s Universal Registration Document (see entry 3). *UNVERIFIED whether Borsa Italiana S.p.A. publishes separate statutory accounts publicly.*</w:t>
      </w:r>
    </w:p>
    <w:p>
      <w:pPr>
        <w:spacing w:after="240"/>
      </w:pPr>
      <w:r>
        <w:rPr>
          <w:i/>
          <w:sz w:val="16"/>
        </w:rPr>
        <w:t>Euronext bond-listing pages for MOT Milan and Euronext Access Milan (euronext.com); Borsa Italiana market reviews 2011/2014/2015/2017 (borsaitaliana.it); LuxCSD Italy market profile (MOT/EuroMOT definitions); Euronext press release "New CEO for Borsa Italiana" (Nov 2021); Investopia speaker bio for Fabrizio Testa (crawled Oct 2026); globalbankingandfinance.com on CDP's push for a CEO change (Feb 2026). ---</w:t>
      </w:r>
    </w:p>
    <w:p>
      <w:pPr>
        <w:pStyle w:val="Heading2"/>
      </w:pPr>
      <w:r>
        <w:rPr>
          <w:sz w:val="24"/>
        </w:rPr>
        <w:t>21. BME — AIAF / MARF / SEND (SPAIN)</w:t>
      </w:r>
    </w:p>
    <w:p>
      <w:pPr>
        <w:spacing w:after="80"/>
      </w:pPr>
      <w:r>
        <w:rPr>
          <w:b/>
          <w:sz w:val="21"/>
        </w:rPr>
        <w:t xml:space="preserve">Operator: </w:t>
      </w:r>
      <w:r>
        <w:rPr>
          <w:sz w:val="21"/>
        </w:rPr>
        <w:t>Bolsas y Mercados Españoles (BME), part of SIX Group since the 2020 all-cash takeover (€33.40/share; SIX pledged to keep BME's brands, activities, HQ and offices).</w:t>
      </w:r>
    </w:p>
    <w:p>
      <w:pPr>
        <w:spacing w:after="80"/>
      </w:pPr>
      <w:r>
        <w:rPr>
          <w:b/>
          <w:sz w:val="21"/>
        </w:rPr>
        <w:t xml:space="preserve">How it works: </w:t>
      </w:r>
      <w:r>
        <w:rPr>
          <w:sz w:val="21"/>
        </w:rPr>
        <w:t>Electronic trading (SEND order book for retail-sized tickets; wholesale/dealer trading for AIAF); MARF operates as an MTF with lighter admission requirements, registered advisers and quicker procedures for mid-cap issuers. Clearing/settlement through Iberclear (BME's central securities depository). Retail investors access SEND bonds through brokers like on the cash equity market.</w:t>
      </w:r>
    </w:p>
    <w:p>
      <w:pPr>
        <w:spacing w:after="80"/>
      </w:pPr>
      <w:r>
        <w:rPr>
          <w:b/>
          <w:sz w:val="21"/>
        </w:rPr>
        <w:t xml:space="preserve">Website: </w:t>
      </w:r>
      <w:r>
        <w:rPr>
          <w:sz w:val="21"/>
        </w:rPr>
        <w:t>https://www.bolsasymercados.es</w:t>
      </w:r>
    </w:p>
    <w:p>
      <w:pPr>
        <w:spacing w:after="80"/>
      </w:pPr>
      <w:r>
        <w:rPr>
          <w:b/>
          <w:sz w:val="21"/>
        </w:rPr>
        <w:t xml:space="preserve">Contact: </w:t>
      </w:r>
      <w:r>
        <w:rPr>
          <w:sz w:val="21"/>
        </w:rPr>
        <w:t>Published on bolsasymercados.es: +34 91 709 5000 (general contact). *General/media email addresses and HQ street address: UNVERIFIED from official pages in this pass.*</w:t>
      </w:r>
    </w:p>
    <w:p>
      <w:pPr>
        <w:spacing w:after="80"/>
      </w:pPr>
      <w:r>
        <w:rPr>
          <w:b/>
          <w:sz w:val="21"/>
        </w:rPr>
        <w:t xml:space="preserve">Annual reports: </w:t>
      </w:r>
      <w:r>
        <w:rPr>
          <w:sz w:val="21"/>
        </w:rPr>
        <w:t>SIX Group — FY ends 31 December; Annual Report published ~March (2025 figures: operating income CHF 1.7bn, EBITDA CHF 460m, released with the annual results). BME no longer publishes a standalone listed-company annual report post-takeover (it delisted). *Exact publication timing and IR page path: UNVERIFIED from official pages in this pass.*</w:t>
      </w:r>
    </w:p>
    <w:p>
      <w:pPr>
        <w:spacing w:after="240"/>
      </w:pPr>
      <w:r>
        <w:rPr>
          <w:i/>
          <w:sz w:val="16"/>
        </w:rPr>
        <w:t>BME Operating Instruction 01/2026 on the absorption of BME Renta Fija (bolsasymercados.es); BME Market Data fixed-income MIC codes (bmemarketdata.es); SIX Group / BME press releases quoting Juan Flames as CEO BME and Bjørn Sibbern as Chairman of BME (six-group.com, bolsasymercados.es, Dec 2025 &amp; Jun 2026); The TRADE on MARF's 2013 launch; Finextra on SEND's launch (2010); Asset Servicing Times on SIX's BME acquisition. ---</w:t>
      </w:r>
    </w:p>
    <w:p>
      <w:pPr>
        <w:pStyle w:val="Heading2"/>
      </w:pPr>
      <w:r>
        <w:rPr>
          <w:sz w:val="24"/>
        </w:rPr>
        <w:t>22. SIX SWISS EXCHANGE (SWITZERLAND)</w:t>
      </w:r>
    </w:p>
    <w:p>
      <w:pPr>
        <w:spacing w:after="80"/>
      </w:pPr>
      <w:r>
        <w:rPr>
          <w:b/>
          <w:sz w:val="21"/>
        </w:rPr>
        <w:t xml:space="preserve">Operator: </w:t>
      </w:r>
      <w:r>
        <w:rPr>
          <w:sz w:val="21"/>
        </w:rPr>
        <w:t>SIX Swiss Exchange AG, part of SIX Group AG — owned by its users, about 120 Swiss and international financial institutions.</w:t>
      </w:r>
    </w:p>
    <w:p>
      <w:pPr>
        <w:spacing w:after="80"/>
      </w:pPr>
      <w:r>
        <w:rPr>
          <w:b/>
          <w:sz w:val="21"/>
        </w:rPr>
        <w:t xml:space="preserve">How it works: </w:t>
      </w:r>
      <w:r>
        <w:rPr>
          <w:sz w:val="21"/>
        </w:rPr>
        <w:t>Fully electronic (floor trading discontinued 1996); bonds trade on the same matching engine as equities. CLOB for liquid issues; RFQ (QOD) for buy-side price discovery in CHF bonds; large-block platform for less-liquid corporate bonds with electronic price/volume agreement and no negative market impact. Trading participants connect via existing SIX interfaces; transactions clear/settle through SIX infrastructure (SIX SIS as CSD; CCP where eligible). Regulated by FINMA; market supervision by SIX Exchange Regulation AG.</w:t>
      </w:r>
    </w:p>
    <w:p>
      <w:pPr>
        <w:spacing w:after="80"/>
      </w:pPr>
      <w:r>
        <w:rPr>
          <w:b/>
          <w:sz w:val="21"/>
        </w:rPr>
        <w:t xml:space="preserve">Website: </w:t>
      </w:r>
      <w:r>
        <w:rPr>
          <w:sz w:val="21"/>
        </w:rPr>
        <w:t>https://www.six-group.com</w:t>
      </w:r>
    </w:p>
    <w:p>
      <w:pPr>
        <w:spacing w:after="80"/>
      </w:pPr>
      <w:r>
        <w:rPr>
          <w:b/>
          <w:sz w:val="21"/>
        </w:rPr>
        <w:t xml:space="preserve">Contact: </w:t>
      </w:r>
      <w:r>
        <w:rPr>
          <w:sz w:val="21"/>
        </w:rPr>
        <w:t>Alain Bichsel, Media Relations / Head Marketing &amp; Communications: +41 58 399 2675 (as published on six-group.com releases). *General contact email / HQ street address / main switchboard: UNVERIFIED from official pages in this pass.*</w:t>
      </w:r>
    </w:p>
    <w:p>
      <w:pPr>
        <w:spacing w:after="80"/>
      </w:pPr>
      <w:r>
        <w:rPr>
          <w:b/>
          <w:sz w:val="21"/>
        </w:rPr>
        <w:t xml:space="preserve">Annual reports: </w:t>
      </w:r>
      <w:r>
        <w:rPr>
          <w:sz w:val="21"/>
        </w:rPr>
        <w:t>SIX Group — FY ends 31 December; Annual Report published in March (2025 results published with annual media release). *Quarterly reporting: SIX publishes monthly "SIX Exchanges Figures" trading statistics; whether it publishes quarterly financial reports: UNVERIFIED.* Found under Newsroom/Investor-type sections on six-group.com. *(Exact IR page path: UNVERIFIED.)*</w:t>
      </w:r>
    </w:p>
    <w:p>
      <w:pPr>
        <w:spacing w:after="240"/>
      </w:pPr>
      <w:r>
        <w:rPr>
          <w:i/>
          <w:sz w:val="16"/>
        </w:rPr>
        <w:t>SIX Group newsroom — QOD for CHF Bonds launch (10 Jun 2024) quoting Ueli Goldener, Head Fixed Income; SIX bond-listing FAQ (six-group.com); SIX key-figures releases quoting Juan Flames and Bjørn Sibbern (six-group.com, Jun 2026); BME press release on SIX board changes naming André Helfenstein as Chairman (May 2026); BME press release on Thomas Wellauer concluding his term at AGM 2026; RBC Investor &amp; Treasury Services Switzerland market profile; Asset Servicing Times on the SIX corporate-bond platform launch. ---</w:t>
      </w:r>
    </w:p>
    <w:p>
      <w:pPr>
        <w:pStyle w:val="Heading2"/>
      </w:pPr>
      <w:r>
        <w:rPr>
          <w:sz w:val="24"/>
        </w:rPr>
        <w:t>23. NASDAQ NORDIC — BOND LISTS (SWEDEN, DENMARK, FINLAND, ICELAND)</w:t>
      </w:r>
    </w:p>
    <w:p>
      <w:pPr>
        <w:spacing w:after="80"/>
      </w:pPr>
      <w:r>
        <w:rPr>
          <w:b/>
          <w:sz w:val="21"/>
        </w:rPr>
        <w:t xml:space="preserve">Operator: </w:t>
      </w:r>
      <w:r>
        <w:rPr>
          <w:sz w:val="21"/>
        </w:rPr>
        <w:t>Nasdaq, Inc. (Nasdaq: NDAQ), the US-listed global technology/exchange group.</w:t>
      </w:r>
    </w:p>
    <w:p>
      <w:pPr>
        <w:spacing w:after="80"/>
      </w:pPr>
      <w:r>
        <w:rPr>
          <w:b/>
          <w:sz w:val="21"/>
        </w:rPr>
        <w:t xml:space="preserve">How it works: </w:t>
      </w:r>
      <w:r>
        <w:rPr>
          <w:sz w:val="21"/>
        </w:rPr>
        <w:t>Electronic trading on Nasdaq's INET-based Nordic platform. Retail segments: central order book with limit/market/fill-or-kill/immediate-or-cancel orders. Wholesale segments: competing market-maker indicative quotes. Nasdaq Clearing provides CCP clearing for fixed-income derivatives and a repo clearing service. Retail and institutional access via exchange members; issuers list with a prospectus approved by the national FSA (e.g. Sweden's Finansinspektionen).</w:t>
      </w:r>
    </w:p>
    <w:p>
      <w:pPr>
        <w:spacing w:after="80"/>
      </w:pPr>
      <w:r>
        <w:rPr>
          <w:b/>
          <w:sz w:val="21"/>
        </w:rPr>
        <w:t xml:space="preserve">Website: </w:t>
      </w:r>
      <w:r>
        <w:rPr>
          <w:sz w:val="21"/>
        </w:rPr>
        <w:t>https://www.nasdaq.com (European markets → Fixed income)</w:t>
      </w:r>
    </w:p>
    <w:p>
      <w:pPr>
        <w:spacing w:after="80"/>
      </w:pPr>
      <w:r>
        <w:rPr>
          <w:b/>
          <w:sz w:val="21"/>
        </w:rPr>
        <w:t xml:space="preserve">Contact: </w:t>
      </w:r>
      <w:r>
        <w:rPr>
          <w:sz w:val="21"/>
        </w:rPr>
        <w:t>Nasdaq media contact (Nordic): Erik Gruvfors, +46 73 449 78 12, erik.gruvfors@nasdaq.com (as published on Nasdaq Nordic releases). *General contact email / HQ address / main phone: UNVERIFIED from official pages in this pass.*</w:t>
      </w:r>
    </w:p>
    <w:p>
      <w:pPr>
        <w:spacing w:after="80"/>
      </w:pPr>
      <w:r>
        <w:rPr>
          <w:b/>
          <w:sz w:val="21"/>
        </w:rPr>
        <w:t xml:space="preserve">Annual reports: </w:t>
      </w:r>
      <w:r>
        <w:rPr>
          <w:sz w:val="21"/>
        </w:rPr>
        <w:t>Nasdaq, Inc. — FY ends 31 December; Annual Report on Form 10-K published in February; quarterly 10-Q reports; annual shareholder meeting in June (2026 meeting: 10 June 2026). Found under Investor Relations on nasdaq.com.</w:t>
      </w:r>
    </w:p>
    <w:p>
      <w:pPr>
        <w:spacing w:after="240"/>
      </w:pPr>
      <w:r>
        <w:rPr>
          <w:i/>
          <w:sz w:val="16"/>
        </w:rPr>
        <w:t>Nasdaq "European Fixed Income" page (nasdaq.com); Nasdaq OMX Nordic Market Model (attachment.news.eu.nasdaq.com); Nasdaq press releases on Stockholm leadership — Adam Kostyál as President/Head of European Listings, Fredrik Ekström as SVP European Fixed Income &amp; ESG and incoming Chair, Gunilla Hellqvist as VP/COO European Markets (nasdaq.com, view.news.eu.nasdaq.com); Nasdaq Nordic "About Us &amp; Legal — Governance within the Nordic Exchanges" (new.nasdaq.com); MFN/GlobeNewswire releases on Åhléns, Oatly and XPartners Nasdaq Stockholm corporate-bond-list admissions (2026). ---</w:t>
      </w:r>
    </w:p>
    <w:p>
      <w:pPr>
        <w:pStyle w:val="Heading2"/>
      </w:pPr>
      <w:r>
        <w:rPr>
          <w:sz w:val="24"/>
        </w:rPr>
        <w:t>24. LUXEMBOURG STOCK EXCHANGE — LUXSE, LUXXPRIME &amp; LGX</w:t>
      </w:r>
    </w:p>
    <w:p>
      <w:pPr>
        <w:spacing w:after="80"/>
      </w:pPr>
      <w:r>
        <w:rPr>
          <w:b/>
          <w:sz w:val="21"/>
        </w:rPr>
        <w:t xml:space="preserve">Operator: </w:t>
      </w:r>
      <w:r>
        <w:rPr>
          <w:sz w:val="21"/>
        </w:rPr>
        <w:t>Luxembourg Stock Exchange (LuxSE), operating as a société anonyme. *Ownership structure: UNVERIFIED in this pass.*</w:t>
      </w:r>
    </w:p>
    <w:p>
      <w:pPr>
        <w:spacing w:after="80"/>
      </w:pPr>
      <w:r>
        <w:rPr>
          <w:b/>
          <w:sz w:val="21"/>
        </w:rPr>
        <w:t xml:space="preserve">How it works: </w:t>
      </w:r>
      <w:r>
        <w:rPr>
          <w:sz w:val="21"/>
        </w:rPr>
        <w:t>Listing-first model: issuers list debt on the regulated market or Euro MTF (fast, international documentation); secondary trading on LuxXPrime with committed liquidity providers quoting two-way prices; clearing via international CSDs (Clearstream Banking Luxembourg, Euroclear) — and since 2 December 2024 the appointed Clearing Organisation for LuxSE markets is Euronext Clearing, the Euronext Group's CCP (LuxSE notice, Dec 2024). LGX is a display/visibility platform with strict admissibility criteria (self-labelling, use-of-proceeds disclosure, ex-ante external review, ex-post reporting; exclusions: nuclear, fossil fuels, etc.) — bonds must first be listed on a LuxSE market. Institutional and (via ESAG/LuxXPrime) retail access.</w:t>
      </w:r>
    </w:p>
    <w:p>
      <w:pPr>
        <w:spacing w:after="80"/>
      </w:pPr>
      <w:r>
        <w:rPr>
          <w:b/>
          <w:sz w:val="21"/>
        </w:rPr>
        <w:t xml:space="preserve">Website: </w:t>
      </w:r>
      <w:r>
        <w:rPr>
          <w:sz w:val="21"/>
        </w:rPr>
        <w:t>https://www.luxse.com</w:t>
      </w:r>
    </w:p>
    <w:p>
      <w:pPr>
        <w:spacing w:after="80"/>
      </w:pPr>
      <w:r>
        <w:rPr>
          <w:b/>
          <w:sz w:val="21"/>
        </w:rPr>
        <w:t xml:space="preserve">Contact: </w:t>
      </w:r>
      <w:r>
        <w:rPr>
          <w:sz w:val="21"/>
        </w:rPr>
        <w:t>Luxembourg Stock Exchange, 35A Boulevard Joseph II, L-1840 Luxembourg (postal: B.P. 165, L-2011 Luxembourg); T +352 47 79 36-1 (as published in LuxSE's official Rules &amp; Regulations and listing documents). Secretary General: Christian Dohmen (General Counsel). *General contact email: UNVERIFIED from official pages in this pass (operational emails such as membership@luxse.com and ost@luxse.com appear in LuxSE forms for specific functions).*</w:t>
      </w:r>
    </w:p>
    <w:p>
      <w:pPr>
        <w:spacing w:after="80"/>
      </w:pPr>
      <w:r>
        <w:rPr>
          <w:b/>
          <w:sz w:val="21"/>
        </w:rPr>
        <w:t xml:space="preserve">Annual reports: </w:t>
      </w:r>
      <w:r>
        <w:rPr>
          <w:sz w:val="21"/>
        </w:rPr>
        <w:t>LuxSE — FY ends 31 December; annual results/annual report published ~March–April (2025 results reported with "all-time high listing numbers," July 2026 coverage). *Quarterly reporting: UNVERIFIED; exact IR/annual-report page path on luxse.com: UNVERIFIED in this pass.*</w:t>
      </w:r>
    </w:p>
    <w:p>
      <w:pPr>
        <w:spacing w:after="240"/>
      </w:pPr>
      <w:r>
        <w:rPr>
          <w:i/>
          <w:sz w:val="16"/>
        </w:rPr>
        <w:t>LuxSE press releases — ESAG launch (1 Oct 2026), LuxXPrime coverage figures, strategic ExCo changes (Deputy CEO Pierre Schoonbroodt, CCO Arnaud Delestienne, COO Laetitia Hamon) (luxse.com); Merkur Magazine on 2025 results (49,994 securities, €1.65tn, 32% share; Alain Kinsch quoted as President of the Board); Delano on ESAG/LuxXPrime (Oct 2026); Luxembourg for Finance on LGX's 10th anniversary (Sep 2026: 2,400+ bonds, €1.3tn, 41% share); Markets Media on LGX passing €1tn (Feb 2024); OECD on LGX (2024: 2,100+ green bonds, 60 countries; 42% of global sustainable bonds listed on LGX); lexgo.lu on the 2016 LGX launch (114 green bonds, 25 issuers, $45bn). ---</w:t>
      </w:r>
    </w:p>
    <w:p>
      <w:pPr>
        <w:pStyle w:val="Heading2"/>
      </w:pPr>
      <w:r>
        <w:rPr>
          <w:sz w:val="24"/>
        </w:rPr>
        <w:t>25. EURONEXT DUBLIN — DEBT LISTING VENUE (GEM)</w:t>
      </w:r>
    </w:p>
    <w:p>
      <w:pPr>
        <w:spacing w:after="80"/>
      </w:pPr>
      <w:r>
        <w:rPr>
          <w:b/>
          <w:sz w:val="21"/>
        </w:rPr>
        <w:t xml:space="preserve">Operator: </w:t>
      </w:r>
      <w:r>
        <w:rPr>
          <w:sz w:val="21"/>
        </w:rPr>
        <w:t>The Irish Stock Exchange plc, trading as Euronext Dublin; part of Euronext N.V. since March 2018.</w:t>
      </w:r>
    </w:p>
    <w:p>
      <w:pPr>
        <w:spacing w:after="80"/>
      </w:pPr>
      <w:r>
        <w:rPr>
          <w:b/>
          <w:sz w:val="21"/>
        </w:rPr>
        <w:t xml:space="preserve">How it works: </w:t>
      </w:r>
      <w:r>
        <w:rPr>
          <w:sz w:val="21"/>
        </w:rPr>
        <w:t>Listing-focused venue: issuers submit a dual filing to Euronext Dublin (listing authority) and the Central Bank of Ireland (prospectus approval); Euronext's fast-track GEM process suits high-frequency issuers, SPVs, CLO/ABS and structured-debt programmes with flexible documentation and no EU Prospectus requirement. Trading on the pan-European Optiq® platform; settlement in Euroclear Bank. Wholesale/institutional investor base; issuers from 100+ countries.</w:t>
      </w:r>
    </w:p>
    <w:p>
      <w:pPr>
        <w:spacing w:after="80"/>
      </w:pPr>
      <w:r>
        <w:rPr>
          <w:b/>
          <w:sz w:val="21"/>
        </w:rPr>
        <w:t xml:space="preserve">Website: </w:t>
      </w:r>
      <w:r>
        <w:rPr>
          <w:sz w:val="21"/>
        </w:rPr>
        <w:t>https://www.euronext.com (Dublin market)</w:t>
      </w:r>
    </w:p>
    <w:p>
      <w:pPr>
        <w:spacing w:after="80"/>
      </w:pPr>
      <w:r>
        <w:rPr>
          <w:b/>
          <w:sz w:val="21"/>
        </w:rPr>
        <w:t xml:space="preserve">Contact: </w:t>
      </w:r>
      <w:r>
        <w:rPr>
          <w:sz w:val="21"/>
        </w:rPr>
        <w:t>*Official general email / HQ address / main phone: UNVERIFIED from official pages in this pass.*</w:t>
      </w:r>
    </w:p>
    <w:p>
      <w:pPr>
        <w:spacing w:after="80"/>
      </w:pPr>
      <w:r>
        <w:rPr>
          <w:b/>
          <w:sz w:val="21"/>
        </w:rPr>
        <w:t xml:space="preserve">Annual reports: </w:t>
      </w:r>
      <w:r>
        <w:rPr>
          <w:sz w:val="21"/>
        </w:rPr>
        <w:t>None standalone — reports within Euronext N.V. (see entry 3).</w:t>
      </w:r>
    </w:p>
    <w:p>
      <w:pPr>
        <w:spacing w:after="240"/>
      </w:pPr>
      <w:r>
        <w:rPr>
          <w:i/>
          <w:sz w:val="16"/>
        </w:rPr>
        <w:t>Euronext "Did you know? Your bond listing questions answered" (GEM description, 30,000+ securities); Euronext Dublin market pages ("centre of excellence for Debt and Funds listings"); Euronext press release "New CEO at Euronext Dublin" (Daryl Byrne appointment); Euronext Dublin pre-budget submission 2025 (Daryl Byrne quoted as CEO); AFM notice on Euronext's €1.8bn Dublin-listed bond. ---</w:t>
      </w:r>
    </w:p>
    <w:p>
      <w:pPr>
        <w:pStyle w:val="Heading2"/>
      </w:pPr>
      <w:r>
        <w:rPr>
          <w:sz w:val="24"/>
        </w:rPr>
        <w:t>26. VIENNA STOCK EXCHANGE — WIENER BÖRSE (AUSTRIA)</w:t>
      </w:r>
    </w:p>
    <w:p>
      <w:pPr>
        <w:spacing w:after="80"/>
      </w:pPr>
      <w:r>
        <w:rPr>
          <w:b/>
          <w:sz w:val="21"/>
        </w:rPr>
        <w:t xml:space="preserve">Operator: </w:t>
      </w:r>
      <w:r>
        <w:rPr>
          <w:sz w:val="21"/>
        </w:rPr>
        <w:t>Wiener Börse AG — a 100% subsidiary of CEE Stock Exchange Group (CEESEG); operates the Vienna and Prague stock exchanges and partners with Budapest, Ljubljana and Zagreb (all on Deutsche Börse's T7 technology, partnership extended to end-2033).</w:t>
      </w:r>
    </w:p>
    <w:p>
      <w:pPr>
        <w:spacing w:after="80"/>
      </w:pPr>
      <w:r>
        <w:rPr>
          <w:b/>
          <w:sz w:val="21"/>
        </w:rPr>
        <w:t xml:space="preserve">How it works: </w:t>
      </w:r>
      <w:r>
        <w:rPr>
          <w:sz w:val="21"/>
        </w:rPr>
        <w:t>Electronic trading on Xetra T7 (in use in Vienna since 1999). Corporate bonds: daily auction, or continuous auction with the issuer as exclusive market maker; sovereign/financial bonds: daily auction or continuous trading with at least one broker market maker. Clearing in euro via CCP (where eligible); settlement through the Austrian CSD (OeKB) / CSD Prague. Retail and institutional access via exchange members; corporate-bond minimum denominations are typically institutional (€100,000).</w:t>
      </w:r>
    </w:p>
    <w:p>
      <w:pPr>
        <w:spacing w:after="80"/>
      </w:pPr>
      <w:r>
        <w:rPr>
          <w:b/>
          <w:sz w:val="21"/>
        </w:rPr>
        <w:t xml:space="preserve">Website: </w:t>
      </w:r>
      <w:r>
        <w:rPr>
          <w:sz w:val="21"/>
        </w:rPr>
        <w:t>https://www.wienerborse.at</w:t>
      </w:r>
    </w:p>
    <w:p>
      <w:pPr>
        <w:spacing w:after="80"/>
      </w:pPr>
      <w:r>
        <w:rPr>
          <w:b/>
          <w:sz w:val="21"/>
        </w:rPr>
        <w:t xml:space="preserve">Contact: </w:t>
      </w:r>
      <w:r>
        <w:rPr>
          <w:sz w:val="21"/>
        </w:rPr>
        <w:t>Media/press phone +43 1 531 65-186 (as published on wienerborse.at press releases); Issuers team +43 1 531 65-156 (wienerborse.at listing pages). *General contact email / HQ street address: UNVERIFIED from official pages in this pass.*</w:t>
      </w:r>
    </w:p>
    <w:p>
      <w:pPr>
        <w:spacing w:after="80"/>
      </w:pPr>
      <w:r>
        <w:rPr>
          <w:b/>
          <w:sz w:val="21"/>
        </w:rPr>
        <w:t xml:space="preserve">Annual reports: </w:t>
      </w:r>
      <w:r>
        <w:rPr>
          <w:sz w:val="21"/>
        </w:rPr>
        <w:t>Wiener Börse AG — FY ends 31 December; annual report/financial results published ~March (2025 record results announced 2026; Q1–Q3 2026 figures published October 2026). *Quarterly reporting cadence and exact report page path on wienerborse.at: UNVERIFIED in this pass.*</w:t>
      </w:r>
    </w:p>
    <w:p>
      <w:pPr>
        <w:spacing w:after="240"/>
      </w:pPr>
      <w:r>
        <w:rPr>
          <w:i/>
          <w:sz w:val="16"/>
        </w:rPr>
        <w:t>Wiener Börse listing guide "Trading in bonds" (wienerborse.at); Wiener Börse news on sub-sovereign bond transparency (23 bonds, €24bn; Baader Bank / Walter Ludwig market makers); Wiener Börse media fact sheet 05/2026; MondoVisione on Boschan's reappointment (26 Nov 2025; board composition: Boschan/Herrmann/Koblic; Heimo Scheuch as Supervisory Board Chairman); Wiener Börse record-result 2025 and Q3 2026 releases (wienerborse.at); Deutsche Börse press release on the T7 partnership extension to 2033 (Apr 2026). ---</w:t>
      </w:r>
    </w:p>
    <w:p>
      <w:pPr>
        <w:pStyle w:val="Heading2"/>
      </w:pPr>
      <w:r>
        <w:rPr>
          <w:sz w:val="24"/>
        </w:rPr>
        <w:t>27. WARSAW STOCK EXCHANGE — CATALYST (POLAND)</w:t>
      </w:r>
    </w:p>
    <w:p>
      <w:pPr>
        <w:spacing w:after="80"/>
      </w:pPr>
      <w:r>
        <w:rPr>
          <w:b/>
          <w:sz w:val="21"/>
        </w:rPr>
        <w:t xml:space="preserve">Operator: </w:t>
      </w:r>
      <w:r>
        <w:rPr>
          <w:sz w:val="21"/>
        </w:rPr>
        <w:t>Giełda Papierów Wartościowych w Warszawie S.A. (GPW) — majority-owned by the Polish State Treasury (as of early 2025).</w:t>
      </w:r>
    </w:p>
    <w:p>
      <w:pPr>
        <w:spacing w:after="80"/>
      </w:pPr>
      <w:r>
        <w:rPr>
          <w:b/>
          <w:sz w:val="21"/>
        </w:rPr>
        <w:t xml:space="preserve">How it works: </w:t>
      </w:r>
      <w:r>
        <w:rPr>
          <w:sz w:val="21"/>
        </w:rPr>
        <w:t>Electronic order-driven trading (continuous trading and single-price auctions depending on segment); issuers admitted by Management Board resolution with KDPW-assigned codes; retail and institutional access via brokerage members. Settlement through KDPW (Polish CSD) / KDPW_CCP.</w:t>
      </w:r>
    </w:p>
    <w:p>
      <w:pPr>
        <w:spacing w:after="80"/>
      </w:pPr>
      <w:r>
        <w:rPr>
          <w:b/>
          <w:sz w:val="21"/>
        </w:rPr>
        <w:t xml:space="preserve">Website: </w:t>
      </w:r>
      <w:r>
        <w:rPr>
          <w:sz w:val="21"/>
        </w:rPr>
        <w:t>https://www.gpw.pl (Catalyst: https://www.gpwcatalyst.pl)</w:t>
      </w:r>
    </w:p>
    <w:p>
      <w:pPr>
        <w:spacing w:after="80"/>
      </w:pPr>
      <w:r>
        <w:rPr>
          <w:b/>
          <w:sz w:val="21"/>
        </w:rPr>
        <w:t xml:space="preserve">Contact: </w:t>
      </w:r>
      <w:r>
        <w:rPr>
          <w:sz w:val="21"/>
        </w:rPr>
        <w:t>Warsaw Stock Exchange (Giełda Papierów Wartościowych w Warszawie S.A.), ul. Książęca 4, 00-498 Warsaw, Poland; tel. +48 22 628 32 32; gpw@gpw.pl (as published on gpw.pl's official pages; CEO listed as Tomasz Bardziłowski on the GPW issuer card).</w:t>
      </w:r>
    </w:p>
    <w:p>
      <w:pPr>
        <w:spacing w:after="80"/>
      </w:pPr>
      <w:r>
        <w:rPr>
          <w:b/>
          <w:sz w:val="21"/>
        </w:rPr>
        <w:t xml:space="preserve">Annual reports: </w:t>
      </w:r>
      <w:r>
        <w:rPr>
          <w:sz w:val="21"/>
        </w:rPr>
        <w:t>GPW S.A. (listed) — FY ends 31 December; annual report published ~March; quarterly reports (Q1/Q3) and half-year report. Found under Investor Relations on gpw.pl. *(Exact publication timing and page path: UNVERIFIED from official pages in this pass.)*</w:t>
      </w:r>
    </w:p>
    <w:p>
      <w:pPr>
        <w:spacing w:after="240"/>
      </w:pPr>
      <w:r>
        <w:rPr>
          <w:i/>
          <w:sz w:val="16"/>
        </w:rPr>
        <w:t>Bank Pekao "PWPA Catalyst" key-facts reports (24 Jul 2026 and 27 Jan 2026, sourced to Catalyst); GPW press releases — H1 2026 record results and GPW WATS migration (5 Oct 2026 go-live), 2025 Stock Market Review Gala (gpw.pl); MondoVisione on Catalyst's 4th anniversary (Sep 2013: 394 series, PLN 58.7bn non-Treasury); Wikipedia GPW entry (Bardziłowski as President; State Treasury majority ownership; Książęca 4 address). ---</w:t>
      </w:r>
    </w:p>
    <w:p>
      <w:pPr>
        <w:pStyle w:val="Heading2"/>
      </w:pPr>
      <w:r>
        <w:rPr>
          <w:sz w:val="24"/>
        </w:rPr>
        <w:t>28. TRADEWEB EU — ELECTRONIC FIXED-INCOME VENUE (NETHERLANDS)</w:t>
      </w:r>
    </w:p>
    <w:p>
      <w:pPr>
        <w:spacing w:after="80"/>
      </w:pPr>
      <w:r>
        <w:rPr>
          <w:b/>
          <w:sz w:val="21"/>
        </w:rPr>
        <w:t xml:space="preserve">Operator: </w:t>
      </w:r>
      <w:r>
        <w:rPr>
          <w:sz w:val="21"/>
        </w:rPr>
        <w:t>Tradeweb Markets Inc. (Nasdaq: TW) — majority-owned and controlled by London Stock Exchange Group (LSEG).</w:t>
      </w:r>
    </w:p>
    <w:p>
      <w:pPr>
        <w:spacing w:after="80"/>
      </w:pPr>
      <w:r>
        <w:rPr>
          <w:b/>
          <w:sz w:val="21"/>
        </w:rPr>
        <w:t xml:space="preserve">How it works: </w:t>
      </w:r>
      <w:r>
        <w:rPr>
          <w:sz w:val="21"/>
        </w:rPr>
        <w:t>Dealer-to-client and dealer-to-dealer electronic execution across RFQ, CLOB and automated workflows; buy-side clients (asset managers, pension funds, insurers, central banks — 3,000+ institutional clients group-wide) request quotes from competing dealers; clearing via LCH/Eurex Clearing per product. Institutional access (plus a retail fixed-income offering in the US).</w:t>
      </w:r>
    </w:p>
    <w:p>
      <w:pPr>
        <w:spacing w:after="80"/>
      </w:pPr>
      <w:r>
        <w:rPr>
          <w:b/>
          <w:sz w:val="21"/>
        </w:rPr>
        <w:t xml:space="preserve">Website: </w:t>
      </w:r>
      <w:r>
        <w:rPr>
          <w:sz w:val="21"/>
        </w:rPr>
        <w:t>https://www.tradeweb.com</w:t>
      </w:r>
    </w:p>
    <w:p>
      <w:pPr>
        <w:spacing w:after="80"/>
      </w:pPr>
      <w:r>
        <w:rPr>
          <w:b/>
          <w:sz w:val="21"/>
        </w:rPr>
        <w:t xml:space="preserve">Contact: </w:t>
      </w:r>
      <w:r>
        <w:rPr>
          <w:sz w:val="21"/>
        </w:rPr>
        <w:t>Investor relations: https://investors.tradeweb.com (events &amp; presentations page as published on earnings releases). *General contact email / Amsterdam office phone: UNVERIFIED from official pages in this pass (registered office address above is from Tradeweb's own Europe disclosures page, tradeweb.com).*</w:t>
      </w:r>
    </w:p>
    <w:p>
      <w:pPr>
        <w:spacing w:after="80"/>
      </w:pPr>
      <w:r>
        <w:rPr>
          <w:b/>
          <w:sz w:val="21"/>
        </w:rPr>
        <w:t xml:space="preserve">Annual reports: </w:t>
      </w:r>
      <w:r>
        <w:rPr>
          <w:sz w:val="21"/>
        </w:rPr>
        <w:t>Tradeweb Markets Inc. — FY ends 31 December; Annual Report on Form 10-K (February); quarterly 10-Q reports and quarterly earnings calls (Q3 2026 results due 29 October 2026). Found under Investors on tradeweb.com / investors.tradeweb.com. *(Verified via earnings-release boilerplate; exact page path UNVERIFIED.)*</w:t>
      </w:r>
    </w:p>
    <w:p>
      <w:pPr>
        <w:spacing w:after="240"/>
      </w:pPr>
      <w:r>
        <w:rPr>
          <w:i/>
          <w:sz w:val="16"/>
        </w:rPr>
        <w:t>Tradeweb Europe Disclosures page (tradeweb.com: Tradeweb EU B.V. AFM permissions, company no. 69899355, Strawinskylaan 457, 1077 XX Amsterdam); AFM register of trading venues (licence dates: Tradeweb EU 14 Jan 2019); Business Wire — Tradeweb Q2 2026 results (Billy Hult, CEO; $558.9m revenue; $3.0tn ADV) and September 2026 volume release ($81.6tn; record European govt-bond ADV); Morningstar/ADVFN — Q3 2026 earnings-call notice naming Billy Hult (CEO) and Sara Furber (CFO); Wikipedia Tradeweb (LSEG majority ownership; history). ---</w:t>
      </w:r>
    </w:p>
    <w:p>
      <w:pPr>
        <w:pStyle w:val="Heading2"/>
      </w:pPr>
      <w:r>
        <w:rPr>
          <w:sz w:val="24"/>
        </w:rPr>
        <w:t>29. BLOOMBERG TRADING FACILITY B.V. — BTFE (NETHERLANDS)</w:t>
      </w:r>
    </w:p>
    <w:p>
      <w:pPr>
        <w:spacing w:after="80"/>
      </w:pPr>
      <w:r>
        <w:rPr>
          <w:b/>
          <w:sz w:val="21"/>
        </w:rPr>
        <w:t xml:space="preserve">Operator: </w:t>
      </w:r>
      <w:r>
        <w:rPr>
          <w:sz w:val="21"/>
        </w:rPr>
        <w:t>Bloomberg L.P. — private financial information, software and media company. Founder and 88% majority owner: Michael Bloomberg; Chief Executive Officer: Vlad Kliatchko (appointed 2023); non-executive chair of the (new) board of directors: Mark Carney (appointed 2023).</w:t>
      </w:r>
    </w:p>
    <w:p>
      <w:pPr>
        <w:spacing w:after="80"/>
      </w:pPr>
      <w:r>
        <w:rPr>
          <w:b/>
          <w:sz w:val="21"/>
        </w:rPr>
        <w:t xml:space="preserve">How it works: </w:t>
      </w:r>
      <w:r>
        <w:rPr>
          <w:sz w:val="21"/>
        </w:rPr>
        <w:t>Electronic MTF built on Bloomberg's fixed-income/derivatives trading workflows (used by 1,000+ global institutions): RFQ and request-for-trade protocols, integrated pre- to post-trade within the Bloomberg Terminal ecosystem. Buy-side and sell-side eligible participants. Clearing per product via CCPs.</w:t>
      </w:r>
    </w:p>
    <w:p>
      <w:pPr>
        <w:spacing w:after="80"/>
      </w:pPr>
      <w:r>
        <w:rPr>
          <w:b/>
          <w:sz w:val="21"/>
        </w:rPr>
        <w:t xml:space="preserve">Website: </w:t>
      </w:r>
      <w:r>
        <w:rPr>
          <w:sz w:val="21"/>
        </w:rPr>
        <w:t>https://www.bloomberg.com</w:t>
      </w:r>
    </w:p>
    <w:p>
      <w:pPr>
        <w:spacing w:after="80"/>
      </w:pPr>
      <w:r>
        <w:rPr>
          <w:b/>
          <w:sz w:val="21"/>
        </w:rPr>
        <w:t xml:space="preserve">Contact: </w:t>
      </w:r>
      <w:r>
        <w:rPr>
          <w:sz w:val="21"/>
        </w:rPr>
        <w:t>*Official general email / HQ address / main phone: UNVERIFIED from official pages in this pass.*</w:t>
      </w:r>
    </w:p>
    <w:p>
      <w:pPr>
        <w:spacing w:after="80"/>
      </w:pPr>
      <w:r>
        <w:rPr>
          <w:b/>
          <w:sz w:val="21"/>
        </w:rPr>
        <w:t xml:space="preserve">Annual reports: </w:t>
      </w:r>
      <w:r>
        <w:rPr>
          <w:sz w:val="21"/>
        </w:rPr>
        <w:t>No public annual report — private company. Bloomberg L.P. does not publish audited annual financial statements publicly.</w:t>
      </w:r>
    </w:p>
    <w:p>
      <w:pPr>
        <w:spacing w:after="240"/>
      </w:pPr>
      <w:r>
        <w:rPr>
          <w:i/>
          <w:sz w:val="16"/>
        </w:rPr>
        <w:t>AFM register of trading venues (Bloomberg Trading Facility B.V., licence 15 Jan 2019, tradename BTFE); A-Team Insight on the ECB/Eurosystem ETP framework agreements hosted on BTFE (Apr 2024); Bloomberg BTFE fee schedule (assets.bbhub.io, effective 1 April 2025); Forbes profile of Michael Bloomberg (88% ownership, ~$15bn revenue, Vlad Kliatchko CEO and Mark Carney non-executive chair appointments in 2023). ---</w:t>
      </w:r>
    </w:p>
    <w:p>
      <w:pPr>
        <w:pStyle w:val="Heading1"/>
      </w:pPr>
      <w:r>
        <w:rPr>
          <w:sz w:val="36"/>
        </w:rPr>
        <w:t>ASIA-PACIFIC</w:t>
      </w:r>
    </w:p>
    <w:p>
      <w:pPr>
        <w:pStyle w:val="Heading2"/>
      </w:pPr>
      <w:r>
        <w:rPr>
          <w:sz w:val="24"/>
        </w:rPr>
        <w:t>30. TOKYO STOCK EXCHANGE — TOKYO PRO-BOND MARKET (JAPAN)</w:t>
      </w:r>
    </w:p>
    <w:p>
      <w:pPr>
        <w:pStyle w:val="Heading2"/>
      </w:pPr>
      <w:r>
        <w:rPr>
          <w:sz w:val="24"/>
        </w:rPr>
        <w:t>31. CHINA INTERBANK BOND MARKET — CIBM (CHINA)</w:t>
      </w:r>
    </w:p>
    <w:p>
      <w:pPr>
        <w:pStyle w:val="Heading2"/>
      </w:pPr>
      <w:r>
        <w:rPr>
          <w:sz w:val="24"/>
        </w:rPr>
        <w:t>32. CHINA EXCHANGE BOND MARKET — SHANGHAI &amp; SHENZHEN STOCK EXCHANGES (CHINA)</w:t>
      </w:r>
    </w:p>
    <w:p>
      <w:pPr>
        <w:pStyle w:val="Heading2"/>
      </w:pPr>
      <w:r>
        <w:rPr>
          <w:sz w:val="24"/>
        </w:rPr>
        <w:t>33. HKEX DEBT SECURITIES MARKET (HONG KONG)</w:t>
      </w:r>
    </w:p>
    <w:p>
      <w:pPr>
        <w:pStyle w:val="Heading2"/>
      </w:pPr>
      <w:r>
        <w:rPr>
          <w:sz w:val="24"/>
        </w:rPr>
        <w:t>34. SGX FIXED INCOME MARKET (SINGAPORE)</w:t>
      </w:r>
    </w:p>
    <w:p>
      <w:pPr>
        <w:pStyle w:val="Heading2"/>
      </w:pPr>
      <w:r>
        <w:rPr>
          <w:sz w:val="24"/>
        </w:rPr>
        <w:t>35. NSE DEBT MARKET — NEW DEBT MARKET / NEGOTIATED TRADE REPORTING PLATFORM (INDIA)</w:t>
      </w:r>
    </w:p>
    <w:p>
      <w:pPr>
        <w:pStyle w:val="Heading2"/>
      </w:pPr>
      <w:r>
        <w:rPr>
          <w:sz w:val="24"/>
        </w:rPr>
        <w:t>36. NDS-OM — NEGOTIATED DEALING SYSTEM–ORDER MATCHING (INDIA)</w:t>
      </w:r>
    </w:p>
    <w:p>
      <w:pPr>
        <w:pStyle w:val="Heading2"/>
      </w:pPr>
      <w:r>
        <w:rPr>
          <w:sz w:val="24"/>
        </w:rPr>
        <w:t>37. KRX BOND MARKET (SOUTH KOREA)</w:t>
      </w:r>
    </w:p>
    <w:p>
      <w:pPr>
        <w:pStyle w:val="Heading2"/>
      </w:pPr>
      <w:r>
        <w:rPr>
          <w:sz w:val="24"/>
        </w:rPr>
        <w:t>38. ASX FIXED INCOME &amp; AUSTRACLEAR (AUSTRALIA)</w:t>
      </w:r>
    </w:p>
    <w:p>
      <w:pPr>
        <w:pStyle w:val="Heading2"/>
      </w:pPr>
      <w:r>
        <w:rPr>
          <w:sz w:val="24"/>
        </w:rPr>
        <w:t>39. TAIPEI EXCHANGE (TPEX) BOND MARKET (TAIWAN)</w:t>
      </w:r>
    </w:p>
    <w:p>
      <w:pPr>
        <w:pStyle w:val="Heading2"/>
      </w:pPr>
      <w:r>
        <w:rPr>
          <w:sz w:val="24"/>
        </w:rPr>
        <w:t>40. THAI BOND MARKET ASSOCIATION — THAIBMA (THAILAND)</w:t>
      </w:r>
    </w:p>
    <w:p>
      <w:pPr>
        <w:pStyle w:val="Heading2"/>
      </w:pPr>
      <w:r>
        <w:rPr>
          <w:sz w:val="24"/>
        </w:rPr>
        <w:t>41. BURSA MALAYSIA — BOND &amp; SUKUK MARKET (MALAYSIA)</w:t>
      </w:r>
    </w:p>
    <w:p>
      <w:pPr>
        <w:pStyle w:val="Heading2"/>
      </w:pPr>
      <w:r>
        <w:rPr>
          <w:sz w:val="24"/>
        </w:rPr>
        <w:t>42. INDONESIA STOCK EXCHANGE — IDX BOND &amp; SUKUK MARKET (INDONESIA)</w:t>
      </w:r>
    </w:p>
    <w:p>
      <w:pPr>
        <w:pStyle w:val="Heading2"/>
      </w:pPr>
      <w:r>
        <w:rPr>
          <w:sz w:val="24"/>
        </w:rPr>
        <w:t>43. PHILIPPINE DEALING &amp; EXCHANGE CORP. — PDEX (PHILIPPINES)</w:t>
      </w:r>
    </w:p>
    <w:p>
      <w:pPr>
        <w:pStyle w:val="Heading2"/>
      </w:pPr>
      <w:r>
        <w:rPr>
          <w:sz w:val="24"/>
        </w:rPr>
        <w:t>44. NZX DEBT MARKET (NEW ZEALAND)</w:t>
      </w:r>
    </w:p>
    <w:p>
      <w:pPr>
        <w:pStyle w:val="Heading1"/>
      </w:pPr>
      <w:r>
        <w:rPr>
          <w:sz w:val="36"/>
        </w:rPr>
        <w:t>MIDDLE EAST, LATIN AMERICA &amp; AFRICA</w:t>
      </w:r>
    </w:p>
    <w:p>
      <w:pPr>
        <w:pStyle w:val="Heading2"/>
      </w:pPr>
      <w:r>
        <w:rPr>
          <w:sz w:val="24"/>
        </w:rPr>
        <w:t>45. SAUDI EXCHANGE (TADAWUL) — SUKUK &amp; BONDS MARKET — RIYADH, SAUDI ARABIA</w:t>
      </w:r>
    </w:p>
    <w:p>
      <w:pPr>
        <w:pStyle w:val="Heading2"/>
      </w:pPr>
      <w:r>
        <w:rPr>
          <w:sz w:val="24"/>
        </w:rPr>
        <w:t>46. NASDAQ DUBAI — DEBT &amp; SUKUK LISTINGS — DUBAI, UAE</w:t>
      </w:r>
    </w:p>
    <w:p>
      <w:pPr>
        <w:pStyle w:val="Heading2"/>
      </w:pPr>
      <w:r>
        <w:rPr>
          <w:sz w:val="24"/>
        </w:rPr>
        <w:t>47. DUBAI FINANCIAL MARKET (DFM) — DUBAI, UAE</w:t>
      </w:r>
    </w:p>
    <w:p>
      <w:pPr>
        <w:pStyle w:val="Heading2"/>
      </w:pPr>
      <w:r>
        <w:rPr>
          <w:sz w:val="24"/>
        </w:rPr>
        <w:t>48. QATAR STOCK EXCHANGE (QSE) — DEBT INSTRUMENTS MARKET — DOHA, QATAR</w:t>
      </w:r>
    </w:p>
    <w:p>
      <w:pPr>
        <w:pStyle w:val="Heading2"/>
      </w:pPr>
      <w:r>
        <w:rPr>
          <w:sz w:val="24"/>
        </w:rPr>
        <w:t>49. TEL AVIV STOCK EXCHANGE (TASE) — BOND MARKET — TEL AVIV, ISRAEL</w:t>
      </w:r>
    </w:p>
    <w:p>
      <w:pPr>
        <w:pStyle w:val="Heading2"/>
      </w:pPr>
      <w:r>
        <w:rPr>
          <w:sz w:val="24"/>
        </w:rPr>
        <w:t>50. B3 (BRASIL, BOLSA, BALCÃO) — FIXED INCOME / OTC B3 — SÃO PAULO, BRAZIL</w:t>
      </w:r>
    </w:p>
    <w:p>
      <w:pPr>
        <w:pStyle w:val="Heading2"/>
      </w:pPr>
      <w:r>
        <w:rPr>
          <w:sz w:val="24"/>
        </w:rPr>
        <w:t>51. BOLSA MEXICANA DE VALORES (BMV) — DEBT MARKET — MEXICO CITY, MEXICO</w:t>
      </w:r>
    </w:p>
    <w:p>
      <w:pPr>
        <w:pStyle w:val="Heading2"/>
      </w:pPr>
      <w:r>
        <w:rPr>
          <w:sz w:val="24"/>
        </w:rPr>
        <w:t>52. BYMA (BOLSAS Y MERCADOS ARGENTINOS) — BUENOS AIRES, ARGENTINA</w:t>
      </w:r>
    </w:p>
    <w:p>
      <w:pPr>
        <w:pStyle w:val="Heading2"/>
      </w:pPr>
      <w:r>
        <w:rPr>
          <w:sz w:val="24"/>
        </w:rPr>
        <w:t>53. BOLSA DE COMERCIO DE SANTIAGO (BCS) — FIXED-INCOME MARKET — SANTIAGO, CHILE</w:t>
      </w:r>
    </w:p>
    <w:p>
      <w:pPr>
        <w:pStyle w:val="Heading2"/>
      </w:pPr>
      <w:r>
        <w:rPr>
          <w:sz w:val="24"/>
        </w:rPr>
        <w:t>54. BOLSA DE VALORES DE COLOMBIA (BVC) — MERCADO ELECTRÓNICO COLOMBIANO (MEC) — BOGOTÁ, COLOMBIA</w:t>
      </w:r>
    </w:p>
    <w:p>
      <w:pPr>
        <w:pStyle w:val="Heading2"/>
      </w:pPr>
      <w:r>
        <w:rPr>
          <w:sz w:val="24"/>
        </w:rPr>
        <w:t>55. JOHANNESBURG STOCK EXCHANGE (JSE) — INTEREST RATE MARKET — JOHANNESBURG, SOUTH AFRICA</w:t>
      </w:r>
    </w:p>
    <w:p>
      <w:pPr>
        <w:pStyle w:val="Heading2"/>
      </w:pPr>
      <w:r>
        <w:rPr>
          <w:sz w:val="24"/>
        </w:rPr>
        <w:t>56. NIGERIA — FMDQ SECURITIES EXCHANGE &amp; NIGERIAN EXCHANGE (NGX) — LAGOS, NIGERIA</w:t>
      </w:r>
    </w:p>
    <w:p>
      <w:pPr>
        <w:pStyle w:val="Heading2"/>
      </w:pPr>
      <w:r>
        <w:rPr>
          <w:sz w:val="24"/>
        </w:rPr>
        <w:t>57. EGYPTIAN EXCHANGE (EGX) — FIXED-INCOME / GFIT — CAIRO, EGYPT</w:t>
      </w:r>
    </w:p>
    <w:p>
      <w:pPr>
        <w:pStyle w:val="Heading2"/>
      </w:pPr>
      <w:r>
        <w:rPr>
          <w:sz w:val="24"/>
        </w:rPr>
        <w:t>58. NAIROBI SECURITIES EXCHANGE (NSE) — FIXED INCOME SECURITIES MARKET SEGMENT (FISMS) — NAIROBI, KENYA</w:t>
      </w:r>
    </w:p>
    <w:p>
      <w:pPr>
        <w:pStyle w:val="Heading2"/>
      </w:pPr>
      <w:r>
        <w:rPr>
          <w:sz w:val="24"/>
        </w:rPr>
        <w:t>59. BOURSA KUWAIT — BONDS &amp; SUKUK PLATFORM (NEW) &amp; BAHRAIN BOURSE — DEBT BOARDS — KUWAIT CITY, KUWAIT / MANAMA, BAHRAIN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