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jc w:val="center"/>
        <w:rPr>
          <w:b/>
          <w:bCs/>
          <w:sz w:val="32"/>
          <w:szCs w:val="40"/>
        </w:rPr>
      </w:pPr>
      <w:r>
        <w:rPr>
          <w:rFonts w:hint="eastAsia"/>
          <w:b/>
          <w:bCs/>
          <w:sz w:val="32"/>
          <w:szCs w:val="40"/>
        </w:rPr>
        <w:t>“可见的学习”视域下中学生高阶能力培育的学校探索</w:t>
      </w:r>
    </w:p>
    <w:p w14:paraId="6F163418" w14:textId="77777777" w:rsidR="000B1CCE" w:rsidRDefault="00000000">
      <w:pPr>
        <w:adjustRightInd w:val="0"/>
        <w:snapToGrid w:val="0"/>
        <w:spacing w:line="360" w:lineRule="auto"/>
        <w:ind w:firstLineChars="200" w:firstLine="490"/>
        <w:rPr>
          <w:rFonts w:ascii="宋体" w:eastAsia="宋体" w:hAnsi="宋体" w:cs="宋体"/>
          <w:color w:val="000000"/>
          <w:kern w:val="0"/>
          <w:sz w:val="24"/>
        </w:rPr>
      </w:pPr>
      <w:r>
        <w:rPr>
          <w:rFonts w:ascii="华文楷体" w:eastAsia="华文楷体" w:hAnsi="华文楷体" w:cs="华文楷体" w:hint="eastAsia"/>
          <w:b/>
          <w:bCs/>
          <w:sz w:val="24"/>
          <w:szCs w:val="32"/>
        </w:rPr>
        <w:t>摘要：</w:t>
      </w:r>
      <w:r>
        <w:rPr>
          <w:rFonts w:ascii="宋体" w:eastAsia="宋体" w:hAnsi="宋体" w:cs="宋体" w:hint="eastAsia"/>
          <w:color w:val="000000"/>
          <w:kern w:val="0"/>
          <w:sz w:val="24"/>
        </w:rPr>
        <w:t>面向核心素养导向下中学生高阶能力培育由理念要求走向真实学习的现实需求，本研究以“可见的学习”理论为主要视角，将中学生高阶能力操作化为高阶思维能力与高阶社会情感能力两个相互关联的方面，其中高阶思维主要包括分析、评价、创造，高阶社会情感主要包括责任担当、情绪调节、合作共情、包容创新。研究立足学校真实教育教学情境，综合采用文献研究、问卷调查、访谈、课堂观察、行动研究和案例研究等方法，按照“理论研究—现状诊断—模型建构—多场域实践—成效评价—成果提炼”的路径持续推进。基于前期调查及课堂实践证据，课题组逐步建构并迭代形成“可见的学习”视域下中学生高阶能力培育模型，确立“目标引领—任务驱动—探究展学—反馈迭代—反思迁移”的五环学习路径，并在学科课堂与科创项目两个实践场域中开展持续行动研究，通过学习表现、课堂观察、教师评价、AI课堂行为数据、学生作品及问卷等多源证据，对教学实施进行诊断、调节和改进，逐步形成学习模型、教学模型协同运行和“一模两域、多样态实施、多源证据支持”的学校实践体系。</w:t>
      </w:r>
    </w:p>
    <w:p w14:paraId="41D981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结果表明，高阶能力培育需要将能力目标嵌入真实任务和持续学习过程，并通过证据获取与反馈调节促进学生由知识理解走向分析判断、创新生成和迁移应用。1346名学生前后测配对结果显示，高阶思维总体均分由3.934提高至4.030，差异达到统计显著水平；分析、评价、创造三个维度均呈显著正向变化。高阶社会情感总体均分由4.032提高至4.400，责任担当、情绪调节、合作共情和包容创新四个维度均显著提高，其中社会情感能力的变化幅度更为明显。教师问卷结果虽未呈现统计显著变化，但课堂实践、教学自我效能呈积极变化趋势，结合课堂观察、教师反思及开放性资料，教师依据学生学习证据诊断和调整教学的意识逐步增强。研究表明，“可见的学习”能够为中学生高阶能力由抽象目标转化为可经历、可观察、可反馈和可改进的真实学习过程提供实践支撑，本研究形成的学习模型、实践模式、多源评价工具及典型案例，可为学校系统推进高阶能力培育和课堂教学改进提供参考。</w:t>
      </w:r>
    </w:p>
    <w:p w14:paraId="5043D3C6" w14:textId="77777777" w:rsidR="000B1CCE" w:rsidRDefault="00000000">
      <w:pPr>
        <w:rPr>
          <w:sz w:val="24"/>
          <w:szCs w:val="32"/>
        </w:rPr>
      </w:pPr>
      <w:r>
        <w:rPr>
          <w:rFonts w:ascii="华文楷体" w:eastAsia="华文楷体" w:hAnsi="华文楷体" w:cs="华文楷体" w:hint="eastAsia"/>
          <w:b/>
          <w:bCs/>
          <w:sz w:val="24"/>
          <w:szCs w:val="32"/>
        </w:rPr>
        <w:t>关键词：</w:t>
      </w:r>
      <w:r>
        <w:rPr>
          <w:rFonts w:hint="eastAsia"/>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背景与意义</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研究背景</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1.国家课程改革要求学生在真实情境中综合运用知识解决问题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我国基础教育课程改革的方向日益明确，即由以知识传授为主转向以核心素养为导向，使学生能够在真实情境中综合运用知识分析和解决问题。2022年发布的《义务教育课程方案（2022年版）》要求各门课程把本课程应着力培养的核心素养具体化，设立跨学科主题学习活动，加强学科之间的关联，原则上各门课程用不少于10%的课时设计跨学科主题学习（教育部，2022）。这一要求意味着，学生不仅要掌握分科知识，还要学会在复杂问题面前调动不同学科的知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2023）。《深化新时代教育评价改革总体方案》此前也提出改进结果评价、强化过程评价、探索增值评价、健全综合评价（中共中央、国务院，2020）。</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2.上海基础教育改革为高阶能力培育提供了制度环境和实践要求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在推进新课程新教材实施方面起步较早。上海市教育委员会印发了普通高中和义务教育阶段的课程实施方案（上海市教育委员会，2021），研制新课程新教材实施研究与实践项目指南，通过项目招标推动各区和学校开展行动研究，并在市、区两级建立了520多个监测点；科创教育方面，已研发近40门小学、初中、高中贯通的科创课程，在200余所中小学实施（杨振峰，2025）。上海的课程改革已经从文件层面进入学校日常教学和持续研究的层面。</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2023年，上海市教育委员会印发关于实施项目化学习推动义务教育育人方式改革的指导意见，提出2023年全面启动项目化学习，2024年力争覆盖义务教育阶段所有学校，2026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2023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的研究周期为2023年11月至2026年10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考试评价改革同样引导学校关注学生综合运用知识的能力。初中学业水平考试的综合测试包括物理试题、化学试题和满分15分的跨学科案例分析题（上海市教育委员会，2019a）；初中学生综合素质评价设有创新精神与实践能力板块，重点记录学生参加探究学习、科技活动等方面的过程和成果（上海市教育委员会，2019b）。对一所上海初高中学校而言，学生能否在真实、复杂的问题中分析判断、提出方案并与人合作，已经成为课程、教学和评价共同关注的内容，学校需要找到在日常课堂和科创活动中系统培养这些能力的办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3.人工智能的普及使独立思考和判断变得更加重要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2025年发布的《中小学生成式人工智能使用指南（2025年版）》明确禁止学生直接复制人工智能生成的内容作为作业或考试答案，并要求教师引导学生审视生成文本中的逻辑漏洞、价值倾向和文化偏见，培养学生对技术输出内容的质疑精神与甄别能力（教育部基础教育教学指导委员会，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证据也表明，技术本身不会自动提升学生的思维水平。综合29项实验和准实验研究的元分析发现，生成式人工智能总体上能够中等程度地促进学生的高阶思维，但获益在学生之间差异很大，自我调节能力较强的学生提升明显，自我调节能力较弱的学生往往直接照搬答案，提升有限（Zhao et al., 2025）。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Chen &amp; Cheung, 2025）。技术越普及，学校越需要通过任务设计、追问引导和反馈，帮助学生在使用技术时保持独立判断（Li et al., 2026; Wu et al., 2025）。</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4.课堂中高阶学习是否真正发生难以仅凭活动和考试结果判断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和教师普遍认同高阶能力培养的重要性，课堂中也越来越重视问题设计、合作学习、探究活动和学生参与。然而，课堂上出现了活动，并不等于学生在进行高阶学习。学生参加讨论、完成任务，只能说明学习行为已经发生，不能直接说明学生在分析问题、比较观点、形成判断，或者与同伴共同建构了新的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Abrami et al., 2015）。合作学习之所以能够促进高阶思维，在于学生需要向同伴解释概念、回应质疑并整合不同意见（Güngör et al., 2026）；如果小组任务没有分工、不要求说明理由，也没有反思环节，讨论就容易沦为简单的信息交换，甚至只是少数学生发言、多数学生旁听。</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Lei et al., 2026）。如果只看考试结果，可能会低估学生在学习过程中已经发生的变化，也难以判断教学究竟在哪个环节起了作用。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Hattie, 2015）。如何把这一主张转化为能够识别和支持高阶能力的具体课堂做法，是当前课堂教学改革需要解决的现实问题。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5.学校已有实践需要由零散探索走向系统推进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文献综述</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关于高阶能力的研究</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在中国知网（CNKI）以高阶能力为主题进行检索，共获得相关文献470篇，经筛选剔除与研究主题关联度较低或内容明显不相干的文献后，保留108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584FAD2"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图1-1  高阶能力（主题）发文量变化趋势图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中国知网计量可视化分析的结果显示，国内关于高阶能力的研究总体呈波动上升趋势。2004—2017年相关研究数量较少，2018年以后逐渐增加，2020—2021年出现较明显增长，2023年以来再次升温，2025年达到阶段性高点。2026年目前检索到16篇，由于年度尚未结束，不能据此判断研究热度下降。</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1）高阶能力的内涵与结构</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Anderson &amp; Krathwohl, 2001）。分析、评价和创造通常被视为较高层次的认知活动，构成高阶思维最常见的操作性含义。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层级划分并不能完整刻画高阶思维的性质。Resnick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Resnick, 1987, as cited in Ünal et al., 2026）。这一取向把高阶思维从静态的目标层级拓展为在劣构情境中展开的动态加工过程。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Facione, 1990, as cited in Hughes, 2014）。创造力被界定为在特定情境中生成兼具新颖性和适切性的观念、方案或产品的能力（Runco et al., 2026），针对大学生的多层元分析表明，创造力能够通过系统训练得到显著提升（Guo et al., 2025）。国内研究进一步指出，高阶思维的核心在于新旧知识关系的建立，其概念框架包括问题情境分析、新旧知识关系建立、多维信息综合、创新性知识生成以及对思维过程的监控与调节五个成分（马淑风，杨向东，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Park et al., 2026）。这一发现提示，高阶思维的各个成分在真实任务中往往同时被调用，将分析、评价和创造置于同一学习过程中加以培养，比孤立训练某一成分更符合高阶思维的实际运作方式。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社会情感能力逐渐被纳入高阶能力的讨论范围。经济合作与发展组织（Organisation for Economic Co-operation and Development, OECD）开展的社会与情感能力调查（Survey on Social and Emotional Skills, SSES）从任务能力、情绪调节、协作能力、开放能力和交往能力五个领域考察青少年的社会情感发展（OECD, 2021）；学术、社会与情感学习协作组织（Collaborative for Academic, Social, and Emotional Learning, CASEL）提出自我意识、自我管理、社会意识、人际关系技能和负责任决策五个领域（CASEL, 2020）。元分析表明，系统实施的校本社会情感学习能够改善学生的社会情感技能、日常行为和学业成绩（Durlak et al.,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学者参与SSES测评，提供了与本课题关系密切的本土证据。基于济南市10岁和15岁学生的第二轮测评数据显示，10岁组在全部16项社会与情感能力上的得分均高于15岁组，15岁组女生在责任感、共情和包容度上得分高于男生，情绪控制和抗压力与学业焦虑关系最为密切，成就动机、毅力和好奇心与语文、数学和艺术成绩相关（袁振国等，2024）。基于苏州市数据的研究发现，交往能力与其他社会与情感能力之间存在中等程度的相关，并受同伴关系、家庭背景、教师和学校因素的影响（黄忠敬等，2021）。上述结果表明，社会情感能力在中学阶段并不随年龄增长自然提高，学校层面的有意识培养具有必要性。也有研究提醒，将深受文化影响的共情、情绪等品质转化为统一分数进行跨情境比较，存在标准化和简化的风险（Steiner-Khamsi et al., 2024）。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总体而言，高阶能力的内涵经历了由认知层级划分到思维过程刻画、再到认知与社会情感综合发展的演变。学生在完成复杂任务时既需要分析、评价和创造，也需要承担责任、调节情绪、与人合作并保持开放，这为本课题从高阶思维能力与高阶社会情感能力两个方面界定中学生高阶能力提供了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2）高阶能力的发展条件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现有证据较为一致地表明，高阶能力不会随知识难度的提高而自然形成，其发展依赖特定的教学条件。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Abrami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Güngör et al., 2026）。图形组织器对高阶思维同样具有显著的促进作用，其中思维导图的效果最强，概念图由于结构复杂、绘制负担较重，效果相对较弱（Lei et al., 2026）。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识薄弱的学生从指导中获益更多，而学生尚未掌握必要基础知识时直接开展开放探究，容易引入无关信息并保留推理错误（De Jong et al., 2023）。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指导的设计还需要避免过载。同时向学习者提供多种相互重叠的外部支架，并不会产生叠加效应，反而可能分散注意力、增加无关认知负荷而相互抵消（De Jong et al., 2023）。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3）高阶能力的学科依存性与情境性</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Hughes, 2014）。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Cole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2023）。对本课题而言，高阶能力培育既需要跨学科共享的能力目标，又需要在语文、数学、物理、英语等学科以及科创项目中形成各自的实践方式，不宜以统一流程机械套用于所有课堂。</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4）高阶能力的评价</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Zemplén, 2007）。第二个难题是教师缺乏判断依据，对国际文凭学校教师的调查显示，评估学生批判性思维的进步是教师认为最困难的工作，探究性思维缺乏标准答案，而学生又习惯于索要确定的分数（Bergeron &amp; Rogers,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形成性评价为应对上述难题提供了思路。过早给出终结性分数会促使学生追求唯一正确答案而回避智识风险，低利害的多轮练习与修订以及描述性反馈，更有利于学生提出新颖假设并审慎修正论证（Bouckaert, 2023）。学习结果结构分类（Structure of the Observed Learning Outcome, SOLO）依据学生回答的结构复杂程度，将理解水平划分为前结构、单点结构、多点结构、关联结构和拓展抽象五个层次，后两个层次对应整合多方面信息并迁移至新问题的能力，为观察思维质量提供了表现性参照（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Cole et al., 2015）。这意味着，高阶能力评价既要关注技能表现，也要关注思维倾向，并把测评结果放回具体的教学情境中理解。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评价还需警惕单一证据的局限。元分析显示，创造力与批判性思维均采用自陈量表测量时，二者的相关明显高于均采用任务表现测量时，表明共享测量方法会放大构念之间的观察相关（Park et al., 2026）。学习分析技术扩大了可观察的范围，但仪表盘以颜色、进度条等形式给出的直观判断，可能先于并替代教师对学生学习的专业解释（Jornitz &amp; Klinge, 2022）。因此，高阶能力评价需要综合问卷、作品、课堂表现和教师判断等多种证据，并明确每类证据所能支持的推断范围。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5）数智技术对高阶能力发展的影响</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生成式人工智能进入教育领域后，其究竟促进还是替代学生思考成为新的研究问题，现有证据表明答案取决于使用方式。元分析发现，生成式人工智能对问题解决和批判性思维的促进作用较为明显，对创造力的促进作用相对较小，研究者认为这与模型倾向于输出常规答案、学生直接采用后难以产生新颖构想有关；干预周期呈倒U型，8至16周效果最佳，周期过短学生尚处适应阶段，周期过长则容易产生依赖和倦怠（Zhao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高等教育中ChatGPT使用的系统综述，分析了34项同时考察批判性思维和创造性思维的研究。其中约53%的研究发现两类思维同步提升，约24%的研究发现学生的构想数量增加而辨别信息、严谨论证的能力减弱，约12%的研究发现两类思维同时下降，差异主要取决于教学中是否嵌入了依据评价量规检查人工智能输出、对答案持续追问和同伴互审等反思环节（Li et al., 2026）。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u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Liu et al., 2026）。反馈研究建议，要求学生将人工智能生成的反馈与同伴意见、教师指导和优秀范例进行比较，并说明采纳或拒绝每条建议的理由，可以使技术反馈成为学生判断的素材而非替代（Du &amp; Yuan, 2026）。数智技术并未降低高阶能力的重要性，反而对学习设计以及判断学生是否真正进行思考提出了更高要求。</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关于可见的学习的研究</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在中国知网以可见的学习为关键词进行检索，并统计了相关文献的年度发文情况。国内相关研究总体呈波动上升趋势，早期成果较少，2018年以后发文量逐步增加，2022年以来增长较为明显，2025年达到阶段性高点。2026年的数据尚在统计过程中，不能据此判断研究热度下降。</w:t>
      </w:r>
    </w:p>
    <w:p w14:paraId="5B816C7A"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图1-2  可见的学习（主题）发文量变化趋势图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研究内容看，相关研究由关注不同教学因素对学业成绩的影响，逐渐扩展到可见的理论含义、学习意图与成功标准、反馈与形成性评价、教师角色与学校文化等方面，同时也出现了对该理论证据基础的系统批评。以下从理论主张、运行机制、教师与学校层面的要求以及学术争议四个方面进行综述。</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1）可见的学习的基本主张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可见的学习是新西兰学者John Hattie基于大规模教育证据综合提出的理论框架。其统计基础可以追溯到1992年对134项元分析、两万余个效应量的综合，该综合确立了约0.40个标准差的平均效应作为比较不同教育干预相对效果的参照（Higgins, 2016）。由于几乎所有教学干预都能带来一定进步，这一框架主张判断一项干预是否值得推广，应看其能否带来高于平均水平的增益，而不是简单判断其是否有效。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成就差异的来源上，这一框架认为学生自身因素约占一半，教师约占30%，家庭、学校和同伴各占5%至10%，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Assessment Tools for Teaching and Learning, asTTle）以课程锚定的诊断性测评为教师提供学生所处进阶位置的信息，使评价结果能够及时转化为调整教学的依据（Hattie, 2005）。可见的学习的核心含义正在于此，即教师能够看见自身教学对学生学习的影响，学生能够看见自己的学习进展并逐步成为自身学习的主导者。</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2）可见的学习的运行机制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课堂中主要通过学习意图、成功标准、学业进阶和反馈四个相互关联的要素运行。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3周的标准要求学生准确描述1820年至1920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Hattie, 2005, pp. 14–17）。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McDonnell &amp; Weatherford, 2013）。这一发现提示，学校自行构建的能力进阶描述同样需要在教学实践中检验和修订。</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反馈围绕学习要到达哪里、当前处于什么位置、下一步如何推进三个问题展开，把目标、当前表现和后续行动连接起来，并可指向任务、过程和自我调节等不同层面（Hattie &amp; Timperley, 2007）。反馈具有双向性，学生的作业、提问和错误同样是教师判断教学效果的信息来源，有研究者进一步主张将学校建设为持续追问下一步方向的反馈文化（Fredens, 2015）。课堂观察研究发现，教师往往难以觉察课堂中正在发生的大部分事情，教师自认为讲授仅占课堂时间的二至三成，实际测量却达到七至八成（Knudsen, 2017），这说明教师需要借助证据而非仅凭感觉了解课堂。反馈的效果还取决于学习者的反馈素养，即理解反馈、判断其合理性、调节面对批评时的情绪并将建议转化为改进行动的能力（Carless &amp; Boud, 2018, as cited in Du &amp; Yuan, 2026）。</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3）可见的学习对教师和学校的要求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Hattie后来进一步提出，决定教学质量的关键与其说在于教师采用了何种方法，不如说在于教师如何理解自身的角色。这种理解被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Hattie,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教师的专业判断需要学校组织的支持。斯堪的纳维亚的研究者将可见的学习重新诠释为校本改进的路径，强调通过教师协作研讨、同伴观课和跨年级共享进阶标准开展集体能力建设（Nordahl, 2015）。有效的专业学习共同体通常具有聚焦学生学习的共同愿景、对学生学业成效的集体责任、反思性的专业探究以及超越一般互助的深度协作等特征（Brown &amp; Greany, 2018）。关于教育证据使用的研究也发现，学校在日常排课中为教师保留专门的研讨时间，教师才能在互信的氛围中提出疑问、研读研究并结合班级学情设计教学尝试，研究证据也更可能真正进入课堂（Rickinson et al., 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Edovald &amp; Nevill, 2021）。另一方面，把课例研究作为教师共同检验教学方案的正式机制，有助于将教师自身的探究与外部研究证据结合起来（Brown &amp; Greany, 2018）。教研活动的关键在于是否聚焦学生真实的学习表现，并在多轮实践中检验改进是否有效。</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4）关于可见的学习的学术争议与本研究的使用立场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可见的学习在国际上影响广泛，同时也受到持续的学术批评。厘清这些批评，有助于明确本研究应在何种意义上使用该理论。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第一类批评针对以效应量对教学因素进行排序的做法。0.40的关节点缺乏充分依据，对不同研究结果的简单平均会掩盖重要差异，例如家庭作业对小学生几乎没有效果，对中学生的效果却较为明显（Snook et al., 2009）。对二级元分析方法的系统检验发现，原始研究被重复计算、加权方式不一致等问题较为普遍，在一个案例中按正确方法重新计算后，基于网络的学习的效应量由0.59降至0.23，排名由第26位降至第98位，据此按效应量进行排序具有误导性（Wecker et al., 2016）。数值示例还表明，同一组数据采用不同公式计算效应量，可能得出完全相反的排序（Bergeron &amp; Rivard, 2017）；大量元分析的层层汇总也会导致原始研究中的具体信息丢失或被扭曲（Terhart,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类批评针对核心概念的边界。以反馈为例，支撑反馈具有高影响力这一结论的5项主要元分析中，只有1项研究的是与其定义一致的反馈干预，该研究显示反馈的平均效果并不突出，且约38%的反馈干预降低了学生表现，其余研究涉及的则是奖励强化、教师亲和力等不同现象（Nielsen &amp; Klitmøller, 2021）。元分析所依据的多为标准化考试成绩，偏重表层知识，对深层理解和批判性思维的反映有限（Qvortrup, 2015）。这些批评表明，反馈发挥作用需要具体指向任务和改进方法，并被学生理解和使用。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第三类批评针对理论在实践中的使用方式和适用范围。若行政部门把可见的学习转化为以高效应量方法清单考核教师的工具，会削弱教师依据具体情境作出专业判断的能力（Eacott, 2019）。原始元分析主要来自英语国家的研究，直接迁移到非英语国家和不同社会文化环境时存在适应性问题（Golovchin, 2019）。对英格兰、苏格兰和德国学校的比较研究发现，苏格兰校长面对此类流行理念时并不直接照搬，而是组织教师在本校课堂中开展实践者探究，检验其对本校学生的适切性，德国部分学校则将相关著作作为教师小组研读和讨论的参考（Kelly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上述讨论，本研究对可见的学习采取有限而明确的使用立场。本研究不以效应量排名选择教学方法，也不以0.40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可见的学习与高阶能力培育的结合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可见的学习的优势恰在于使学习可见，它要求明确目标与标准，要求学生把学习过程表现出来，并要求教师依据这些表现调整教学。这是本课题选择可见的学习作为研究视角的主要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而非照搬固定模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Rickinson et al., 2022）。以实践者探究方式检验外部理念的经验也表明，学校对外部理论的吸收需要经过本校课堂证据的检验和校准（Kelly et al., 2025）。这为本课题以行动研究推动模型在学校中的生成和修正提供了依据。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多分别讨论高阶能力的培养方法或可见的学习的课堂机制，将二者置于同一框架之中，并在一所中学的多个学科和科创活动中持续检验的研究仍然较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发展尺度看，二者的结合还需要一套能够描述高阶能力进阶的共同语言。可见的学习强调教师对学业进阶的共同理解，高阶思维研究则提供了布卢姆分类修订版的认知层级和SOLO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已有研究的不足与本研究的切入点</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已有研究在高阶能力和可见的学习两方面都形成了较为丰富的理论与实证基础，但就本课题关注的问题而言，仍存在三个方面的不足。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在证据使用上，可见的学习的研究多关注学习目标、反馈和学业成绩，对于高阶能力如何通过具体学习表现加以识别、如何依据多源证据持续判断和改进，研究仍然有限；同时，可见的学习自身的效应量证据存在较大争议，学校实践需要以本校课堂中的真实证据为依据（Nielsen &amp; Klitmøller, 2021; Wecker et al., 2016）。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第三，在研究情境上，关于高阶思维与数智技术的实证研究大多以大学生为对象，基础教育阶段的证据较少且结果不稳定（Chen &amp; Cheung, 2025; Liu et al., 2026），一所学校在多个学科和多种学习场域中持续开展、多轮改进的研究也较为缺乏。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研究意义</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1.理论意义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在布卢姆教育目标分类修订版、OECD社会与情感能力框架和CASEL框架的基础上，结合中学生的学习特点，提出由高阶思维（分析、评价、创造）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2.实践意义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不采用可见的学习中存在争议的效应量排名，而是把其中关于学习意图与成功标准、反馈三问以及教师诊断、干预和评估的主张，转化为学生“目标引领—任务驱动—探究展学—反馈迭代—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3.方法意义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把学生前后测问卷、课堂专业评价、AI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409ED451"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思路与设计</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核心概念界定</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第一部分已经梳理了高阶能力和可见的学习的研究脉络。本部分不再重复理论来源，只说明本研究中三个核心概念的具体含义，以及它们在研究中如何被观察和测量。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1.中学生高阶能力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（1）高阶思维能力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分析</w:t>
      </w:r>
      <w:r>
        <w:rPr>
          <w:rFonts w:ascii="宋体" w:eastAsia="宋体" w:hAnsi="宋体" w:cs="宋体" w:hint="eastAsia"/>
          <w:kern w:val="0"/>
          <w:sz w:val="24"/>
        </w:rPr>
        <w:t>，指学生能够分解复杂问题，辨别不同信息、条件和变量之间的关系，抓住问题的关键要素及其内在联系。</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评价</w:t>
      </w:r>
      <w:r>
        <w:rPr>
          <w:rFonts w:ascii="宋体" w:eastAsia="宋体" w:hAnsi="宋体" w:cs="宋体" w:hint="eastAsia"/>
          <w:kern w:val="0"/>
          <w:sz w:val="24"/>
        </w:rPr>
        <w:t>，指学生能够依据事实、证据或一定标准，对观点、方法、过程和结果进行比较、判断、质疑和反思。</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创造</w:t>
      </w:r>
      <w:r>
        <w:rPr>
          <w:rFonts w:ascii="宋体" w:eastAsia="宋体" w:hAnsi="宋体" w:cs="宋体" w:hint="eastAsia"/>
          <w:kern w:val="0"/>
          <w:sz w:val="24"/>
        </w:rPr>
        <w:t>，指学生能够综合已有知识和经验，形成新的观点、方案、解释或作品，并把已有知识和方法迁移到新的问题情境中。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题解决、迁移和元认知在本研究中不另设维度，而是作为三个维度共同指向的应用情境和调节过程融入其中。在课堂观察中，本研究还借助文献综述中介绍的SOLO分类判断学生回答和作品的结构水平，即学生是只提到了一个要点、列举了多个彼此孤立的要点，还是能够把多个要点联系起来并迁移到新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（2）高阶社会情感能力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社会情感能力不是OECD、CASEL等国际组织已有的标准概念。本研究聚焦那些直接参与复杂学习、合作探究和真实问题解决的社会情感能力，以OECD社会与情感能力调查的五个领域和CASEL的五个领域为参照，以国内社会与情感能力研究为直接依据进行归并，形成责任担当、情绪调节、合作共情、包容创新四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责任担当</w:t>
      </w:r>
      <w:r>
        <w:rPr>
          <w:rFonts w:ascii="宋体" w:eastAsia="宋体" w:hAnsi="宋体" w:cs="宋体" w:hint="eastAsia"/>
          <w:kern w:val="0"/>
          <w:sz w:val="24"/>
        </w:rPr>
        <w:t>，指学生能够明确任务目标和个人职责，主动投入并坚持完成任务，对个人学习和团队成果负责。</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情绪调节</w:t>
      </w:r>
      <w:r>
        <w:rPr>
          <w:rFonts w:ascii="宋体" w:eastAsia="宋体" w:hAnsi="宋体" w:cs="宋体" w:hint="eastAsia"/>
          <w:kern w:val="0"/>
          <w:sz w:val="24"/>
        </w:rPr>
        <w:t>，指学生面对困难、压力、失败和观点冲突时，能够调节自己的情绪和行为，保持相对稳定的学习状态并继续行动。</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合作共情</w:t>
      </w:r>
      <w:r>
        <w:rPr>
          <w:rFonts w:ascii="宋体" w:eastAsia="宋体" w:hAnsi="宋体" w:cs="宋体" w:hint="eastAsia"/>
          <w:kern w:val="0"/>
          <w:sz w:val="24"/>
        </w:rPr>
        <w:t>，指学生能够倾听、理解和尊重他人的观点与感受，通过表达、协商、支持和共同建构，与他人合作解决问题。</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包容创新</w:t>
      </w:r>
      <w:r>
        <w:rPr>
          <w:rFonts w:ascii="宋体" w:eastAsia="宋体" w:hAnsi="宋体" w:cs="宋体" w:hint="eastAsia"/>
          <w:kern w:val="0"/>
          <w:sz w:val="24"/>
        </w:rPr>
        <w:t>，指学生面对新问题、不同观点和不确定结果时，能够保持好奇和开放，接纳不同信息，并在尝试、调整和反思中形成新的想法或方案。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里的“高阶”，并不是说社会情感能力已经存在国际公认的高低等级，而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0.40作为成效判断标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需要特别说明的是，本研究中的可见并不等同于课堂行为能够被看到。学生是否发言、是否讨论、是否完成任务，只是外显行为；更重要的是学生的分析、判断、创造、责任承担、情绪调节和合作过程，能否通过真实的学习表现逐步呈现出来，并转化为师生都能理解和使用的学习证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3.学习证据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理论框架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回答培养什么，可见的学习回答怎样使其发生并被判断，学习证据则把二者连接起来。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据此，本研究形成“能力目标—学习任务—学习表现—学习证据—反馈调节”的工作链条。在这一链条中，学生和教师各有一条主线。学生沿着“目标引领—任务驱动—探究展学—反馈迭代—反思迁移”的五环经历高阶学习；教师沿着“诊断发现—干预—实施—评估”的循证调节过程支持学习。两条主线通过学习证据相互连接，学生的表现为教师调整教学提供依据，教师的目标、支架和反馈又为学生改进学习提供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学习证据按五个层面组织，即后文模型中的五见，包括目标可见、思维可见、证据可见、进步可见和能力可见。表2-1说明了每个层面对应的可见的学习要素、主要学习证据和证据用途。</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表2-1  五见与可见的学习要素及学习证据的对应关系</w:t>
      </w:r>
    </w:p>
    <w:tbl>
      <w:tblPr>
        <w:tblW w:w="8519" w:type="dxa"/>
        <w:jc w:val="center"/>
        <w:tblLook w:val="04A0" w:firstRow="1" w:lastRow="0" w:firstColumn="1" w:lastColumn="0" w:noHBand="0" w:noVBand="1"/>
      </w:tblPr>
      <w:tblGrid>
        <w:gridCol w:w="1192"/>
        <w:gridCol w:w="2044"/>
        <w:gridCol w:w="2640"/>
        <w:gridCol w:w="2640"/>
      </w:tblGrid>
      <w:tr w:rsidR="000B1CCE" w14:paraId="323BDAFF" w14:textId="77777777">
        <w:trPr>
          <w:tblHeader/>
          <w:jc w:val="center"/>
        </w:trPr>
        <w:tc>
          <w:tcPr>
            <w:tcW w:w="1192"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证据层面</w:t>
            </w:r>
          </w:p>
        </w:tc>
        <w:tc>
          <w:tcPr>
            <w:tcW w:w="2044"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对应的可见的学习要素</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主要学习证据</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证据用途</w:t>
            </w:r>
          </w:p>
        </w:tc>
      </w:tr>
      <w:tr w:rsidR="000B1CCE" w14:paraId="016CB5C7" w14:textId="77777777">
        <w:trPr>
          <w:jc w:val="center"/>
        </w:trPr>
        <w:tc>
          <w:tcPr>
            <w:tcW w:w="1192"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目标可见</w:t>
            </w:r>
          </w:p>
        </w:tc>
        <w:tc>
          <w:tcPr>
            <w:tcW w:w="2044"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学习意图与成功标准</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学习目标表述、成功标准、学生对目标的复述</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依据布卢姆分类与SOLO分类判断思维层次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课堂观察记录、学生作品、实验数据、AI课堂行为数据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支持教师的诊断与干预决策</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进步可见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反馈与修订</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初稿与修订稿、方案迭代记录、前后测结果</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比较前后表现，判断变化方向与幅度</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形成对能力发展水平的综合判断</w:t>
            </w:r>
          </w:p>
        </w:tc>
      </w:tr>
    </w:tbl>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研究问题与研究目标</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1.研究问题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本研究围绕以下四个问题展开。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（1）本校中学生高阶思维与高阶社会情感的起点状况如何？教师开展高阶能力培育的认识、实践、困难和需求是什么？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（2）以“可见的学习”为连接机制，中学生高阶能力培育的学习模型与教学模型应包含哪些要素？各要素之间如何关联？</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（3）模型在学科课堂与科创项目中如何转化实施？多轮实践中作出了哪些调整，依据是什么？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（4）实施期间，学生高阶能力、课堂学习条件和教师实践发生了哪些变化？不同来源的证据在多大程度上相互一致？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2.研究目标</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研究内容</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1.“可见的学习”视域下中学生高阶能力培育的理论研究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2.中学生高阶能力发展及培育现状的调查研究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3.中学生高阶能力培育学习模型与教学模型的建构研究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评估组织教师循证调节，以五见贯穿学习证据的获取与使用，形成学习模型与教学模型协同运行的培育框架。</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4.中学生高阶能力培育模式的多场域实践研究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5.中学生高阶能力培育成效的评价与优化研究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合运用学生前后测、教师调查、课堂专业评价、AI课堂行为数据、学生作品及访谈反思等量化与质性证据，分析学生高阶能力、课堂学习和教师实践的变化，明确各类证据的推论边界，并依据评价结果和实施过程记录持续优化学习模型和实践模式。</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研究设计与方法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1.总体设计</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本研究立足学校真实教育教学情境，按照“理论研究—现状诊断—模型建构—多场域实践—成效评价—持续优化”的思路展开。整体上采用设计型研究（Design-Based Research）的逻辑，即在真实课堂中设计、实施、评估并修订培育模型，同时提炼可以迁移的设计原则（Cohen et al., 2011）。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Creswell &amp; Creswell, 2022）。</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（1）文献研究法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（2）问卷调查法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32道正向计分题，采用五级计分。调查采用分层整群随机抽样，以年级为分层依据、以班级为抽样单位，共抽取27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（3）访谈法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（4）行动研究法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行动研究是本课题开展实践探索和持续改进的主要方法。研究以典型研究课和科创项目为实践单元，按照“实践—证据采集—问题诊断—方案改进—再次实践—比较反思”的路径多轮推进。学科教师通过研究课、同课异构、课例研讨和多轮磨课，不断调整学习目标、任务设计、探究活动和评价反馈；科创项目通过项目设计、实践验证、成果反馈和方案修正不断完善实施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Cowen et al., 2015）。研究不以单次课堂或单个项目的结果判断模式是否有效，而是通过多轮实践、比较和修正，逐步提炼高阶能力培育的关键环节与实施策略。</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（5）课堂观察法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教师教学行为、学生学习行为和高阶能力表现开展课堂观察，重点了解课堂中实际发生了什么、学生如何参与学习以及高阶学习表现如何呈现。本研究采用三类课堂证据，一是课堂专业评价，采用《“可见的学习”高质量教学核心实践——教研课评课表》，从认知参与、学科内容建构、社会情感支持、课堂互动和形成性评价与反馈五个维度、20个观察条目判断课堂学习环境和教学支持状况；二是高阶能力表现观察，重点关注学生在分析、评价、创造以及责任担当、合作交流、情绪调节等方面的具体表现；三是AI课堂行为分析，借助希沃AI评课获取学生讨论、互动、展示、探究以及教师提问、讲授等课堂行为数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三类证据功能不同、相互补充。AI课堂行为指标以可识别的外显行为为单位，若直接作为判断依据，容易以行为次数代替对教学的解释，因此只作为分析课堂参与结构的辅助信息（Jornitz &amp; Klinge, 2022）。研究不以单一课堂评分或某一项AI行为指标直接判断学生高阶能力的发展。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（6）案例研究法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3.数据处理与证据整合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量化数据采用描述统计、配对样本t检验和Welch检验等方法，报告平均差值、95%置信区间和配对效应量，多重比较采用Holm校正；测评工具通过探索性因子分析、Cronbach α系数和校正题总相关进行检验。质性资料采用开放编码、类属归纳和主题分析，教师开放性回答进行三级编码。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考虑到高阶能力具有内隐性，本研究建立学生、课堂、教师三个层面的证据体系，学生层面包括高阶能力问卷、学习成果和访谈资料；课堂层面包括课堂专业评价、高阶能力表现观察和AI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4.研究效度与推论边界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Cohen et al., 2011）。因此，本研究不把前后测差异直接归因于培育模型。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是将其与学生作品、课堂观察和教师判断相互印证。综合上述设计，本研究的结论表述为多种证据在多大程度上一致支持模型在本校情境中的可实施性和积极变化，不作模型产生确定因果效果的推断。</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研究步骤</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遵循“理论研究—现状诊断—模型建构—多场域实践—成效评价—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2-1所示，图中左侧为研究进程，中部为主要研究内容，右侧为各阶段采用的研究方法。</w:t>
      </w:r>
    </w:p>
    <w:p w14:paraId="092E0453" w14:textId="77777777" w:rsidR="000B1CCE" w:rsidRDefault="00000000">
      <w:pPr>
        <w:adjustRightInd w:val="0"/>
        <w:snapToGrid w:val="0"/>
        <w:spacing w:line="360" w:lineRule="auto"/>
        <w:ind w:firstLineChars="200" w:firstLine="480"/>
        <w:rPr>
          <w:rFonts w:ascii="Times New Roman"/>
          <w:b/>
          <w:bCs/>
          <w:color w:val="000000"/>
        </w:rPr>
      </w:pPr>
      <w:r>
        <w:rPr>
          <w:rFonts w:ascii="宋体" w:eastAsia="宋体" w:hAnsi="宋体" w:cs="宋体" w:hint="eastAsia"/>
          <w:noProof/>
          <w:kern w:val="0"/>
          <w:sz w:val="24"/>
        </w:rPr>
        <w:drawing>
          <wp:anchor distT="0" distB="0" distL="114300" distR="114300" simplePos="0" relativeHeight="251659264" behindDoc="1" locked="0" layoutInCell="1" allowOverlap="1" wp14:anchorId="359537CC" wp14:editId="388A666D">
            <wp:simplePos x="0" y="0"/>
            <wp:positionH relativeFrom="column">
              <wp:posOffset>26670</wp:posOffset>
            </wp:positionH>
            <wp:positionV relativeFrom="paragraph">
              <wp:posOffset>108585</wp:posOffset>
            </wp:positionV>
            <wp:extent cx="5216525" cy="6519545"/>
            <wp:effectExtent l="0" t="0" r="0" b="0"/>
            <wp:wrapThrough wrapText="bothSides">
              <wp:wrapPolygon edited="0">
                <wp:start x="0" y="0"/>
                <wp:lineTo x="0" y="21554"/>
                <wp:lineTo x="21574" y="21554"/>
                <wp:lineTo x="21574" y="0"/>
                <wp:lineTo x="0" y="0"/>
              </wp:wrapPolygon>
            </wp:wrapThrough>
            <wp:docPr id="5" name="图片 5" descr="07f654f0ec4e8b35ed6ef4cb4479c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7f654f0ec4e8b35ed6ef4cb4479c19c"/>
                    <pic:cNvPicPr>
                      <a:picLocks noChangeAspect="1"/>
                    </pic:cNvPicPr>
                  </pic:nvPicPr>
                  <pic:blipFill>
                    <a:blip r:embed="rId7"/>
                    <a:stretch>
                      <a:fillRect/>
                    </a:stretch>
                  </pic:blipFill>
                  <pic:spPr>
                    <a:xfrm>
                      <a:off x="0" y="0"/>
                      <a:ext cx="5216525" cy="6519545"/>
                    </a:xfrm>
                    <a:prstGeom prst="rect">
                      <a:avLst/>
                    </a:prstGeom>
                  </pic:spPr>
                </pic:pic>
              </a:graphicData>
            </a:graphic>
          </wp:anchor>
        </w:drawing>
      </w:r>
      <w:r>
        <w:rPr>
          <w:rFonts w:ascii="宋体" w:hAnsi="宋体" w:cs="宋体"/>
          <w:b/>
          <w:bCs/>
          <w:color w:val="000000"/>
        </w:rPr>
        <w:t>图</w:t>
      </w:r>
      <w:r>
        <w:rPr>
          <w:rFonts w:ascii="Times New Roman"/>
          <w:b/>
          <w:bCs/>
          <w:color w:val="000000"/>
          <w:spacing w:val="-1"/>
        </w:rPr>
        <w:t xml:space="preserve"> </w:t>
      </w:r>
      <w:r>
        <w:rPr>
          <w:rFonts w:ascii="宋体"/>
          <w:b/>
          <w:bCs/>
          <w:color w:val="000000"/>
          <w:spacing w:val="1"/>
        </w:rPr>
        <w:t>2-1</w:t>
      </w:r>
      <w:r>
        <w:rPr>
          <w:rFonts w:ascii="Times New Roman"/>
          <w:b/>
          <w:bCs/>
          <w:color w:val="000000"/>
          <w:spacing w:val="5"/>
        </w:rPr>
        <w:t xml:space="preserve"> </w:t>
      </w:r>
      <w:r>
        <w:rPr>
          <w:rFonts w:ascii="宋体" w:hAnsi="宋体" w:cs="宋体"/>
          <w:b/>
          <w:bCs/>
          <w:color w:val="000000"/>
        </w:rPr>
        <w:t>《</w:t>
      </w:r>
      <w:r>
        <w:rPr>
          <w:rFonts w:ascii="宋体" w:hAnsi="宋体" w:cs="宋体" w:hint="eastAsia"/>
          <w:b/>
          <w:bCs/>
          <w:color w:val="000000"/>
        </w:rPr>
        <w:t>“可见的学习”视域下中学生高阶能力培育的学校探索</w:t>
      </w:r>
      <w:r>
        <w:rPr>
          <w:rFonts w:ascii="宋体" w:hAnsi="宋体" w:cs="宋体"/>
          <w:b/>
          <w:bCs/>
          <w:color w:val="000000"/>
          <w:spacing w:val="-1"/>
        </w:rPr>
        <w:t>》路径图</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1.准备阶段（2023年11月—2024年3月）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（1）开展理论与文献研究。围绕可见的学习、高阶能力、高阶思维、社会情感能力、形成性评价与反馈等主题，搜集和整理国内外研究成果及国家和上海的相关政策文件，结合课程改革要求明确课题研究方向。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（2）界定核心概念，完善研究框架。对中学生高阶能力、高阶思维能力、高阶社会情感能力和可见的学习等核心概念进行界定，梳理概念之间的关系，明确课题研究什么、怎样研究、怎样评价的基本思路。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（3）开展前期调查，了解实践基础。通过学生问卷、教师问卷、访谈、课堂观察和已有教学资料分析，了解学生高阶能力的初始状况，以及教师开展高阶能力培育的认识、实践、困难和专业需求。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制定研究方案，完善研究工具。根据理论研究和前期调查结果，完善研究目标、内容、方法和实施计划，研制、试用和修订学生问卷、教师问卷、课堂观察工具及过程记录工具，并检验其内部一致性和结构效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2.实施阶段（2024年4月—2026年6月）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建构高阶能力培育学习模型。基于可见的学习理论和前期调查结果，分析高阶能力形成与发展的关键要素，研究学习目标、学习任务、学习过程、学习层次与评价反馈之间的关系，形成初步的学习模型和教学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循环式行动研究与过程性证据分析。选择典型学科课例和科创项目开展多轮行动研究，综合课堂观察、教师评价、学生学习表现、AI课堂行为数据和教师反思等资料，发现教学设计和学生学习中的问题，依据证据调整教学和项目方案，并记录每轮调整的内容和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（4）持续调整和完善实践模式。根据不同学科、项目和阶段形成的实践资料，对学习目标、任务设计、探究组织、评价反馈和迁移应用等关键环节进行调整，总结不同场域中促进学生高阶能力发展的有效做法。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3.总结阶段（2026年7月—2026年10月）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（1）完成后期调查与资料整理。开展学生和教师后测，并与前测数据进行比较；系统整理课堂观察、研究课、科创项目、学生学习成果、教师访谈和教学反思等资料。</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（2）开展研究成效综合分析。从学生高阶能力发展、课堂学习变化和教师教学实践三个层面，对量化与质性资料进行综合分析，通过不同证据之间的相互参照，对研究实施情况和发展变化作出审慎判断。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（3）整理典型案例，提炼实践经验。梳理不同学科课堂和典型科创项目案例，分析高阶能力培育在不同学科和学习情境中的实施特点，形成典型案例和过程性成果。</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437DDD03"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三、研究过程与结果</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呈现模型在学科课堂和科创教育中的实践与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4E949E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（一）中学生高阶能力基础情况的现状调查研究</w:t>
      </w:r>
    </w:p>
    <w:p w14:paraId="368A8E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高阶能力测评工具开发</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0C32F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（1）学生高阶能力维度的确定</w:t>
      </w:r>
    </w:p>
    <w:p w14:paraId="7B13B1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高阶思维的测评需要明确认知过程及其在学习任务中的表现。布卢姆教育目标分类修订版将认知过程划分为记忆、理解、应用、分析、评价和创造六个层次，为区分学习任务的认知要求提供了理论依据（Anderson &amp; Krathwohl, 2001）。高阶思维还体现为学生面对新材料和非程序化问题时的迁移、批判性思考与问题解决，其核心在于建立新旧知识之间的联系（马淑风，杨向东，2022）。</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w:t>
      </w:r>
      <w:r>
        <w:rPr>
          <w:rFonts w:ascii="宋体" w:eastAsia="宋体" w:hAnsi="宋体" w:cs="宋体" w:hint="eastAsia"/>
          <w:kern w:val="0"/>
          <w:sz w:val="24"/>
        </w:rPr>
        <w:lastRenderedPageBreak/>
        <w:t>评价，其测量质量通过后续信度与结构分析加以检验。</w:t>
      </w:r>
    </w:p>
    <w:p w14:paraId="57944F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复杂学习的持续推进，不仅需要认知加工，还需要学生面对困难、分歧和不确定结果时保持投入并调整行动。OECD社会与情感能力调查从任务能力、情绪调节、协作能力、开放能力和交往能力等领域考察学生的发展状况，为本课题关注学习中的社会情感表现提供了理论参照（OECD, 2021）。</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参照国内基于社会与情感能力调查开展的测评框架（黄忠敬等，2021；袁振国等，2024），围绕中学生高阶能力培育的需要，选取与责任承担、自我调节、合作协商和开放探索相关的内容，依据其内涵联系进行归并，形成责任担当、情绪调节、合作共情、包容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5题，共20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3）学生高阶能力测评框架的形成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最终形成两类能力、七个理论维度、32道正向评分题的测评框架，采用五级评分，按1—5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2.学生样本描述与数据收集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为了解学生高阶能力的发展基础，明确学科课堂与科创教育需要重点回应的问题，</w:t>
      </w:r>
      <w:r>
        <w:rPr>
          <w:rFonts w:ascii="宋体" w:eastAsia="宋体" w:hAnsi="宋体" w:cs="宋体" w:hint="eastAsia"/>
          <w:color w:val="C00000"/>
          <w:kern w:val="0"/>
          <w:sz w:val="24"/>
        </w:rPr>
        <w:t>课题组依据前述测评框架编制学生前测问卷（见附录）</w:t>
      </w:r>
      <w:r>
        <w:rPr>
          <w:rFonts w:ascii="宋体" w:eastAsia="宋体" w:hAnsi="宋体" w:cs="宋体" w:hint="eastAsia"/>
          <w:kern w:val="0"/>
          <w:sz w:val="24"/>
        </w:rPr>
        <w:t>。调查内容包括分析、评价、创造三个高阶思维维度，以及责任担当、情绪调节、合作共情、包容创新四个高阶社会情感维度，共32道评分题。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调查采用分层整群随机抽样，以年级为分层依据，以班级为抽样单位。学校初中六至八年级各有12个班，九年级有13个班级，高中十至十二年级各有4个班。课题组在初中六至八各年级随机抽取5个班、九年级抽取6个班，高中各年级随机抽取2个班，共抽取27个班，采用问卷星组织入选班级学生在学校计算机房集中填写问卷，共回收有效问卷1346份。其中，男生671人、女生675人，分别占49.85%和50.15%。研究对问卷题项与计分进行核查，据此开展测评工具检验及学生高阶能力现状分析，为学习模型设计与后续教学模式构建提供依据。</w:t>
      </w:r>
    </w:p>
    <w:p w14:paraId="0289B0DA"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3.学生高阶能力问卷的测量质量检验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学生高阶能力的学习基础，课题组编制了包含32道评分题的学生问卷。测评内容涵盖分析、评价、创造、责任担当、情绪调节、合作共情和包容创新七个理论维度。本研究依据问卷星对1346份学生问卷的分析结果，考察题项之间的关联及其与理论内容分类的对应情况，为前测诊断提供测量依据。</w:t>
      </w:r>
    </w:p>
    <w:p w14:paraId="2C6D04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（1）探索性因子分析</w:t>
      </w:r>
    </w:p>
    <w:p w14:paraId="6D64C3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研究首先采用KMO取样适切性检验和Bartlett球形度检验，判断题项相关矩阵是否适合进行因子分析，结果见表3-1。</w:t>
      </w:r>
    </w:p>
    <w:p w14:paraId="08BA74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  学生高阶能力问卷KMO与Bartlett检验结果</w:t>
      </w:r>
    </w:p>
    <w:tbl>
      <w:tblPr>
        <w:tblW w:w="0" w:type="auto"/>
        <w:tblLayout w:type="fixed"/>
        <w:tblLook w:val="04A0" w:firstRow="1" w:lastRow="0" w:firstColumn="1" w:lastColumn="0" w:noHBand="0" w:noVBand="1"/>
      </w:tblPr>
      <w:tblGrid>
        <w:gridCol w:w="4032"/>
        <w:gridCol w:w="2880"/>
        <w:gridCol w:w="2592"/>
      </w:tblGrid>
      <w:tr w:rsidR="000B1CCE" w14:paraId="74A46987" w14:textId="77777777">
        <w:trPr>
          <w:cantSplit/>
          <w:tblHeader/>
        </w:trPr>
        <w:tc>
          <w:tcPr>
            <w:tcW w:w="4032" w:type="dxa"/>
            <w:tcBorders>
              <w:top w:val="single" w:sz="8" w:space="0" w:color="auto"/>
              <w:left w:val="nil"/>
              <w:bottom w:val="single" w:sz="8" w:space="0" w:color="auto"/>
              <w:right w:val="nil"/>
            </w:tcBorders>
            <w:vAlign w:val="center"/>
          </w:tcPr>
          <w:p w14:paraId="741DD6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检验项目</w:t>
            </w:r>
          </w:p>
        </w:tc>
        <w:tc>
          <w:tcPr>
            <w:tcW w:w="2880" w:type="dxa"/>
            <w:tcBorders>
              <w:top w:val="single" w:sz="8" w:space="0" w:color="auto"/>
              <w:left w:val="nil"/>
              <w:bottom w:val="single" w:sz="8" w:space="0" w:color="auto"/>
              <w:right w:val="nil"/>
            </w:tcBorders>
            <w:vAlign w:val="center"/>
          </w:tcPr>
          <w:p w14:paraId="37C8084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统计量</w:t>
            </w:r>
          </w:p>
        </w:tc>
        <w:tc>
          <w:tcPr>
            <w:tcW w:w="2592" w:type="dxa"/>
            <w:tcBorders>
              <w:top w:val="single" w:sz="8" w:space="0" w:color="auto"/>
              <w:left w:val="nil"/>
              <w:bottom w:val="single" w:sz="8" w:space="0" w:color="auto"/>
              <w:right w:val="nil"/>
            </w:tcBorders>
            <w:vAlign w:val="center"/>
          </w:tcPr>
          <w:p w14:paraId="0FF2E76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1BA617D4" w14:textId="77777777">
        <w:trPr>
          <w:cantSplit/>
          <w:trHeight w:val="90"/>
        </w:trPr>
        <w:tc>
          <w:tcPr>
            <w:tcW w:w="4032" w:type="dxa"/>
            <w:tcBorders>
              <w:top w:val="nil"/>
              <w:left w:val="nil"/>
              <w:bottom w:val="nil"/>
              <w:right w:val="nil"/>
            </w:tcBorders>
            <w:vAlign w:val="center"/>
          </w:tcPr>
          <w:p w14:paraId="62715DB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0.9868</w:t>
            </w:r>
          </w:p>
        </w:tc>
      </w:tr>
      <w:tr w:rsidR="000B1CCE" w14:paraId="23704C58" w14:textId="77777777">
        <w:trPr>
          <w:cantSplit/>
        </w:trPr>
        <w:tc>
          <w:tcPr>
            <w:tcW w:w="4032" w:type="dxa"/>
            <w:tcBorders>
              <w:top w:val="nil"/>
              <w:left w:val="nil"/>
              <w:bottom w:val="nil"/>
              <w:right w:val="nil"/>
            </w:tcBorders>
            <w:vAlign w:val="center"/>
          </w:tcPr>
          <w:p w14:paraId="4DECF0C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近似χ²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42225.930</w:t>
            </w:r>
          </w:p>
        </w:tc>
      </w:tr>
      <w:tr w:rsidR="000B1CCE" w14:paraId="659285AC" w14:textId="77777777">
        <w:trPr>
          <w:cantSplit/>
        </w:trPr>
        <w:tc>
          <w:tcPr>
            <w:tcW w:w="4032" w:type="dxa"/>
            <w:tcBorders>
              <w:top w:val="nil"/>
              <w:left w:val="nil"/>
              <w:bottom w:val="nil"/>
              <w:right w:val="nil"/>
            </w:tcBorders>
            <w:vAlign w:val="center"/>
          </w:tcPr>
          <w:p w14:paraId="262D9B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496</w:t>
            </w:r>
          </w:p>
        </w:tc>
      </w:tr>
      <w:tr w:rsidR="000B1CCE" w14:paraId="248121D1" w14:textId="77777777">
        <w:trPr>
          <w:cantSplit/>
        </w:trPr>
        <w:tc>
          <w:tcPr>
            <w:tcW w:w="4032" w:type="dxa"/>
            <w:tcBorders>
              <w:top w:val="nil"/>
              <w:left w:val="nil"/>
              <w:bottom w:val="single" w:sz="8" w:space="0" w:color="auto"/>
              <w:right w:val="nil"/>
            </w:tcBorders>
            <w:vAlign w:val="center"/>
          </w:tcPr>
          <w:p w14:paraId="411F11B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single" w:sz="8" w:space="0" w:color="auto"/>
              <w:right w:val="nil"/>
            </w:tcBorders>
            <w:vAlign w:val="center"/>
          </w:tcPr>
          <w:p w14:paraId="5FF69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显著性</w:t>
            </w:r>
          </w:p>
        </w:tc>
        <w:tc>
          <w:tcPr>
            <w:tcW w:w="2592" w:type="dxa"/>
            <w:tcBorders>
              <w:top w:val="nil"/>
              <w:left w:val="nil"/>
              <w:bottom w:val="single" w:sz="8" w:space="0" w:color="auto"/>
              <w:right w:val="nil"/>
            </w:tcBorders>
            <w:vAlign w:val="center"/>
          </w:tcPr>
          <w:p w14:paraId="1209FE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＜0.001</w:t>
            </w:r>
          </w:p>
        </w:tc>
      </w:tr>
    </w:tbl>
    <w:p w14:paraId="08FB27D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KMO值为0.9868，Bartlett球形度检验达到显著水平，说明相关矩阵并非单位矩阵，题项之间具备开展结构探索的统计基础。两项检验共同支持进一步考察题项归属，但尚不能据此认定七个理论维度的结构效度。</w:t>
      </w:r>
    </w:p>
    <w:p w14:paraId="26353A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前两个成分的特征值大于1，第三个成分的特征值低于1，结果见表3-2。</w:t>
      </w:r>
    </w:p>
    <w:p w14:paraId="5CE664F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  学生高阶能力问卷前五个成分特征值</w:t>
      </w:r>
    </w:p>
    <w:tbl>
      <w:tblPr>
        <w:tblW w:w="8519" w:type="dxa"/>
        <w:jc w:val="center"/>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DBD5A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成分</w:t>
            </w:r>
          </w:p>
        </w:tc>
        <w:tc>
          <w:tcPr>
            <w:tcW w:w="4837" w:type="dxa"/>
            <w:tcBorders>
              <w:top w:val="single" w:sz="12" w:space="0" w:color="auto"/>
              <w:left w:val="nil"/>
              <w:bottom w:val="nil"/>
              <w:right w:val="nil"/>
            </w:tcBorders>
            <w:tcMar>
              <w:top w:w="-1" w:type="dxa"/>
              <w:left w:w="-1" w:type="dxa"/>
              <w:bottom w:w="-1" w:type="dxa"/>
              <w:right w:w="-1" w:type="dxa"/>
            </w:tcMar>
            <w:vAlign w:val="center"/>
          </w:tcPr>
          <w:p w14:paraId="343D7F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7A1406AC"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w:t>
            </w:r>
          </w:p>
        </w:tc>
        <w:tc>
          <w:tcPr>
            <w:tcW w:w="4837" w:type="dxa"/>
            <w:tcBorders>
              <w:top w:val="single" w:sz="4" w:space="0" w:color="auto"/>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0.742</w:t>
            </w:r>
          </w:p>
        </w:tc>
      </w:tr>
      <w:tr w:rsidR="000B1CCE" w14:paraId="583AFBEB" w14:textId="77777777">
        <w:trPr>
          <w:jc w:val="center"/>
        </w:trPr>
        <w:tc>
          <w:tcPr>
            <w:tcW w:w="3682" w:type="dxa"/>
            <w:tcBorders>
              <w:top w:val="nil"/>
              <w:left w:val="nil"/>
              <w:bottom w:val="single" w:sz="12" w:space="0" w:color="auto"/>
              <w:right w:val="nil"/>
            </w:tcBorders>
            <w:tcMar>
              <w:top w:w="-1" w:type="dxa"/>
              <w:left w:w="-1" w:type="dxa"/>
              <w:bottom w:w="-1" w:type="dxa"/>
              <w:right w:w="-1" w:type="dxa"/>
            </w:tcMar>
            <w:vAlign w:val="center"/>
          </w:tcPr>
          <w:p w14:paraId="7401FA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5</w:t>
            </w:r>
          </w:p>
        </w:tc>
        <w:tc>
          <w:tcPr>
            <w:tcW w:w="4837" w:type="dxa"/>
            <w:tcBorders>
              <w:top w:val="nil"/>
              <w:left w:val="nil"/>
              <w:bottom w:val="single" w:sz="12" w:space="0" w:color="auto"/>
              <w:right w:val="nil"/>
            </w:tcBorders>
            <w:tcMar>
              <w:top w:w="-1" w:type="dxa"/>
              <w:left w:w="-1" w:type="dxa"/>
              <w:bottom w:w="-1" w:type="dxa"/>
              <w:right w:w="-1" w:type="dxa"/>
            </w:tcMar>
            <w:vAlign w:val="center"/>
          </w:tcPr>
          <w:p w14:paraId="0AE6ED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0.658</w:t>
            </w:r>
          </w:p>
        </w:tc>
      </w:tr>
    </w:tbl>
    <w:p w14:paraId="69DF50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依据特征值大于1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问卷采用主成分提取与直接斜交旋转。考虑到学生的认知活动、合作表现与自我调节可能相互联系，分析允许成分之间存在相关。三成分方案中各题的主要归属与载荷见表3-3。现有分析材料列出了主要载荷，尚未完整呈现各题在其他成分上的载荷。</w:t>
      </w:r>
    </w:p>
    <w:p w14:paraId="04B467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表3-3  学生高阶能力问卷三成分方案的题项主要归属与载荷</w:t>
      </w:r>
    </w:p>
    <w:tbl>
      <w:tblPr>
        <w:tblW w:w="8519" w:type="dxa"/>
        <w:tblLook w:val="04A0" w:firstRow="1" w:lastRow="0" w:firstColumn="1" w:lastColumn="0" w:noHBand="0" w:noVBand="1"/>
      </w:tblPr>
      <w:tblGrid>
        <w:gridCol w:w="1147"/>
        <w:gridCol w:w="3646"/>
        <w:gridCol w:w="1863"/>
        <w:gridCol w:w="1863"/>
      </w:tblGrid>
      <w:tr w:rsidR="000B1CCE" w14:paraId="0A54A091" w14:textId="77777777">
        <w:trPr>
          <w:tblHeader/>
        </w:trPr>
        <w:tc>
          <w:tcPr>
            <w:tcW w:w="0" w:type="auto"/>
            <w:tcBorders>
              <w:top w:val="single" w:sz="12" w:space="0" w:color="auto"/>
              <w:left w:val="nil"/>
              <w:bottom w:val="nil"/>
              <w:right w:val="nil"/>
            </w:tcBorders>
            <w:tcMar>
              <w:top w:w="-1" w:type="dxa"/>
              <w:left w:w="-1" w:type="dxa"/>
              <w:bottom w:w="-1" w:type="dxa"/>
              <w:right w:w="-1" w:type="dxa"/>
            </w:tcMar>
            <w:vAlign w:val="center"/>
          </w:tcPr>
          <w:p w14:paraId="1800A6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BFE99F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题项内容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64785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主要归属</w:t>
            </w:r>
          </w:p>
        </w:tc>
        <w:tc>
          <w:tcPr>
            <w:tcW w:w="1863" w:type="dxa"/>
            <w:tcBorders>
              <w:top w:val="single" w:sz="12" w:space="0" w:color="auto"/>
              <w:left w:val="nil"/>
              <w:bottom w:val="nil"/>
              <w:right w:val="nil"/>
            </w:tcBorders>
            <w:tcMar>
              <w:top w:w="-1" w:type="dxa"/>
              <w:left w:w="-1" w:type="dxa"/>
              <w:bottom w:w="-1" w:type="dxa"/>
              <w:right w:w="-1" w:type="dxa"/>
            </w:tcMar>
            <w:vAlign w:val="center"/>
          </w:tcPr>
          <w:p w14:paraId="26684C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主要载荷</w:t>
            </w:r>
          </w:p>
        </w:tc>
      </w:tr>
      <w:tr w:rsidR="000B1CCE" w14:paraId="3B2E465F" w14:textId="77777777">
        <w:tc>
          <w:tcPr>
            <w:tcW w:w="0" w:type="auto"/>
            <w:tcBorders>
              <w:top w:val="single" w:sz="4" w:space="0" w:color="auto"/>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w:t>
            </w:r>
          </w:p>
        </w:tc>
        <w:tc>
          <w:tcPr>
            <w:tcW w:w="0" w:type="auto"/>
            <w:tcBorders>
              <w:top w:val="single" w:sz="4" w:space="0" w:color="auto"/>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复杂问题拆解</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single" w:sz="4" w:space="0" w:color="auto"/>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701920F3" w14:textId="77777777">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0.691</w:t>
            </w:r>
          </w:p>
        </w:tc>
      </w:tr>
      <w:tr w:rsidR="000B1CCE" w14:paraId="2903C40E" w14:textId="77777777">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0.677</w:t>
            </w:r>
          </w:p>
        </w:tc>
      </w:tr>
      <w:tr w:rsidR="000B1CCE" w14:paraId="2C5CC971" w14:textId="77777777">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0.698</w:t>
            </w:r>
          </w:p>
        </w:tc>
      </w:tr>
      <w:tr w:rsidR="000B1CCE" w14:paraId="78BF3D77" w14:textId="77777777">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0.655</w:t>
            </w:r>
          </w:p>
        </w:tc>
      </w:tr>
      <w:tr w:rsidR="000B1CCE" w14:paraId="65B00E0A" w14:textId="77777777">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0.548</w:t>
            </w:r>
          </w:p>
        </w:tc>
      </w:tr>
      <w:tr w:rsidR="000B1CCE" w14:paraId="58C8FCBA" w14:textId="77777777">
        <w:trPr>
          <w:trHeight w:val="90"/>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3877618C" w14:textId="77777777">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0.637</w:t>
            </w:r>
          </w:p>
        </w:tc>
      </w:tr>
      <w:tr w:rsidR="000B1CCE" w14:paraId="5A50685F" w14:textId="77777777">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0.639</w:t>
            </w:r>
          </w:p>
        </w:tc>
      </w:tr>
      <w:tr w:rsidR="000B1CCE" w14:paraId="45BC9EBE" w14:textId="77777777">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0.700</w:t>
            </w:r>
          </w:p>
        </w:tc>
      </w:tr>
      <w:tr w:rsidR="000B1CCE" w14:paraId="64C922AF" w14:textId="77777777">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0.654</w:t>
            </w:r>
          </w:p>
        </w:tc>
      </w:tr>
      <w:tr w:rsidR="000B1CCE" w14:paraId="0606EC91" w14:textId="77777777">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0.614</w:t>
            </w:r>
          </w:p>
        </w:tc>
      </w:tr>
      <w:tr w:rsidR="000B1CCE" w14:paraId="19CAB756" w14:textId="77777777">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0.509</w:t>
            </w:r>
          </w:p>
        </w:tc>
      </w:tr>
      <w:tr w:rsidR="000B1CCE" w14:paraId="1D8EF38C" w14:textId="77777777">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0.668</w:t>
            </w:r>
          </w:p>
        </w:tc>
      </w:tr>
      <w:tr w:rsidR="000B1CCE" w14:paraId="10ADE3E2" w14:textId="77777777">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0.515</w:t>
            </w:r>
          </w:p>
        </w:tc>
      </w:tr>
      <w:tr w:rsidR="000B1CCE" w14:paraId="3386FA84" w14:textId="77777777">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0.516</w:t>
            </w:r>
          </w:p>
        </w:tc>
      </w:tr>
      <w:tr w:rsidR="000B1CCE" w14:paraId="13C30114" w14:textId="77777777">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0.708</w:t>
            </w:r>
          </w:p>
        </w:tc>
      </w:tr>
      <w:tr w:rsidR="000B1CCE" w14:paraId="3DED7FD6" w14:textId="77777777">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0.569</w:t>
            </w:r>
          </w:p>
        </w:tc>
      </w:tr>
      <w:tr w:rsidR="000B1CCE" w14:paraId="51E1398B" w14:textId="77777777">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06E18941" w14:textId="77777777">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0.540</w:t>
            </w:r>
          </w:p>
        </w:tc>
      </w:tr>
      <w:tr w:rsidR="000B1CCE" w14:paraId="12C8E4ED" w14:textId="77777777">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6F255D5A" w14:textId="77777777">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615A5130" w14:textId="77777777">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0.783</w:t>
            </w:r>
          </w:p>
        </w:tc>
      </w:tr>
      <w:tr w:rsidR="000B1CCE" w14:paraId="6CE57C95" w14:textId="77777777">
        <w:trPr>
          <w:trHeight w:val="458"/>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0.657</w:t>
            </w:r>
          </w:p>
        </w:tc>
      </w:tr>
      <w:tr w:rsidR="000B1CCE" w14:paraId="582C1E0E" w14:textId="77777777">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0.741</w:t>
            </w:r>
          </w:p>
        </w:tc>
      </w:tr>
      <w:tr w:rsidR="000B1CCE" w14:paraId="0660AEFF" w14:textId="77777777">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0.638</w:t>
            </w:r>
          </w:p>
        </w:tc>
      </w:tr>
      <w:tr w:rsidR="000B1CCE" w14:paraId="01A2879E" w14:textId="77777777">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0.647</w:t>
            </w:r>
          </w:p>
        </w:tc>
      </w:tr>
      <w:tr w:rsidR="000B1CCE" w14:paraId="413705ED" w14:textId="77777777">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0.528</w:t>
            </w:r>
          </w:p>
        </w:tc>
      </w:tr>
      <w:tr w:rsidR="000B1CCE" w14:paraId="179808BF" w14:textId="77777777">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0.744</w:t>
            </w:r>
          </w:p>
        </w:tc>
      </w:tr>
      <w:tr w:rsidR="000B1CCE" w14:paraId="28448231" w14:textId="77777777">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r w:rsidR="000B1CCE" w14:paraId="4B20B5AF" w14:textId="77777777">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0.488</w:t>
            </w:r>
          </w:p>
        </w:tc>
      </w:tr>
      <w:tr w:rsidR="000B1CCE" w14:paraId="43427C26" w14:textId="77777777">
        <w:tc>
          <w:tcPr>
            <w:tcW w:w="1147" w:type="dxa"/>
            <w:tcBorders>
              <w:top w:val="nil"/>
              <w:left w:val="nil"/>
              <w:bottom w:val="single" w:sz="12" w:space="0" w:color="auto"/>
              <w:right w:val="nil"/>
            </w:tcBorders>
            <w:tcMar>
              <w:top w:w="-1" w:type="dxa"/>
              <w:left w:w="-1" w:type="dxa"/>
              <w:bottom w:w="-1" w:type="dxa"/>
              <w:right w:w="-1" w:type="dxa"/>
            </w:tcMar>
            <w:vAlign w:val="center"/>
          </w:tcPr>
          <w:p w14:paraId="40E6DD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Q32</w:t>
            </w:r>
          </w:p>
        </w:tc>
        <w:tc>
          <w:tcPr>
            <w:tcW w:w="3646" w:type="dxa"/>
            <w:tcBorders>
              <w:top w:val="nil"/>
              <w:left w:val="nil"/>
              <w:bottom w:val="single" w:sz="12" w:space="0" w:color="auto"/>
              <w:right w:val="nil"/>
            </w:tcBorders>
            <w:tcMar>
              <w:top w:w="-1" w:type="dxa"/>
              <w:left w:w="-1" w:type="dxa"/>
              <w:bottom w:w="-1" w:type="dxa"/>
              <w:right w:w="-1" w:type="dxa"/>
            </w:tcMar>
            <w:vAlign w:val="center"/>
          </w:tcPr>
          <w:p w14:paraId="73C5C8C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不确定问题持续探索</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5B4CF1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47979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bl>
    <w:p w14:paraId="68A18D0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策略题项的主要载荷为0.488—0.700，包含分析、评价、创造的全部12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社会合作题项的主要载荷为0.509—0.783，包含合作共情五题，并纳入小组责任、任务完成、目标明确、异议交流和不同想法接纳等内容。情绪调节题项的主要载荷为0.513—0.604，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三个成分的相关系数为0.48—0.55，表明认知、合作与调节内容彼此相关。部分题项仍有交叉载荷，目标明确、任务反思及新方法尝试等题项的归属不够鲜明。仅凭主要载荷高于0.40，尚不能判断各成分已充分区分。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为考察学生问卷题项在各内容组内的一致程度，研究计算Cronbach α系数。问卷星报告按六组题项内容进行统计，检验结果见表3-4。</w:t>
      </w:r>
    </w:p>
    <w:p w14:paraId="2E0751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表3-4  学生高阶能力问卷内部一致性信度检验结果（N＝1346）</w:t>
      </w:r>
    </w:p>
    <w:tbl>
      <w:tblPr>
        <w:tblW w:w="8519" w:type="dxa"/>
        <w:jc w:val="center"/>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69CB9DD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测评内容组</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373E3E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题项数</w:t>
            </w:r>
          </w:p>
        </w:tc>
        <w:tc>
          <w:tcPr>
            <w:tcW w:w="2413" w:type="dxa"/>
            <w:tcBorders>
              <w:top w:val="single" w:sz="12" w:space="0" w:color="000000"/>
              <w:left w:val="nil"/>
              <w:bottom w:val="nil"/>
              <w:right w:val="nil"/>
            </w:tcBorders>
            <w:tcMar>
              <w:top w:w="-1" w:type="dxa"/>
              <w:left w:w="-1" w:type="dxa"/>
              <w:bottom w:w="-1" w:type="dxa"/>
              <w:right w:w="-1" w:type="dxa"/>
            </w:tcMar>
            <w:vAlign w:val="center"/>
          </w:tcPr>
          <w:p w14:paraId="4FFAECB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Cronbachα</w:t>
            </w:r>
          </w:p>
        </w:tc>
      </w:tr>
      <w:tr w:rsidR="000B1CCE" w14:paraId="1714682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认知策略</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w:t>
            </w:r>
          </w:p>
        </w:tc>
        <w:tc>
          <w:tcPr>
            <w:tcW w:w="2413" w:type="dxa"/>
            <w:tcBorders>
              <w:top w:val="single" w:sz="4" w:space="0" w:color="auto"/>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0.9266</w:t>
            </w:r>
          </w:p>
        </w:tc>
      </w:tr>
    </w:tbl>
    <w:p w14:paraId="1E4F9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六组题项的Cronbach α介于0.9045—0.9349之间，表明各组题项具有较好的内部一致性，可支持按相应内容组进行综合描述。该信度结果对应上述六组题项划分；本课题前测现状分析按七个理论维度展开，因此不将六组α直接解释为七个理论维度各自的信度。</w:t>
      </w:r>
    </w:p>
    <w:p w14:paraId="6E23E5F6"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4.中学生高阶能力基础情况的问卷调查与分析</w:t>
      </w:r>
    </w:p>
    <w:p w14:paraId="723A02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（1）调查样本的年级与性别构成</w:t>
      </w:r>
    </w:p>
    <w:p w14:paraId="36709E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表3-5  学生前测样本的年级与性别构成</w:t>
      </w:r>
    </w:p>
    <w:tbl>
      <w:tblPr>
        <w:tblW w:w="8519" w:type="dxa"/>
        <w:jc w:val="center"/>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973FD9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1D4DC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男生</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E1E04B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女生</w:t>
            </w:r>
          </w:p>
        </w:tc>
        <w:tc>
          <w:tcPr>
            <w:tcW w:w="1817" w:type="dxa"/>
            <w:tcBorders>
              <w:top w:val="single" w:sz="12" w:space="0" w:color="auto"/>
              <w:left w:val="nil"/>
              <w:bottom w:val="nil"/>
              <w:right w:val="nil"/>
            </w:tcBorders>
            <w:tcMar>
              <w:top w:w="-1" w:type="dxa"/>
              <w:left w:w="-1" w:type="dxa"/>
              <w:bottom w:w="-1" w:type="dxa"/>
              <w:right w:w="-1" w:type="dxa"/>
            </w:tcMar>
            <w:vAlign w:val="center"/>
          </w:tcPr>
          <w:p w14:paraId="50A86F4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r>
      <w:tr w:rsidR="000B1CCE" w14:paraId="10F18F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118</w:t>
            </w:r>
          </w:p>
        </w:tc>
        <w:tc>
          <w:tcPr>
            <w:tcW w:w="1817" w:type="dxa"/>
            <w:tcBorders>
              <w:top w:val="single" w:sz="4" w:space="0" w:color="auto"/>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74C7394D" w14:textId="77777777">
        <w:trPr>
          <w:jc w:val="center"/>
        </w:trPr>
        <w:tc>
          <w:tcPr>
            <w:tcW w:w="3068" w:type="dxa"/>
            <w:tcBorders>
              <w:top w:val="nil"/>
              <w:left w:val="nil"/>
              <w:bottom w:val="single" w:sz="12" w:space="0" w:color="auto"/>
              <w:right w:val="nil"/>
            </w:tcBorders>
            <w:tcMar>
              <w:top w:w="-1" w:type="dxa"/>
              <w:left w:w="-1" w:type="dxa"/>
              <w:bottom w:w="-1" w:type="dxa"/>
              <w:right w:w="-1" w:type="dxa"/>
            </w:tcMar>
            <w:vAlign w:val="center"/>
          </w:tcPr>
          <w:p w14:paraId="138D51C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2F868BE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671</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7B19E4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675</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412EAD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1346</w:t>
            </w:r>
          </w:p>
        </w:tc>
      </w:tr>
    </w:tbl>
    <w:p w14:paraId="19EE35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（2）学生高阶能力自评的总体分布特征</w:t>
      </w:r>
    </w:p>
    <w:p w14:paraId="1E467F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表3-6  学生高阶能力整体及两类能力的前测描述统计</w:t>
      </w:r>
    </w:p>
    <w:tbl>
      <w:tblPr>
        <w:tblW w:w="8519" w:type="dxa"/>
        <w:jc w:val="center"/>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19C16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C1983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9C5582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D470A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P25</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AF2298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中位数</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77310E9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P75</w:t>
            </w:r>
          </w:p>
        </w:tc>
      </w:tr>
      <w:tr w:rsidR="000B1CCE" w14:paraId="0AD35F19"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0.752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3.469</w:t>
            </w:r>
          </w:p>
        </w:tc>
        <w:tc>
          <w:tcPr>
            <w:tcW w:w="0" w:type="auto"/>
            <w:tcBorders>
              <w:top w:val="single" w:sz="4" w:space="0" w:color="auto"/>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4.583</w:t>
            </w:r>
          </w:p>
        </w:tc>
      </w:tr>
      <w:tr w:rsidR="000B1CCE" w14:paraId="192581A2" w14:textId="77777777">
        <w:trPr>
          <w:jc w:val="center"/>
        </w:trPr>
        <w:tc>
          <w:tcPr>
            <w:tcW w:w="2409" w:type="dxa"/>
            <w:tcBorders>
              <w:top w:val="nil"/>
              <w:left w:val="nil"/>
              <w:bottom w:val="single" w:sz="12" w:space="0" w:color="auto"/>
              <w:right w:val="nil"/>
            </w:tcBorders>
            <w:tcMar>
              <w:top w:w="-1" w:type="dxa"/>
              <w:left w:w="-1" w:type="dxa"/>
              <w:bottom w:w="-1" w:type="dxa"/>
              <w:right w:w="-1" w:type="dxa"/>
            </w:tcMar>
            <w:vAlign w:val="center"/>
          </w:tcPr>
          <w:p w14:paraId="1DF111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443109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284316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0.761</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30D35FC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3.500</w:t>
            </w:r>
          </w:p>
        </w:tc>
        <w:tc>
          <w:tcPr>
            <w:tcW w:w="1362" w:type="dxa"/>
            <w:tcBorders>
              <w:top w:val="nil"/>
              <w:left w:val="nil"/>
              <w:bottom w:val="single" w:sz="12" w:space="0" w:color="auto"/>
              <w:right w:val="nil"/>
            </w:tcBorders>
            <w:tcMar>
              <w:top w:w="-1" w:type="dxa"/>
              <w:left w:w="-1" w:type="dxa"/>
              <w:bottom w:w="-1" w:type="dxa"/>
              <w:right w:w="-1" w:type="dxa"/>
            </w:tcMar>
            <w:vAlign w:val="center"/>
          </w:tcPr>
          <w:p w14:paraId="380D71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76BF04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4.700</w:t>
            </w:r>
          </w:p>
        </w:tc>
      </w:tr>
    </w:tbl>
    <w:p w14:paraId="4EEAD58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整体看，学生对自身学习表现的评价较为积极，高阶社会情感的均值略高于高阶思维。两类能力的中位数均为4.000，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图3-1  学生高阶能力问卷各题项的五级选项作答比例</w:t>
      </w:r>
    </w:p>
    <w:p w14:paraId="74118B5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-1呈现各题五级选项的分布，与表3-8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（3）各理论维度的自评特征与培育需求</w:t>
      </w:r>
    </w:p>
    <w:p w14:paraId="4868B8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表3-7  学生高阶能力七个理论维度的前测描述统计</w:t>
      </w:r>
    </w:p>
    <w:tbl>
      <w:tblPr>
        <w:tblW w:w="8519" w:type="dxa"/>
        <w:jc w:val="center"/>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46B2B9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E74F708"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2476" w:type="dxa"/>
            <w:tcBorders>
              <w:top w:val="single" w:sz="12" w:space="0" w:color="auto"/>
              <w:left w:val="nil"/>
              <w:bottom w:val="nil"/>
              <w:right w:val="nil"/>
            </w:tcBorders>
            <w:tcMar>
              <w:top w:w="-1" w:type="dxa"/>
              <w:left w:w="-1" w:type="dxa"/>
              <w:bottom w:w="-1" w:type="dxa"/>
              <w:right w:w="-1" w:type="dxa"/>
            </w:tcMar>
            <w:vAlign w:val="center"/>
          </w:tcPr>
          <w:p w14:paraId="7835D56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r>
      <w:tr w:rsidR="000B1CCE" w14:paraId="615BB5C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476" w:type="dxa"/>
            <w:tcBorders>
              <w:top w:val="single" w:sz="4" w:space="0" w:color="auto"/>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lastRenderedPageBreak/>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0.785</w:t>
            </w:r>
          </w:p>
        </w:tc>
      </w:tr>
      <w:tr w:rsidR="000B1CCE" w14:paraId="75E1625D" w14:textId="77777777">
        <w:trPr>
          <w:jc w:val="center"/>
        </w:trPr>
        <w:tc>
          <w:tcPr>
            <w:tcW w:w="3569" w:type="dxa"/>
            <w:tcBorders>
              <w:top w:val="nil"/>
              <w:left w:val="nil"/>
              <w:bottom w:val="single" w:sz="12" w:space="0" w:color="auto"/>
              <w:right w:val="nil"/>
            </w:tcBorders>
            <w:tcMar>
              <w:top w:w="-1" w:type="dxa"/>
              <w:left w:w="-1" w:type="dxa"/>
              <w:bottom w:w="-1" w:type="dxa"/>
              <w:right w:w="-1" w:type="dxa"/>
            </w:tcMar>
            <w:vAlign w:val="center"/>
          </w:tcPr>
          <w:p w14:paraId="7B66DE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2474" w:type="dxa"/>
            <w:tcBorders>
              <w:top w:val="nil"/>
              <w:left w:val="nil"/>
              <w:bottom w:val="single" w:sz="12" w:space="0" w:color="auto"/>
              <w:right w:val="nil"/>
            </w:tcBorders>
            <w:tcMar>
              <w:top w:w="-1" w:type="dxa"/>
              <w:left w:w="-1" w:type="dxa"/>
              <w:bottom w:w="-1" w:type="dxa"/>
              <w:right w:w="-1" w:type="dxa"/>
            </w:tcMar>
            <w:vAlign w:val="center"/>
          </w:tcPr>
          <w:p w14:paraId="3465D36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476" w:type="dxa"/>
            <w:tcBorders>
              <w:top w:val="nil"/>
              <w:left w:val="nil"/>
              <w:bottom w:val="single" w:sz="12" w:space="0" w:color="auto"/>
              <w:right w:val="nil"/>
            </w:tcBorders>
            <w:tcMar>
              <w:top w:w="-1" w:type="dxa"/>
              <w:left w:w="-1" w:type="dxa"/>
              <w:bottom w:w="-1" w:type="dxa"/>
              <w:right w:w="-1" w:type="dxa"/>
            </w:tcMar>
            <w:vAlign w:val="center"/>
          </w:tcPr>
          <w:p w14:paraId="416C616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0.812</w:t>
            </w:r>
          </w:p>
        </w:tc>
      </w:tr>
    </w:tbl>
    <w:p w14:paraId="628781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图3-2  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维度的结果呈现出较清楚的相对特点。合作共情与责任担当自评较高，创造均值相对最低，情绪调节在社会情感四维中相对最低。创造与情绪调节的标准差分别为0.865和0.845，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（4）题项层面的自评表现与学习支持需求</w:t>
      </w:r>
    </w:p>
    <w:p w14:paraId="7F061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表3-8  学生高阶能力问卷各题项的描述统计与积极自评比例</w:t>
      </w:r>
    </w:p>
    <w:tbl>
      <w:tblPr>
        <w:tblW w:w="8522" w:type="dxa"/>
        <w:jc w:val="center"/>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auto"/>
              <w:left w:val="nil"/>
              <w:bottom w:val="nil"/>
              <w:right w:val="nil"/>
            </w:tcBorders>
            <w:tcMar>
              <w:top w:w="-1" w:type="dxa"/>
              <w:left w:w="-1" w:type="dxa"/>
              <w:bottom w:w="-1" w:type="dxa"/>
              <w:right w:w="-1" w:type="dxa"/>
            </w:tcMar>
            <w:vAlign w:val="center"/>
          </w:tcPr>
          <w:p w14:paraId="26F043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题号</w:t>
            </w:r>
          </w:p>
        </w:tc>
        <w:tc>
          <w:tcPr>
            <w:tcW w:w="1301" w:type="dxa"/>
            <w:tcBorders>
              <w:top w:val="single" w:sz="12" w:space="0" w:color="auto"/>
              <w:left w:val="nil"/>
              <w:bottom w:val="nil"/>
              <w:right w:val="nil"/>
            </w:tcBorders>
            <w:tcMar>
              <w:top w:w="-1" w:type="dxa"/>
              <w:left w:w="-1" w:type="dxa"/>
              <w:bottom w:w="-1" w:type="dxa"/>
              <w:right w:w="-1" w:type="dxa"/>
            </w:tcMar>
            <w:vAlign w:val="center"/>
          </w:tcPr>
          <w:p w14:paraId="6A5CAAE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3272" w:type="dxa"/>
            <w:tcBorders>
              <w:top w:val="single" w:sz="12" w:space="0" w:color="auto"/>
              <w:left w:val="nil"/>
              <w:bottom w:val="nil"/>
              <w:right w:val="nil"/>
            </w:tcBorders>
            <w:tcMar>
              <w:top w:w="-1" w:type="dxa"/>
              <w:left w:w="-1" w:type="dxa"/>
              <w:bottom w:w="-1" w:type="dxa"/>
              <w:right w:w="-1" w:type="dxa"/>
            </w:tcMar>
            <w:vAlign w:val="center"/>
          </w:tcPr>
          <w:p w14:paraId="0016281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题项内容</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6D0D5DC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34D2E66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1243" w:type="dxa"/>
            <w:tcBorders>
              <w:top w:val="single" w:sz="12" w:space="0" w:color="auto"/>
              <w:left w:val="nil"/>
              <w:bottom w:val="nil"/>
              <w:right w:val="nil"/>
            </w:tcBorders>
            <w:tcMar>
              <w:top w:w="-1" w:type="dxa"/>
              <w:left w:w="-1" w:type="dxa"/>
              <w:bottom w:w="-1" w:type="dxa"/>
              <w:right w:w="-1" w:type="dxa"/>
            </w:tcMar>
            <w:vAlign w:val="center"/>
          </w:tcPr>
          <w:p w14:paraId="19DD8F0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4—5分%</w:t>
            </w:r>
          </w:p>
        </w:tc>
      </w:tr>
      <w:tr w:rsidR="000B1CCE" w14:paraId="764F7FD3" w14:textId="77777777">
        <w:trPr>
          <w:jc w:val="center"/>
        </w:trPr>
        <w:tc>
          <w:tcPr>
            <w:tcW w:w="822" w:type="dxa"/>
            <w:tcBorders>
              <w:top w:val="single" w:sz="4" w:space="0" w:color="auto"/>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w:t>
            </w:r>
          </w:p>
        </w:tc>
        <w:tc>
          <w:tcPr>
            <w:tcW w:w="1301" w:type="dxa"/>
            <w:tcBorders>
              <w:top w:val="single" w:sz="4" w:space="0" w:color="auto"/>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single" w:sz="4" w:space="0" w:color="auto"/>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遇到比较复杂的学习问题时，我会把它分成几个小问题来思考</w:t>
            </w:r>
          </w:p>
        </w:tc>
        <w:tc>
          <w:tcPr>
            <w:tcW w:w="941" w:type="dxa"/>
            <w:tcBorders>
              <w:top w:val="single" w:sz="4" w:space="0" w:color="auto"/>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3.771</w:t>
            </w:r>
          </w:p>
        </w:tc>
        <w:tc>
          <w:tcPr>
            <w:tcW w:w="941" w:type="dxa"/>
            <w:tcBorders>
              <w:top w:val="single" w:sz="4" w:space="0" w:color="auto"/>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1.000</w:t>
            </w:r>
          </w:p>
        </w:tc>
        <w:tc>
          <w:tcPr>
            <w:tcW w:w="1243" w:type="dxa"/>
            <w:tcBorders>
              <w:top w:val="single" w:sz="4" w:space="0" w:color="auto"/>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学习时，我愿意进一步探究“为什么”，而不只是记住答案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69.99</w:t>
            </w:r>
          </w:p>
        </w:tc>
      </w:tr>
      <w:tr w:rsidR="000B1CCE" w14:paraId="569D9393" w14:textId="77777777">
        <w:trPr>
          <w:jc w:val="center"/>
        </w:trPr>
        <w:tc>
          <w:tcPr>
            <w:tcW w:w="822" w:type="dxa"/>
            <w:tcBorders>
              <w:top w:val="nil"/>
              <w:left w:val="nil"/>
              <w:bottom w:val="single" w:sz="12" w:space="0" w:color="auto"/>
              <w:right w:val="nil"/>
            </w:tcBorders>
            <w:tcMar>
              <w:top w:w="-1" w:type="dxa"/>
              <w:left w:w="-1" w:type="dxa"/>
              <w:bottom w:w="-1" w:type="dxa"/>
              <w:right w:w="-1" w:type="dxa"/>
            </w:tcMar>
            <w:vAlign w:val="center"/>
          </w:tcPr>
          <w:p w14:paraId="017942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Q32</w:t>
            </w:r>
          </w:p>
        </w:tc>
        <w:tc>
          <w:tcPr>
            <w:tcW w:w="1301" w:type="dxa"/>
            <w:tcBorders>
              <w:top w:val="nil"/>
              <w:left w:val="nil"/>
              <w:bottom w:val="single" w:sz="12" w:space="0" w:color="auto"/>
              <w:right w:val="nil"/>
            </w:tcBorders>
            <w:tcMar>
              <w:top w:w="-1" w:type="dxa"/>
              <w:left w:w="-1" w:type="dxa"/>
              <w:bottom w:w="-1" w:type="dxa"/>
              <w:right w:w="-1" w:type="dxa"/>
            </w:tcMar>
            <w:vAlign w:val="center"/>
          </w:tcPr>
          <w:p w14:paraId="23FDB88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single" w:sz="12" w:space="0" w:color="auto"/>
              <w:right w:val="nil"/>
            </w:tcBorders>
            <w:tcMar>
              <w:top w:w="-1" w:type="dxa"/>
              <w:left w:w="-1" w:type="dxa"/>
              <w:bottom w:w="-1" w:type="dxa"/>
              <w:right w:w="-1" w:type="dxa"/>
            </w:tcMar>
            <w:vAlign w:val="center"/>
          </w:tcPr>
          <w:p w14:paraId="579D33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面对没有固定答案的问题时，我愿意继续探索和尝试</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44C95D9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4.001</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7C17DB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0.933</w:t>
            </w:r>
          </w:p>
        </w:tc>
        <w:tc>
          <w:tcPr>
            <w:tcW w:w="1243" w:type="dxa"/>
            <w:tcBorders>
              <w:top w:val="nil"/>
              <w:left w:val="nil"/>
              <w:bottom w:val="single" w:sz="12" w:space="0" w:color="auto"/>
              <w:right w:val="nil"/>
            </w:tcBorders>
            <w:tcMar>
              <w:top w:w="-1" w:type="dxa"/>
              <w:left w:w="-1" w:type="dxa"/>
              <w:bottom w:w="-1" w:type="dxa"/>
              <w:right w:w="-1" w:type="dxa"/>
            </w:tcMar>
            <w:vAlign w:val="center"/>
          </w:tcPr>
          <w:p w14:paraId="3A5128F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69.69</w:t>
            </w:r>
          </w:p>
        </w:tc>
      </w:tr>
    </w:tbl>
    <w:p w14:paraId="763354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关键题项使维度层面的特点更加具体。复杂问题拆解的均值为3.771，知识关联为4.048；提出多种解决办法为3.797，知识迁移为3.968。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内部同样存在值得关注的差别。承担小组责任的均值为4.215，任务后反思为3.852；认真倾听同伴为4.214，尝试陌生方法为3.909。学生较认可完成分工和倾听他人，对反思改进、主动尝试的自评相对较低。紧张情境中保持平静的均值为3.851，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（5）学生高阶能力自评的年级与学段差异</w:t>
      </w:r>
    </w:p>
    <w:p w14:paraId="3BB965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表3-9  各年级学生高阶能力七个理论维度的前测题均分</w:t>
      </w:r>
    </w:p>
    <w:tbl>
      <w:tblPr>
        <w:tblW w:w="8914" w:type="dxa"/>
        <w:jc w:val="center"/>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auto"/>
              <w:left w:val="nil"/>
              <w:bottom w:val="nil"/>
              <w:right w:val="nil"/>
            </w:tcBorders>
            <w:tcMar>
              <w:top w:w="-1" w:type="dxa"/>
              <w:left w:w="-1" w:type="dxa"/>
              <w:bottom w:w="-1" w:type="dxa"/>
              <w:right w:w="-1" w:type="dxa"/>
            </w:tcMar>
            <w:vAlign w:val="center"/>
          </w:tcPr>
          <w:p w14:paraId="5271179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57A3C2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分析</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406B268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评价</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69B2400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4EC9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责任担当</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782B06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情绪调节</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BB6A6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合作共情</w:t>
            </w:r>
          </w:p>
        </w:tc>
        <w:tc>
          <w:tcPr>
            <w:tcW w:w="1204" w:type="dxa"/>
            <w:tcBorders>
              <w:top w:val="single" w:sz="12" w:space="0" w:color="auto"/>
              <w:left w:val="nil"/>
              <w:bottom w:val="nil"/>
              <w:right w:val="nil"/>
            </w:tcBorders>
            <w:tcMar>
              <w:top w:w="-1" w:type="dxa"/>
              <w:left w:w="-1" w:type="dxa"/>
              <w:bottom w:w="-1" w:type="dxa"/>
              <w:right w:w="-1" w:type="dxa"/>
            </w:tcMar>
            <w:vAlign w:val="center"/>
          </w:tcPr>
          <w:p w14:paraId="290D2ED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包容创新</w:t>
            </w:r>
          </w:p>
        </w:tc>
      </w:tr>
      <w:tr w:rsidR="000B1CCE" w14:paraId="78E6A5D8" w14:textId="77777777">
        <w:trPr>
          <w:jc w:val="center"/>
        </w:trPr>
        <w:tc>
          <w:tcPr>
            <w:tcW w:w="1296" w:type="dxa"/>
            <w:tcBorders>
              <w:top w:val="single" w:sz="4" w:space="0" w:color="auto"/>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4.358</w:t>
            </w:r>
          </w:p>
        </w:tc>
        <w:tc>
          <w:tcPr>
            <w:tcW w:w="936" w:type="dxa"/>
            <w:tcBorders>
              <w:top w:val="single" w:sz="4" w:space="0" w:color="auto"/>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4.414</w:t>
            </w:r>
          </w:p>
        </w:tc>
        <w:tc>
          <w:tcPr>
            <w:tcW w:w="0" w:type="auto"/>
            <w:tcBorders>
              <w:top w:val="single" w:sz="4" w:space="0" w:color="auto"/>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4.432</w:t>
            </w:r>
          </w:p>
        </w:tc>
        <w:tc>
          <w:tcPr>
            <w:tcW w:w="1204" w:type="dxa"/>
            <w:tcBorders>
              <w:top w:val="single" w:sz="4" w:space="0" w:color="auto"/>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4.228</w:t>
            </w:r>
          </w:p>
        </w:tc>
      </w:tr>
      <w:tr w:rsidR="000B1CCE" w14:paraId="71081197" w14:textId="77777777">
        <w:trPr>
          <w:jc w:val="center"/>
        </w:trPr>
        <w:tc>
          <w:tcPr>
            <w:tcW w:w="1296" w:type="dxa"/>
            <w:tcBorders>
              <w:top w:val="nil"/>
              <w:left w:val="nil"/>
              <w:bottom w:val="single" w:sz="12" w:space="0" w:color="auto"/>
              <w:right w:val="nil"/>
            </w:tcBorders>
            <w:tcMar>
              <w:top w:w="-1" w:type="dxa"/>
              <w:left w:w="-1" w:type="dxa"/>
              <w:bottom w:w="-1" w:type="dxa"/>
              <w:right w:w="-1" w:type="dxa"/>
            </w:tcMar>
            <w:vAlign w:val="center"/>
          </w:tcPr>
          <w:p w14:paraId="03BAFD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37ABDB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570A709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68D745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3.845</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3BB43B1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0C4CB2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7572938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4.054</w:t>
            </w:r>
          </w:p>
        </w:tc>
        <w:tc>
          <w:tcPr>
            <w:tcW w:w="1204" w:type="dxa"/>
            <w:tcBorders>
              <w:top w:val="nil"/>
              <w:left w:val="nil"/>
              <w:bottom w:val="single" w:sz="12" w:space="0" w:color="auto"/>
              <w:right w:val="nil"/>
            </w:tcBorders>
            <w:tcMar>
              <w:top w:w="-1" w:type="dxa"/>
              <w:left w:w="-1" w:type="dxa"/>
              <w:bottom w:w="-1" w:type="dxa"/>
              <w:right w:w="-1" w:type="dxa"/>
            </w:tcMar>
            <w:vAlign w:val="center"/>
          </w:tcPr>
          <w:p w14:paraId="479317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3.992</w:t>
            </w:r>
          </w:p>
        </w:tc>
      </w:tr>
    </w:tbl>
    <w:p w14:paraId="5D97BB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图3-3  各年级学生高阶能力七个理论维度的前测均值热力图</w:t>
      </w:r>
    </w:p>
    <w:p w14:paraId="07673E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图3-4  各年级学生高阶思维与高阶社会情感能力的前测题均分</w:t>
      </w:r>
    </w:p>
    <w:p w14:paraId="695BC5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表3-10  学生高阶能力前测得分的年级差异检验结果</w:t>
      </w:r>
    </w:p>
    <w:tbl>
      <w:tblPr>
        <w:tblW w:w="8519" w:type="dxa"/>
        <w:jc w:val="center"/>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0C02F0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7D7F1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F</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5ADDA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df2</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F5574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9215CC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681" w:type="dxa"/>
            <w:tcBorders>
              <w:top w:val="single" w:sz="12" w:space="0" w:color="auto"/>
              <w:left w:val="nil"/>
              <w:bottom w:val="nil"/>
              <w:right w:val="nil"/>
            </w:tcBorders>
            <w:tcMar>
              <w:top w:w="-1" w:type="dxa"/>
              <w:left w:w="-1" w:type="dxa"/>
              <w:bottom w:w="-1" w:type="dxa"/>
              <w:right w:w="-1" w:type="dxa"/>
            </w:tcMar>
            <w:vAlign w:val="center"/>
          </w:tcPr>
          <w:p w14:paraId="7FF174B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描述性η²</w:t>
            </w:r>
          </w:p>
        </w:tc>
      </w:tr>
      <w:tr w:rsidR="000B1CCE" w14:paraId="3BC562E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20.417</w:t>
            </w:r>
          </w:p>
        </w:tc>
        <w:tc>
          <w:tcPr>
            <w:tcW w:w="0" w:type="auto"/>
            <w:tcBorders>
              <w:top w:val="single" w:sz="4" w:space="0" w:color="auto"/>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557.705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single" w:sz="4" w:space="0" w:color="auto"/>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0.049</w:t>
            </w:r>
          </w:p>
        </w:tc>
      </w:tr>
      <w:tr w:rsidR="000B1CCE" w14:paraId="0C1312E0" w14:textId="77777777">
        <w:trPr>
          <w:jc w:val="center"/>
        </w:trPr>
        <w:tc>
          <w:tcPr>
            <w:tcW w:w="2145" w:type="dxa"/>
            <w:tcBorders>
              <w:top w:val="nil"/>
              <w:left w:val="nil"/>
              <w:bottom w:val="single" w:sz="12" w:space="0" w:color="auto"/>
              <w:right w:val="nil"/>
            </w:tcBorders>
            <w:tcMar>
              <w:top w:w="-1" w:type="dxa"/>
              <w:left w:w="-1" w:type="dxa"/>
              <w:bottom w:w="-1" w:type="dxa"/>
              <w:right w:w="-1" w:type="dxa"/>
            </w:tcMar>
            <w:vAlign w:val="center"/>
          </w:tcPr>
          <w:p w14:paraId="7F88E24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1212" w:type="dxa"/>
            <w:tcBorders>
              <w:top w:val="nil"/>
              <w:left w:val="nil"/>
              <w:bottom w:val="single" w:sz="12" w:space="0" w:color="auto"/>
              <w:right w:val="nil"/>
            </w:tcBorders>
            <w:tcMar>
              <w:top w:w="-1" w:type="dxa"/>
              <w:left w:w="-1" w:type="dxa"/>
              <w:bottom w:w="-1" w:type="dxa"/>
              <w:right w:w="-1" w:type="dxa"/>
            </w:tcMar>
            <w:vAlign w:val="center"/>
          </w:tcPr>
          <w:p w14:paraId="415D5FA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16.222</w:t>
            </w:r>
          </w:p>
        </w:tc>
        <w:tc>
          <w:tcPr>
            <w:tcW w:w="1367" w:type="dxa"/>
            <w:tcBorders>
              <w:top w:val="nil"/>
              <w:left w:val="nil"/>
              <w:bottom w:val="single" w:sz="12" w:space="0" w:color="auto"/>
              <w:right w:val="nil"/>
            </w:tcBorders>
            <w:tcMar>
              <w:top w:w="-1" w:type="dxa"/>
              <w:left w:w="-1" w:type="dxa"/>
              <w:bottom w:w="-1" w:type="dxa"/>
              <w:right w:w="-1" w:type="dxa"/>
            </w:tcMar>
            <w:vAlign w:val="center"/>
          </w:tcPr>
          <w:p w14:paraId="362BB42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557.930</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45AA3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2E4FBA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single" w:sz="12" w:space="0" w:color="auto"/>
              <w:right w:val="nil"/>
            </w:tcBorders>
            <w:tcMar>
              <w:top w:w="-1" w:type="dxa"/>
              <w:left w:w="-1" w:type="dxa"/>
              <w:bottom w:w="-1" w:type="dxa"/>
              <w:right w:w="-1" w:type="dxa"/>
            </w:tcMar>
            <w:vAlign w:val="center"/>
          </w:tcPr>
          <w:p w14:paraId="43AAD7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0.060</w:t>
            </w:r>
          </w:p>
        </w:tc>
      </w:tr>
    </w:tbl>
    <w:p w14:paraId="52C7C3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年级的整体、两类能力及七维比较，经Holm校正后均达到统计显著水平，说明至少部分年级的自评均值存在差异。Welch检验的分子自由度均为6，Holm校正在表内十项比较中实施。描述性η²按组间平方和与总平方和计算，用于补充呈现差异幅度；具体年级之间的差异进一步通过两两比较确定。</w:t>
      </w:r>
    </w:p>
    <w:p w14:paraId="54AB06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表3-11  创造与情绪调节前测得分的年级两两比较结果</w:t>
      </w:r>
    </w:p>
    <w:tbl>
      <w:tblPr>
        <w:tblW w:w="8522" w:type="dxa"/>
        <w:jc w:val="center"/>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auto"/>
              <w:left w:val="nil"/>
              <w:bottom w:val="nil"/>
              <w:right w:val="nil"/>
            </w:tcBorders>
            <w:tcMar>
              <w:top w:w="-1" w:type="dxa"/>
              <w:left w:w="-1" w:type="dxa"/>
              <w:bottom w:w="-1" w:type="dxa"/>
              <w:right w:w="-1" w:type="dxa"/>
            </w:tcMar>
            <w:vAlign w:val="center"/>
          </w:tcPr>
          <w:p w14:paraId="40174654"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维度</w:t>
            </w:r>
          </w:p>
        </w:tc>
        <w:tc>
          <w:tcPr>
            <w:tcW w:w="3242" w:type="dxa"/>
            <w:tcBorders>
              <w:top w:val="single" w:sz="12" w:space="0" w:color="auto"/>
              <w:left w:val="nil"/>
              <w:bottom w:val="nil"/>
              <w:right w:val="nil"/>
            </w:tcBorders>
            <w:tcMar>
              <w:top w:w="-1" w:type="dxa"/>
              <w:left w:w="-1" w:type="dxa"/>
              <w:bottom w:w="-1" w:type="dxa"/>
              <w:right w:w="-1" w:type="dxa"/>
            </w:tcMar>
            <w:vAlign w:val="center"/>
          </w:tcPr>
          <w:p w14:paraId="57F1E7A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年级比较</w:t>
            </w:r>
          </w:p>
        </w:tc>
        <w:tc>
          <w:tcPr>
            <w:tcW w:w="1322" w:type="dxa"/>
            <w:tcBorders>
              <w:top w:val="single" w:sz="12" w:space="0" w:color="auto"/>
              <w:left w:val="nil"/>
              <w:bottom w:val="nil"/>
              <w:right w:val="nil"/>
            </w:tcBorders>
            <w:tcMar>
              <w:top w:w="-1" w:type="dxa"/>
              <w:left w:w="-1" w:type="dxa"/>
              <w:bottom w:w="-1" w:type="dxa"/>
              <w:right w:w="-1" w:type="dxa"/>
            </w:tcMar>
            <w:vAlign w:val="center"/>
          </w:tcPr>
          <w:p w14:paraId="76508AB1"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均值差</w:t>
            </w:r>
          </w:p>
        </w:tc>
        <w:tc>
          <w:tcPr>
            <w:tcW w:w="1157" w:type="dxa"/>
            <w:tcBorders>
              <w:top w:val="single" w:sz="12" w:space="0" w:color="auto"/>
              <w:left w:val="nil"/>
              <w:bottom w:val="nil"/>
              <w:right w:val="nil"/>
            </w:tcBorders>
            <w:tcMar>
              <w:top w:w="-1" w:type="dxa"/>
              <w:left w:w="-1" w:type="dxa"/>
              <w:bottom w:w="-1" w:type="dxa"/>
              <w:right w:w="-1" w:type="dxa"/>
            </w:tcMar>
            <w:vAlign w:val="center"/>
          </w:tcPr>
          <w:p w14:paraId="0AE59BC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p</w:t>
            </w:r>
          </w:p>
        </w:tc>
        <w:tc>
          <w:tcPr>
            <w:tcW w:w="1164" w:type="dxa"/>
            <w:tcBorders>
              <w:top w:val="single" w:sz="12" w:space="0" w:color="auto"/>
              <w:left w:val="nil"/>
              <w:bottom w:val="nil"/>
              <w:right w:val="nil"/>
            </w:tcBorders>
            <w:tcMar>
              <w:top w:w="-1" w:type="dxa"/>
              <w:left w:w="-1" w:type="dxa"/>
              <w:bottom w:w="-1" w:type="dxa"/>
              <w:right w:w="-1" w:type="dxa"/>
            </w:tcMar>
            <w:vAlign w:val="center"/>
          </w:tcPr>
          <w:p w14:paraId="25958499"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Holmp</w:t>
            </w:r>
          </w:p>
        </w:tc>
      </w:tr>
      <w:tr w:rsidR="000B1CCE" w14:paraId="667F8036" w14:textId="77777777">
        <w:trPr>
          <w:jc w:val="center"/>
        </w:trPr>
        <w:tc>
          <w:tcPr>
            <w:tcW w:w="1637" w:type="dxa"/>
            <w:tcBorders>
              <w:top w:val="single" w:sz="4" w:space="0" w:color="auto"/>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single" w:sz="4" w:space="0" w:color="auto"/>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single" w:sz="4" w:space="0" w:color="auto"/>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0.666</w:t>
            </w:r>
          </w:p>
        </w:tc>
        <w:tc>
          <w:tcPr>
            <w:tcW w:w="1157" w:type="dxa"/>
            <w:tcBorders>
              <w:top w:val="single" w:sz="4" w:space="0" w:color="auto"/>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single" w:sz="4" w:space="0" w:color="auto"/>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lastRenderedPageBreak/>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2AB35789" w14:textId="77777777">
        <w:trPr>
          <w:jc w:val="center"/>
        </w:trPr>
        <w:tc>
          <w:tcPr>
            <w:tcW w:w="1637" w:type="dxa"/>
            <w:tcBorders>
              <w:top w:val="nil"/>
              <w:left w:val="nil"/>
              <w:bottom w:val="single" w:sz="12" w:space="0" w:color="auto"/>
              <w:right w:val="nil"/>
            </w:tcBorders>
            <w:tcMar>
              <w:top w:w="-1" w:type="dxa"/>
              <w:left w:w="-1" w:type="dxa"/>
              <w:bottom w:w="-1" w:type="dxa"/>
              <w:right w:w="-1" w:type="dxa"/>
            </w:tcMar>
            <w:vAlign w:val="center"/>
          </w:tcPr>
          <w:p w14:paraId="7C7E5D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single" w:sz="12" w:space="0" w:color="auto"/>
              <w:right w:val="nil"/>
            </w:tcBorders>
            <w:tcMar>
              <w:top w:w="-1" w:type="dxa"/>
              <w:left w:w="-1" w:type="dxa"/>
              <w:bottom w:w="-1" w:type="dxa"/>
              <w:right w:w="-1" w:type="dxa"/>
            </w:tcMar>
            <w:vAlign w:val="center"/>
          </w:tcPr>
          <w:p w14:paraId="16D19D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single" w:sz="12" w:space="0" w:color="auto"/>
              <w:right w:val="nil"/>
            </w:tcBorders>
            <w:tcMar>
              <w:top w:w="-1" w:type="dxa"/>
              <w:left w:w="-1" w:type="dxa"/>
              <w:bottom w:w="-1" w:type="dxa"/>
              <w:right w:w="-1" w:type="dxa"/>
            </w:tcMar>
            <w:vAlign w:val="center"/>
          </w:tcPr>
          <w:p w14:paraId="02A3287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0.225</w:t>
            </w:r>
          </w:p>
        </w:tc>
        <w:tc>
          <w:tcPr>
            <w:tcW w:w="1157" w:type="dxa"/>
            <w:tcBorders>
              <w:top w:val="nil"/>
              <w:left w:val="nil"/>
              <w:bottom w:val="single" w:sz="12" w:space="0" w:color="auto"/>
              <w:right w:val="nil"/>
            </w:tcBorders>
            <w:tcMar>
              <w:top w:w="-1" w:type="dxa"/>
              <w:left w:w="-1" w:type="dxa"/>
              <w:bottom w:w="-1" w:type="dxa"/>
              <w:right w:w="-1" w:type="dxa"/>
            </w:tcMar>
            <w:vAlign w:val="center"/>
          </w:tcPr>
          <w:p w14:paraId="48553C7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0.024</w:t>
            </w:r>
          </w:p>
        </w:tc>
        <w:tc>
          <w:tcPr>
            <w:tcW w:w="1164" w:type="dxa"/>
            <w:tcBorders>
              <w:top w:val="nil"/>
              <w:left w:val="nil"/>
              <w:bottom w:val="single" w:sz="12" w:space="0" w:color="auto"/>
              <w:right w:val="nil"/>
            </w:tcBorders>
            <w:tcMar>
              <w:top w:w="-1" w:type="dxa"/>
              <w:left w:w="-1" w:type="dxa"/>
              <w:bottom w:w="-1" w:type="dxa"/>
              <w:right w:w="-1" w:type="dxa"/>
            </w:tcMar>
            <w:vAlign w:val="center"/>
          </w:tcPr>
          <w:p w14:paraId="08FE9C0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0.262</w:t>
            </w:r>
          </w:p>
        </w:tc>
      </w:tr>
    </w:tbl>
    <w:p w14:paraId="3D31EAB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合作共情在七个年级均为各自七维中的相对高分项，创造在七至十二年级均为相对低分项，表明多方案生成具有跨年级的培育需求。六年级总体自评较积极，七年级和十年级部分内容相对较低，十一年级在高中阶段相对较高。两两比较采用Welch t检验，分别在每个维度的21组比较中进行Holm校正。结果为分层支持提供线索，年级差异的形成原因仍需结合课程任务和学生学习经历考察。</w:t>
      </w:r>
    </w:p>
    <w:p w14:paraId="3F05BD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表3-12  学生高阶能力前测得分的初高中差异检验结果</w:t>
      </w:r>
    </w:p>
    <w:tbl>
      <w:tblPr>
        <w:tblW w:w="8519" w:type="dxa"/>
        <w:jc w:val="center"/>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5A3A337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5D62A3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初中M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41D3CD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高中M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0B4EAC9"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1379" w:type="dxa"/>
            <w:tcBorders>
              <w:top w:val="single" w:sz="12" w:space="0" w:color="auto"/>
              <w:left w:val="nil"/>
              <w:bottom w:val="nil"/>
              <w:right w:val="nil"/>
            </w:tcBorders>
            <w:tcMar>
              <w:top w:w="-1" w:type="dxa"/>
              <w:left w:w="-1" w:type="dxa"/>
              <w:bottom w:w="-1" w:type="dxa"/>
              <w:right w:w="-1" w:type="dxa"/>
            </w:tcMar>
            <w:vAlign w:val="center"/>
          </w:tcPr>
          <w:p w14:paraId="67A00E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r>
      <w:tr w:rsidR="000B1CCE" w14:paraId="74187A7A"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3.991</w:t>
            </w:r>
          </w:p>
        </w:tc>
        <w:tc>
          <w:tcPr>
            <w:tcW w:w="0" w:type="auto"/>
            <w:tcBorders>
              <w:top w:val="single" w:sz="4" w:space="0" w:color="auto"/>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0.763</w:t>
            </w:r>
          </w:p>
        </w:tc>
        <w:tc>
          <w:tcPr>
            <w:tcW w:w="1379" w:type="dxa"/>
            <w:tcBorders>
              <w:top w:val="single" w:sz="4" w:space="0" w:color="auto"/>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2DFC6C7" w14:textId="77777777">
        <w:trPr>
          <w:jc w:val="center"/>
        </w:trPr>
        <w:tc>
          <w:tcPr>
            <w:tcW w:w="2799" w:type="dxa"/>
            <w:tcBorders>
              <w:top w:val="nil"/>
              <w:left w:val="nil"/>
              <w:bottom w:val="single" w:sz="12" w:space="0" w:color="auto"/>
              <w:right w:val="nil"/>
            </w:tcBorders>
            <w:tcMar>
              <w:top w:w="-1" w:type="dxa"/>
              <w:left w:w="-1" w:type="dxa"/>
              <w:bottom w:w="-1" w:type="dxa"/>
              <w:right w:w="-1" w:type="dxa"/>
            </w:tcMar>
            <w:vAlign w:val="center"/>
          </w:tcPr>
          <w:p w14:paraId="6F420BD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53CD53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4.010</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0716D21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1186E5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0.404</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7F1565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bl>
    <w:p w14:paraId="0DD9C08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初高中比较提供学段层面的概括，年级分析则进一步呈现学段内部的差异。</w:t>
      </w:r>
      <w:r>
        <w:rPr>
          <w:rFonts w:ascii="宋体" w:eastAsia="宋体" w:hAnsi="宋体" w:cs="宋体" w:hint="eastAsia"/>
          <w:kern w:val="0"/>
          <w:sz w:val="24"/>
        </w:rPr>
        <w:lastRenderedPageBreak/>
        <w:t>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整体均值分别为3.991和4.004，十项比较经校正均未达到统计显著水平；七个年级的总体比较则均达到校正后的显著水平，创造的描述性η²为0.074。仅按学段汇总，容易忽略具体年级的特点。学校在保持共同能力目标的同时，应结合年级和班级任务表现调整探究难度、准备资源及反馈方式。</w:t>
      </w:r>
    </w:p>
    <w:p w14:paraId="12AE53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（6）学生高阶能力自评的性别差异与效应量</w:t>
      </w:r>
    </w:p>
    <w:p w14:paraId="44C49FF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表3-13  学生高阶能力前测得分的性别差异检验与效应量</w:t>
      </w:r>
    </w:p>
    <w:tbl>
      <w:tblPr>
        <w:tblW w:w="9606" w:type="dxa"/>
        <w:jc w:val="center"/>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auto"/>
              <w:left w:val="nil"/>
              <w:bottom w:val="nil"/>
              <w:right w:val="nil"/>
            </w:tcBorders>
            <w:tcMar>
              <w:top w:w="-1" w:type="dxa"/>
              <w:left w:w="-1" w:type="dxa"/>
              <w:bottom w:w="-1" w:type="dxa"/>
              <w:right w:w="-1" w:type="dxa"/>
            </w:tcMar>
            <w:vAlign w:val="center"/>
          </w:tcPr>
          <w:p w14:paraId="4639DF9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内容</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54345F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男M</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70DF478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女M</w:t>
            </w:r>
          </w:p>
        </w:tc>
        <w:tc>
          <w:tcPr>
            <w:tcW w:w="1058" w:type="dxa"/>
            <w:tcBorders>
              <w:top w:val="single" w:sz="12" w:space="0" w:color="auto"/>
              <w:left w:val="nil"/>
              <w:bottom w:val="nil"/>
              <w:right w:val="nil"/>
            </w:tcBorders>
            <w:tcMar>
              <w:top w:w="-1" w:type="dxa"/>
              <w:left w:w="-1" w:type="dxa"/>
              <w:bottom w:w="-1" w:type="dxa"/>
              <w:right w:w="-1" w:type="dxa"/>
            </w:tcMar>
            <w:vAlign w:val="center"/>
          </w:tcPr>
          <w:p w14:paraId="40C8E8F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均值差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9EA9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95%CI</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FD1805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940" w:type="dxa"/>
            <w:tcBorders>
              <w:top w:val="single" w:sz="12" w:space="0" w:color="auto"/>
              <w:left w:val="nil"/>
              <w:bottom w:val="nil"/>
              <w:right w:val="nil"/>
            </w:tcBorders>
            <w:tcMar>
              <w:top w:w="-1" w:type="dxa"/>
              <w:left w:w="-1" w:type="dxa"/>
              <w:bottom w:w="-1" w:type="dxa"/>
              <w:right w:w="-1" w:type="dxa"/>
            </w:tcMar>
            <w:vAlign w:val="center"/>
          </w:tcPr>
          <w:p w14:paraId="633602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182" w:type="dxa"/>
            <w:tcBorders>
              <w:top w:val="single" w:sz="12" w:space="0" w:color="auto"/>
              <w:left w:val="nil"/>
              <w:bottom w:val="nil"/>
              <w:right w:val="nil"/>
            </w:tcBorders>
            <w:tcMar>
              <w:top w:w="-1" w:type="dxa"/>
              <w:left w:w="-1" w:type="dxa"/>
              <w:bottom w:w="-1" w:type="dxa"/>
              <w:right w:w="-1" w:type="dxa"/>
            </w:tcMar>
            <w:vAlign w:val="center"/>
          </w:tcPr>
          <w:p w14:paraId="2A02CBE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Hedgesg</w:t>
            </w:r>
          </w:p>
        </w:tc>
      </w:tr>
      <w:tr w:rsidR="000B1CCE" w14:paraId="25AFCCCB" w14:textId="77777777">
        <w:trPr>
          <w:jc w:val="center"/>
        </w:trPr>
        <w:tc>
          <w:tcPr>
            <w:tcW w:w="1776" w:type="dxa"/>
            <w:tcBorders>
              <w:top w:val="single" w:sz="4" w:space="0" w:color="auto"/>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3.964</w:t>
            </w:r>
          </w:p>
        </w:tc>
        <w:tc>
          <w:tcPr>
            <w:tcW w:w="1058" w:type="dxa"/>
            <w:tcBorders>
              <w:top w:val="single" w:sz="4" w:space="0" w:color="auto"/>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0.062</w:t>
            </w:r>
          </w:p>
        </w:tc>
        <w:tc>
          <w:tcPr>
            <w:tcW w:w="0" w:type="auto"/>
            <w:tcBorders>
              <w:top w:val="single" w:sz="4" w:space="0" w:color="auto"/>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[-0.019,0.142]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0.132</w:t>
            </w:r>
          </w:p>
        </w:tc>
        <w:tc>
          <w:tcPr>
            <w:tcW w:w="940" w:type="dxa"/>
            <w:tcBorders>
              <w:top w:val="single" w:sz="4" w:space="0" w:color="auto"/>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single" w:sz="4" w:space="0" w:color="auto"/>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-0.044</w:t>
            </w:r>
          </w:p>
        </w:tc>
      </w:tr>
      <w:tr w:rsidR="000B1CCE" w14:paraId="22CD14A8" w14:textId="77777777">
        <w:trPr>
          <w:jc w:val="center"/>
        </w:trPr>
        <w:tc>
          <w:tcPr>
            <w:tcW w:w="1776" w:type="dxa"/>
            <w:tcBorders>
              <w:top w:val="nil"/>
              <w:left w:val="nil"/>
              <w:bottom w:val="single" w:sz="12" w:space="0" w:color="auto"/>
              <w:right w:val="nil"/>
            </w:tcBorders>
            <w:tcMar>
              <w:top w:w="-1" w:type="dxa"/>
              <w:left w:w="-1" w:type="dxa"/>
              <w:bottom w:w="-1" w:type="dxa"/>
              <w:right w:w="-1" w:type="dxa"/>
            </w:tcMar>
            <w:vAlign w:val="center"/>
          </w:tcPr>
          <w:p w14:paraId="530D91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A892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0A27BA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1058" w:type="dxa"/>
            <w:tcBorders>
              <w:top w:val="nil"/>
              <w:left w:val="nil"/>
              <w:bottom w:val="single" w:sz="12" w:space="0" w:color="auto"/>
              <w:right w:val="nil"/>
            </w:tcBorders>
            <w:tcMar>
              <w:top w:w="-1" w:type="dxa"/>
              <w:left w:w="-1" w:type="dxa"/>
              <w:bottom w:w="-1" w:type="dxa"/>
              <w:right w:w="-1" w:type="dxa"/>
            </w:tcMar>
            <w:vAlign w:val="center"/>
          </w:tcPr>
          <w:p w14:paraId="31255F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0.075</w:t>
            </w:r>
          </w:p>
        </w:tc>
        <w:tc>
          <w:tcPr>
            <w:tcW w:w="1842" w:type="dxa"/>
            <w:tcBorders>
              <w:top w:val="nil"/>
              <w:left w:val="nil"/>
              <w:bottom w:val="single" w:sz="12" w:space="0" w:color="auto"/>
              <w:right w:val="nil"/>
            </w:tcBorders>
            <w:tcMar>
              <w:top w:w="-1" w:type="dxa"/>
              <w:left w:w="-1" w:type="dxa"/>
              <w:bottom w:w="-1" w:type="dxa"/>
              <w:right w:w="-1" w:type="dxa"/>
            </w:tcMar>
            <w:vAlign w:val="center"/>
          </w:tcPr>
          <w:p w14:paraId="01CB74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[-0.012,0.162]</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7535B5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0.090</w:t>
            </w:r>
          </w:p>
        </w:tc>
        <w:tc>
          <w:tcPr>
            <w:tcW w:w="940" w:type="dxa"/>
            <w:tcBorders>
              <w:top w:val="nil"/>
              <w:left w:val="nil"/>
              <w:bottom w:val="single" w:sz="12" w:space="0" w:color="auto"/>
              <w:right w:val="nil"/>
            </w:tcBorders>
            <w:tcMar>
              <w:top w:w="-1" w:type="dxa"/>
              <w:left w:w="-1" w:type="dxa"/>
              <w:bottom w:w="-1" w:type="dxa"/>
              <w:right w:w="-1" w:type="dxa"/>
            </w:tcMar>
            <w:vAlign w:val="center"/>
          </w:tcPr>
          <w:p w14:paraId="289100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0.541</w:t>
            </w:r>
          </w:p>
        </w:tc>
        <w:tc>
          <w:tcPr>
            <w:tcW w:w="1182" w:type="dxa"/>
            <w:tcBorders>
              <w:top w:val="nil"/>
              <w:left w:val="nil"/>
              <w:bottom w:val="single" w:sz="12" w:space="0" w:color="auto"/>
              <w:right w:val="nil"/>
            </w:tcBorders>
            <w:tcMar>
              <w:top w:w="-1" w:type="dxa"/>
              <w:left w:w="-1" w:type="dxa"/>
              <w:bottom w:w="-1" w:type="dxa"/>
              <w:right w:w="-1" w:type="dxa"/>
            </w:tcMar>
            <w:vAlign w:val="center"/>
          </w:tcPr>
          <w:p w14:paraId="5DBC7B2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0.092</w:t>
            </w:r>
          </w:p>
        </w:tc>
      </w:tr>
    </w:tbl>
    <w:p w14:paraId="309E3F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性别比较同时报告均值差、置信区间和Hedges g，考察差异的方向、精度与幅度。均值差按男生减女生计算，95%置信区间为逐项未校正区间，十项检验采用Holm校正。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校正后，创造维度的性别差异达到统计显著水平，男生和女生均值分别为3.951和3.803，均值差为0.148，Hedges g为0.172，差异幅度较小。情绪调节的校正p为0.101，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（7）创造与情绪调节自评的性别和年级交互效应</w:t>
      </w:r>
    </w:p>
    <w:p w14:paraId="1B0F0A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表3-14  创造与情绪调节前测题均分的年级与性别分层统计</w:t>
      </w:r>
    </w:p>
    <w:tbl>
      <w:tblPr>
        <w:tblW w:w="8519" w:type="dxa"/>
        <w:jc w:val="center"/>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2B0BEA3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324440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536FE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8F9C2B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男调节</w:t>
            </w:r>
          </w:p>
        </w:tc>
        <w:tc>
          <w:tcPr>
            <w:tcW w:w="1621" w:type="dxa"/>
            <w:tcBorders>
              <w:top w:val="single" w:sz="12" w:space="0" w:color="auto"/>
              <w:left w:val="nil"/>
              <w:bottom w:val="nil"/>
              <w:right w:val="nil"/>
            </w:tcBorders>
            <w:tcMar>
              <w:top w:w="-1" w:type="dxa"/>
              <w:left w:w="-1" w:type="dxa"/>
              <w:bottom w:w="-1" w:type="dxa"/>
              <w:right w:w="-1" w:type="dxa"/>
            </w:tcMar>
            <w:vAlign w:val="center"/>
          </w:tcPr>
          <w:p w14:paraId="40AF113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女调节</w:t>
            </w:r>
          </w:p>
        </w:tc>
      </w:tr>
      <w:tr w:rsidR="000B1CCE" w14:paraId="759AA8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4.460</w:t>
            </w:r>
          </w:p>
        </w:tc>
        <w:tc>
          <w:tcPr>
            <w:tcW w:w="0" w:type="auto"/>
            <w:tcBorders>
              <w:top w:val="single" w:sz="4" w:space="0" w:color="auto"/>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4.174</w:t>
            </w:r>
          </w:p>
        </w:tc>
        <w:tc>
          <w:tcPr>
            <w:tcW w:w="0" w:type="auto"/>
            <w:tcBorders>
              <w:top w:val="single" w:sz="4" w:space="0" w:color="auto"/>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4.405</w:t>
            </w:r>
          </w:p>
        </w:tc>
        <w:tc>
          <w:tcPr>
            <w:tcW w:w="1621" w:type="dxa"/>
            <w:tcBorders>
              <w:top w:val="single" w:sz="4" w:space="0" w:color="auto"/>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r>
      <w:tr w:rsidR="000B1CCE" w14:paraId="7BBD4B16" w14:textId="77777777">
        <w:trPr>
          <w:jc w:val="center"/>
        </w:trPr>
        <w:tc>
          <w:tcPr>
            <w:tcW w:w="2035" w:type="dxa"/>
            <w:tcBorders>
              <w:top w:val="nil"/>
              <w:left w:val="nil"/>
              <w:bottom w:val="single" w:sz="12" w:space="0" w:color="auto"/>
              <w:right w:val="nil"/>
            </w:tcBorders>
            <w:tcMar>
              <w:top w:w="-1" w:type="dxa"/>
              <w:left w:w="-1" w:type="dxa"/>
              <w:bottom w:w="-1" w:type="dxa"/>
              <w:right w:w="-1" w:type="dxa"/>
            </w:tcMar>
            <w:vAlign w:val="center"/>
          </w:tcPr>
          <w:p w14:paraId="315B638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A06C3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3.816</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093914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083934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5AF2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r>
    </w:tbl>
    <w:p w14:paraId="27F68C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表3-15  创造与情绪调节前测得分的性别与年级交互效应检验</w:t>
      </w:r>
    </w:p>
    <w:tbl>
      <w:tblPr>
        <w:tblW w:w="0" w:type="auto"/>
        <w:tblLook w:val="04A0" w:firstRow="1" w:lastRow="0" w:firstColumn="1" w:lastColumn="0" w:noHBand="0" w:noVBand="1"/>
      </w:tblPr>
      <w:tblGrid>
        <w:gridCol w:w="1321"/>
        <w:gridCol w:w="1416"/>
        <w:gridCol w:w="1353"/>
        <w:gridCol w:w="1384"/>
        <w:gridCol w:w="1416"/>
        <w:gridCol w:w="1416"/>
      </w:tblGrid>
      <w:tr w:rsidR="000B1CCE" w14:paraId="134CEF48" w14:textId="77777777">
        <w:trPr>
          <w:cantSplit/>
          <w:tblHeader/>
        </w:trPr>
        <w:tc>
          <w:tcPr>
            <w:tcW w:w="1704" w:type="dxa"/>
            <w:tcBorders>
              <w:top w:val="single" w:sz="8" w:space="0" w:color="auto"/>
              <w:left w:val="nil"/>
              <w:bottom w:val="single" w:sz="8" w:space="0" w:color="auto"/>
              <w:right w:val="nil"/>
            </w:tcBorders>
          </w:tcPr>
          <w:p w14:paraId="387A8C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维度</w:t>
            </w:r>
          </w:p>
        </w:tc>
        <w:tc>
          <w:tcPr>
            <w:tcW w:w="1704" w:type="dxa"/>
            <w:tcBorders>
              <w:top w:val="single" w:sz="8" w:space="0" w:color="auto"/>
              <w:left w:val="nil"/>
              <w:bottom w:val="single" w:sz="8" w:space="0" w:color="auto"/>
              <w:right w:val="nil"/>
            </w:tcBorders>
          </w:tcPr>
          <w:p w14:paraId="5070130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F</w:t>
            </w:r>
          </w:p>
        </w:tc>
        <w:tc>
          <w:tcPr>
            <w:tcW w:w="1704" w:type="dxa"/>
            <w:tcBorders>
              <w:top w:val="single" w:sz="8" w:space="0" w:color="auto"/>
              <w:left w:val="nil"/>
              <w:bottom w:val="single" w:sz="8" w:space="0" w:color="auto"/>
              <w:right w:val="nil"/>
            </w:tcBorders>
          </w:tcPr>
          <w:p w14:paraId="7697111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df1</w:t>
            </w:r>
          </w:p>
        </w:tc>
        <w:tc>
          <w:tcPr>
            <w:tcW w:w="1704" w:type="dxa"/>
            <w:tcBorders>
              <w:top w:val="single" w:sz="8" w:space="0" w:color="auto"/>
              <w:left w:val="nil"/>
              <w:bottom w:val="single" w:sz="8" w:space="0" w:color="auto"/>
              <w:right w:val="nil"/>
            </w:tcBorders>
          </w:tcPr>
          <w:p w14:paraId="1C78855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df2</w:t>
            </w:r>
          </w:p>
        </w:tc>
        <w:tc>
          <w:tcPr>
            <w:tcW w:w="1704" w:type="dxa"/>
            <w:tcBorders>
              <w:top w:val="single" w:sz="8" w:space="0" w:color="auto"/>
              <w:left w:val="nil"/>
              <w:bottom w:val="single" w:sz="8" w:space="0" w:color="auto"/>
              <w:right w:val="nil"/>
            </w:tcBorders>
          </w:tcPr>
          <w:p w14:paraId="56A115F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p</w:t>
            </w:r>
          </w:p>
        </w:tc>
        <w:tc>
          <w:tcPr>
            <w:tcW w:w="1704" w:type="dxa"/>
            <w:tcBorders>
              <w:top w:val="single" w:sz="8" w:space="0" w:color="auto"/>
              <w:left w:val="nil"/>
              <w:bottom w:val="single" w:sz="8" w:space="0" w:color="auto"/>
              <w:right w:val="nil"/>
            </w:tcBorders>
          </w:tcPr>
          <w:p w14:paraId="7CD505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Holm p</w:t>
            </w:r>
          </w:p>
        </w:tc>
      </w:tr>
      <w:tr w:rsidR="000B1CCE" w14:paraId="2B508F7B" w14:textId="77777777">
        <w:trPr>
          <w:cantSplit/>
        </w:trPr>
        <w:tc>
          <w:tcPr>
            <w:tcW w:w="1704" w:type="dxa"/>
            <w:tcBorders>
              <w:top w:val="nil"/>
              <w:left w:val="nil"/>
              <w:bottom w:val="nil"/>
              <w:right w:val="nil"/>
            </w:tcBorders>
          </w:tcPr>
          <w:p w14:paraId="0984543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创造</w:t>
            </w:r>
          </w:p>
        </w:tc>
        <w:tc>
          <w:tcPr>
            <w:tcW w:w="1704" w:type="dxa"/>
            <w:tcBorders>
              <w:top w:val="nil"/>
              <w:left w:val="nil"/>
              <w:bottom w:val="nil"/>
              <w:right w:val="nil"/>
            </w:tcBorders>
          </w:tcPr>
          <w:p w14:paraId="34A022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1.149</w:t>
            </w:r>
          </w:p>
        </w:tc>
        <w:tc>
          <w:tcPr>
            <w:tcW w:w="1704" w:type="dxa"/>
            <w:tcBorders>
              <w:top w:val="nil"/>
              <w:left w:val="nil"/>
              <w:bottom w:val="nil"/>
              <w:right w:val="nil"/>
            </w:tcBorders>
          </w:tcPr>
          <w:p w14:paraId="7E5150D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nil"/>
              <w:right w:val="nil"/>
            </w:tcBorders>
          </w:tcPr>
          <w:p w14:paraId="10966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nil"/>
              <w:right w:val="nil"/>
            </w:tcBorders>
          </w:tcPr>
          <w:p w14:paraId="7533B2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0.331</w:t>
            </w:r>
          </w:p>
        </w:tc>
        <w:tc>
          <w:tcPr>
            <w:tcW w:w="1704" w:type="dxa"/>
            <w:tcBorders>
              <w:top w:val="nil"/>
              <w:left w:val="nil"/>
              <w:bottom w:val="nil"/>
              <w:right w:val="nil"/>
            </w:tcBorders>
          </w:tcPr>
          <w:p w14:paraId="5B5A1E7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0.662</w:t>
            </w:r>
          </w:p>
        </w:tc>
      </w:tr>
      <w:tr w:rsidR="000B1CCE" w14:paraId="481B6AF8" w14:textId="77777777">
        <w:trPr>
          <w:cantSplit/>
        </w:trPr>
        <w:tc>
          <w:tcPr>
            <w:tcW w:w="1704" w:type="dxa"/>
            <w:tcBorders>
              <w:top w:val="nil"/>
              <w:left w:val="nil"/>
              <w:bottom w:val="single" w:sz="8" w:space="0" w:color="auto"/>
              <w:right w:val="nil"/>
            </w:tcBorders>
          </w:tcPr>
          <w:p w14:paraId="4C9D35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704" w:type="dxa"/>
            <w:tcBorders>
              <w:top w:val="nil"/>
              <w:left w:val="nil"/>
              <w:bottom w:val="single" w:sz="8" w:space="0" w:color="auto"/>
              <w:right w:val="nil"/>
            </w:tcBorders>
          </w:tcPr>
          <w:p w14:paraId="4607409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0.629</w:t>
            </w:r>
          </w:p>
        </w:tc>
        <w:tc>
          <w:tcPr>
            <w:tcW w:w="1704" w:type="dxa"/>
            <w:tcBorders>
              <w:top w:val="nil"/>
              <w:left w:val="nil"/>
              <w:bottom w:val="single" w:sz="8" w:space="0" w:color="auto"/>
              <w:right w:val="nil"/>
            </w:tcBorders>
          </w:tcPr>
          <w:p w14:paraId="1F463A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single" w:sz="8" w:space="0" w:color="auto"/>
              <w:right w:val="nil"/>
            </w:tcBorders>
          </w:tcPr>
          <w:p w14:paraId="6442D39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single" w:sz="8" w:space="0" w:color="auto"/>
              <w:right w:val="nil"/>
            </w:tcBorders>
          </w:tcPr>
          <w:p w14:paraId="72BB9FF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c>
          <w:tcPr>
            <w:tcW w:w="1704" w:type="dxa"/>
            <w:tcBorders>
              <w:top w:val="nil"/>
              <w:left w:val="nil"/>
              <w:bottom w:val="single" w:sz="8" w:space="0" w:color="auto"/>
              <w:right w:val="nil"/>
            </w:tcBorders>
          </w:tcPr>
          <w:p w14:paraId="22F5BB3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r>
    </w:tbl>
    <w:p w14:paraId="5EE384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进一步考察性别差异是否随年级而变化，研究对创造与情绪调节建立包含性别、年级及其交互项的线性模型，采用HC3异方差稳健检验，并对两个交互项进行Holm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创造与情绪调节交互项的校正p分别为0.662和0.707，未发现充分证据表明性别差异随年级改变。个别分组的较低均值可以引导后续观察，但分层教学支持仍需落实到学生具体的分析、尝试、表达和调节表现。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（8）开放回答的关键词统计与学习困难分析</w:t>
      </w:r>
    </w:p>
    <w:p w14:paraId="5E5E7EA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表3-16  学生学习困难开放回答的关键词频次与涉及回答条数</w:t>
      </w:r>
    </w:p>
    <w:tbl>
      <w:tblPr>
        <w:tblW w:w="8519" w:type="dxa"/>
        <w:jc w:val="center"/>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6A2CE0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关键词</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69B117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出现次数</w:t>
            </w:r>
          </w:p>
        </w:tc>
        <w:tc>
          <w:tcPr>
            <w:tcW w:w="3746" w:type="dxa"/>
            <w:tcBorders>
              <w:top w:val="single" w:sz="12" w:space="0" w:color="auto"/>
              <w:left w:val="nil"/>
              <w:bottom w:val="nil"/>
              <w:right w:val="nil"/>
            </w:tcBorders>
            <w:tcMar>
              <w:top w:w="-1" w:type="dxa"/>
              <w:left w:w="-1" w:type="dxa"/>
              <w:bottom w:w="-1" w:type="dxa"/>
              <w:right w:w="-1" w:type="dxa"/>
            </w:tcMar>
            <w:vAlign w:val="center"/>
          </w:tcPr>
          <w:p w14:paraId="15FA8A9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涉及回答条数</w:t>
            </w:r>
          </w:p>
        </w:tc>
      </w:tr>
      <w:tr w:rsidR="000B1CCE" w14:paraId="03DC9A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数学</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89</w:t>
            </w:r>
          </w:p>
        </w:tc>
        <w:tc>
          <w:tcPr>
            <w:tcW w:w="3746" w:type="dxa"/>
            <w:tcBorders>
              <w:top w:val="single" w:sz="4" w:space="0" w:color="auto"/>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0F1CBF92" w14:textId="77777777">
        <w:trPr>
          <w:jc w:val="center"/>
        </w:trPr>
        <w:tc>
          <w:tcPr>
            <w:tcW w:w="2114" w:type="dxa"/>
            <w:tcBorders>
              <w:top w:val="nil"/>
              <w:left w:val="nil"/>
              <w:bottom w:val="single" w:sz="12" w:space="0" w:color="auto"/>
              <w:right w:val="nil"/>
            </w:tcBorders>
            <w:tcMar>
              <w:top w:w="-1" w:type="dxa"/>
              <w:left w:w="-1" w:type="dxa"/>
              <w:bottom w:w="-1" w:type="dxa"/>
              <w:right w:w="-1" w:type="dxa"/>
            </w:tcMar>
            <w:vAlign w:val="center"/>
          </w:tcPr>
          <w:p w14:paraId="262404A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思路</w:t>
            </w:r>
          </w:p>
        </w:tc>
        <w:tc>
          <w:tcPr>
            <w:tcW w:w="2659" w:type="dxa"/>
            <w:tcBorders>
              <w:top w:val="nil"/>
              <w:left w:val="nil"/>
              <w:bottom w:val="single" w:sz="12" w:space="0" w:color="auto"/>
              <w:right w:val="nil"/>
            </w:tcBorders>
            <w:tcMar>
              <w:top w:w="-1" w:type="dxa"/>
              <w:left w:w="-1" w:type="dxa"/>
              <w:bottom w:w="-1" w:type="dxa"/>
              <w:right w:w="-1" w:type="dxa"/>
            </w:tcMar>
            <w:vAlign w:val="center"/>
          </w:tcPr>
          <w:p w14:paraId="4ED446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c>
          <w:tcPr>
            <w:tcW w:w="3746" w:type="dxa"/>
            <w:tcBorders>
              <w:top w:val="nil"/>
              <w:left w:val="nil"/>
              <w:bottom w:val="single" w:sz="12" w:space="0" w:color="auto"/>
              <w:right w:val="nil"/>
            </w:tcBorders>
            <w:tcMar>
              <w:top w:w="-1" w:type="dxa"/>
              <w:left w:w="-1" w:type="dxa"/>
              <w:bottom w:w="-1" w:type="dxa"/>
              <w:right w:w="-1" w:type="dxa"/>
            </w:tcMar>
            <w:vAlign w:val="center"/>
          </w:tcPr>
          <w:p w14:paraId="40A82E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r>
    </w:tbl>
    <w:p w14:paraId="5CEE0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放题围绕学生在学习中感到困难的事情展开。整理后保留953条文本开展关键词检索，分别统计词语出现次数和涉及回答条数，再结合回答语境解释学习困难。同一回答中的重复词计入出现次数，涉及回答条数仅计一次，不同关键词可以重叠。表3-16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作业与时间分别涉及67条和27条回答，反映学生对任务负担及推进安排的关注。学校需要同时考察任务总量、阶段安排和学生的执行过程，避免把所有困难都归于学生自身。背诵与理解的回答则提示知识组织的重要性，任务设计应帮</w:t>
      </w:r>
      <w:r>
        <w:rPr>
          <w:rFonts w:ascii="宋体" w:eastAsia="宋体" w:hAnsi="宋体" w:cs="宋体" w:hint="eastAsia"/>
          <w:kern w:val="0"/>
          <w:sz w:val="24"/>
        </w:rPr>
        <w:lastRenderedPageBreak/>
        <w:t>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（9）前测均值与维度排序的敏感性分析</w:t>
      </w:r>
    </w:p>
    <w:p w14:paraId="414161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表3-17  纳入与暂不纳入同选项答卷的前测均值比较</w:t>
      </w:r>
    </w:p>
    <w:tbl>
      <w:tblPr>
        <w:tblW w:w="8519" w:type="dxa"/>
        <w:jc w:val="center"/>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447CCC5"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18748AE"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整体M（n=1346）</w:t>
            </w:r>
          </w:p>
        </w:tc>
        <w:tc>
          <w:tcPr>
            <w:tcW w:w="2929" w:type="dxa"/>
            <w:tcBorders>
              <w:top w:val="single" w:sz="12" w:space="0" w:color="auto"/>
              <w:left w:val="nil"/>
              <w:bottom w:val="nil"/>
              <w:right w:val="nil"/>
            </w:tcBorders>
            <w:tcMar>
              <w:top w:w="-1" w:type="dxa"/>
              <w:left w:w="-1" w:type="dxa"/>
              <w:bottom w:w="-1" w:type="dxa"/>
              <w:right w:w="-1" w:type="dxa"/>
            </w:tcMar>
            <w:vAlign w:val="center"/>
          </w:tcPr>
          <w:p w14:paraId="4DFC0E02"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比较M（n=954）</w:t>
            </w:r>
          </w:p>
        </w:tc>
      </w:tr>
      <w:tr w:rsidR="000B1CCE" w14:paraId="357A6C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423CB5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C3D59C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2929" w:type="dxa"/>
            <w:tcBorders>
              <w:top w:val="single" w:sz="4" w:space="0" w:color="auto"/>
              <w:left w:val="nil"/>
              <w:bottom w:val="nil"/>
              <w:right w:val="nil"/>
            </w:tcBorders>
            <w:tcMar>
              <w:top w:w="-1" w:type="dxa"/>
              <w:left w:w="-1" w:type="dxa"/>
              <w:bottom w:w="-1" w:type="dxa"/>
              <w:right w:w="-1" w:type="dxa"/>
            </w:tcMar>
            <w:vAlign w:val="center"/>
          </w:tcPr>
          <w:p w14:paraId="28AAA4A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r>
      <w:tr w:rsidR="000B1CCE" w14:paraId="6CAD835A" w14:textId="77777777">
        <w:trPr>
          <w:jc w:val="center"/>
        </w:trPr>
        <w:tc>
          <w:tcPr>
            <w:tcW w:w="2485" w:type="dxa"/>
            <w:tcBorders>
              <w:top w:val="nil"/>
              <w:left w:val="nil"/>
              <w:bottom w:val="single" w:sz="12" w:space="0" w:color="auto"/>
              <w:right w:val="nil"/>
            </w:tcBorders>
            <w:tcMar>
              <w:top w:w="-1" w:type="dxa"/>
              <w:left w:w="-1" w:type="dxa"/>
              <w:bottom w:w="-1" w:type="dxa"/>
              <w:right w:w="-1" w:type="dxa"/>
            </w:tcMar>
            <w:vAlign w:val="center"/>
          </w:tcPr>
          <w:p w14:paraId="383D90F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3105" w:type="dxa"/>
            <w:tcBorders>
              <w:top w:val="nil"/>
              <w:left w:val="nil"/>
              <w:bottom w:val="single" w:sz="12" w:space="0" w:color="auto"/>
              <w:right w:val="nil"/>
            </w:tcBorders>
            <w:tcMar>
              <w:top w:w="-1" w:type="dxa"/>
              <w:left w:w="-1" w:type="dxa"/>
              <w:bottom w:w="-1" w:type="dxa"/>
              <w:right w:w="-1" w:type="dxa"/>
            </w:tcMar>
            <w:vAlign w:val="center"/>
          </w:tcPr>
          <w:p w14:paraId="2CEE413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929" w:type="dxa"/>
            <w:tcBorders>
              <w:top w:val="nil"/>
              <w:left w:val="nil"/>
              <w:bottom w:val="single" w:sz="12" w:space="0" w:color="auto"/>
              <w:right w:val="nil"/>
            </w:tcBorders>
            <w:tcMar>
              <w:top w:w="-1" w:type="dxa"/>
              <w:left w:w="-1" w:type="dxa"/>
              <w:bottom w:w="-1" w:type="dxa"/>
              <w:right w:w="-1" w:type="dxa"/>
            </w:tcMar>
            <w:vAlign w:val="center"/>
          </w:tcPr>
          <w:p w14:paraId="4B49E3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3.914</w:t>
            </w:r>
          </w:p>
        </w:tc>
      </w:tr>
    </w:tbl>
    <w:p w14:paraId="57950F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敏感性分析暂不纳入392份同选项答卷，保留954份进行比较，全部问卷仍用于整体分析。比较后整体均值由3.995降至3.876，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（10）学生培育需求的综合诊断与学习模型设计依据</w:t>
      </w:r>
    </w:p>
    <w:p w14:paraId="2B980E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表3-18  学生前测诊断依据与学习模型设计及过程观察重点</w:t>
      </w:r>
    </w:p>
    <w:tbl>
      <w:tblPr>
        <w:tblW w:w="8522" w:type="dxa"/>
        <w:jc w:val="center"/>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367B45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诊断重点</w:t>
            </w:r>
          </w:p>
        </w:tc>
        <w:tc>
          <w:tcPr>
            <w:tcW w:w="3990" w:type="dxa"/>
            <w:tcBorders>
              <w:top w:val="single" w:sz="12" w:space="0" w:color="auto"/>
              <w:left w:val="nil"/>
              <w:bottom w:val="nil"/>
              <w:right w:val="nil"/>
            </w:tcBorders>
            <w:tcMar>
              <w:top w:w="-1" w:type="dxa"/>
              <w:left w:w="-1" w:type="dxa"/>
              <w:bottom w:w="-1" w:type="dxa"/>
              <w:right w:w="-1" w:type="dxa"/>
            </w:tcMar>
            <w:vAlign w:val="center"/>
          </w:tcPr>
          <w:p w14:paraId="3C7E80E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前测依据</w:t>
            </w:r>
          </w:p>
        </w:tc>
        <w:tc>
          <w:tcPr>
            <w:tcW w:w="3050" w:type="dxa"/>
            <w:tcBorders>
              <w:top w:val="single" w:sz="12" w:space="0" w:color="auto"/>
              <w:left w:val="nil"/>
              <w:bottom w:val="nil"/>
              <w:right w:val="nil"/>
            </w:tcBorders>
            <w:tcMar>
              <w:top w:w="-1" w:type="dxa"/>
              <w:left w:w="-1" w:type="dxa"/>
              <w:bottom w:w="-1" w:type="dxa"/>
              <w:right w:w="-1" w:type="dxa"/>
            </w:tcMar>
            <w:vAlign w:val="center"/>
          </w:tcPr>
          <w:p w14:paraId="5C246EE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设计与观察重点</w:t>
            </w:r>
          </w:p>
        </w:tc>
      </w:tr>
      <w:tr w:rsidR="000B1CCE" w14:paraId="55E0C2B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复杂问题自主分析</w:t>
            </w:r>
          </w:p>
        </w:tc>
        <w:tc>
          <w:tcPr>
            <w:tcW w:w="3990" w:type="dxa"/>
            <w:tcBorders>
              <w:top w:val="single" w:sz="4" w:space="0" w:color="auto"/>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Q1 M=3.771；回答涉及看不懂、缺少思路</w:t>
            </w:r>
          </w:p>
        </w:tc>
        <w:tc>
          <w:tcPr>
            <w:tcW w:w="3050" w:type="dxa"/>
            <w:tcBorders>
              <w:top w:val="single" w:sz="4" w:space="0" w:color="auto"/>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创造M=3.877；Q12 M=3.797；七至十二年级相对低分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Q6 M=3.878；Q16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情绪调节M=3.938；Q21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auto"/>
              <w:right w:val="nil"/>
            </w:tcBorders>
            <w:tcMar>
              <w:top w:w="-1" w:type="dxa"/>
              <w:left w:w="-1" w:type="dxa"/>
              <w:bottom w:w="-1" w:type="dxa"/>
              <w:right w:w="-1" w:type="dxa"/>
            </w:tcMar>
            <w:vAlign w:val="center"/>
          </w:tcPr>
          <w:p w14:paraId="4416A37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合作基础深化</w:t>
            </w:r>
          </w:p>
        </w:tc>
        <w:tc>
          <w:tcPr>
            <w:tcW w:w="3990" w:type="dxa"/>
            <w:tcBorders>
              <w:top w:val="nil"/>
              <w:left w:val="nil"/>
              <w:bottom w:val="single" w:sz="12" w:space="0" w:color="auto"/>
              <w:right w:val="nil"/>
            </w:tcBorders>
            <w:tcMar>
              <w:top w:w="-1" w:type="dxa"/>
              <w:left w:w="-1" w:type="dxa"/>
              <w:bottom w:w="-1" w:type="dxa"/>
              <w:right w:w="-1" w:type="dxa"/>
            </w:tcMar>
            <w:vAlign w:val="center"/>
          </w:tcPr>
          <w:p w14:paraId="338A62E7"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合作共情M=4.117；Q23 M=4.214</w:t>
            </w:r>
          </w:p>
        </w:tc>
        <w:tc>
          <w:tcPr>
            <w:tcW w:w="3050" w:type="dxa"/>
            <w:tcBorders>
              <w:top w:val="nil"/>
              <w:left w:val="nil"/>
              <w:bottom w:val="single" w:sz="12" w:space="0" w:color="auto"/>
              <w:right w:val="nil"/>
            </w:tcBorders>
            <w:tcMar>
              <w:top w:w="-1" w:type="dxa"/>
              <w:left w:w="-1" w:type="dxa"/>
              <w:bottom w:w="-1" w:type="dxa"/>
              <w:right w:w="-1" w:type="dxa"/>
            </w:tcMar>
            <w:vAlign w:val="center"/>
          </w:tcPr>
          <w:p w14:paraId="5F00FAC1"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倾听后的理由回应、协商与共同决策</w:t>
            </w:r>
          </w:p>
        </w:tc>
      </w:tr>
    </w:tbl>
    <w:p w14:paraId="0314BB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各项证据，学校高阶能力培育应着重解决学生独立组织探究过程中的困难。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统计分析采用Python完成。内部一致性检验计算Cronbach α及CITC；组间比较采用Welch检验与Holm校正；性别和年级联合分析采用HC3异方差稳健检验。题项分组与计分方式在各项分析中保持一致。</w:t>
      </w:r>
    </w:p>
    <w:p w14:paraId="1B9DB856" w14:textId="77777777" w:rsidR="000B1CCE" w:rsidRDefault="00000000">
      <w:pPr>
        <w:numPr>
          <w:ilvl w:val="0"/>
          <w:numId w:val="8"/>
        </w:num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教师高阶能力培育情况的现状调查研究</w:t>
      </w:r>
    </w:p>
    <w:p w14:paraId="0CB56D13" w14:textId="77777777" w:rsidR="000B1CCE" w:rsidRDefault="00000000">
      <w:p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1.教师高阶能力培育现状调查内容的确定</w:t>
      </w:r>
    </w:p>
    <w:p w14:paraId="27261D5D"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（1）认知与价值认同调查内容的确定</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2）教师课堂实践调查内容的确定</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结合实际题项，课堂实践部分设置6题，考察指向分析、评价与创造的任务设计，项目式或问题探究式学习的组织，生活与社会情境的联系，开放性提问及</w:t>
      </w:r>
      <w:r>
        <w:rPr>
          <w:rFonts w:ascii="宋体" w:eastAsia="宋体" w:hAnsi="宋体" w:cs="宋体" w:hint="eastAsia"/>
          <w:kern w:val="0"/>
          <w:sz w:val="24"/>
        </w:rPr>
        <w:lastRenderedPageBreak/>
        <w:t>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3）教学自我效能调查内容的确定</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Bergeron &amp; Rogers, 2015）。本研究以此解释教师对高阶能力培育的实施把握，重点考察其能否设计适合学生的任务、通过提问与点拨推动思考，以及识别学生的高阶表现。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3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4）现实阻碍调查内容的确定</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属于本研究面向实际问题编制的调查，不表述为直接采用某一成熟量表。</w:t>
      </w:r>
    </w:p>
    <w:p w14:paraId="2BFE9B7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5）教师前测调查框架的形成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学生调查呈现能力发展需要，教师调查呈现教学支持的基础与条件。两类结果共同用于确定学习模型的能力目标、任务要求与支持重点，并为学习决策路径、</w:t>
      </w:r>
      <w:r>
        <w:rPr>
          <w:rFonts w:ascii="宋体" w:eastAsia="宋体" w:hAnsi="宋体" w:cs="宋体" w:hint="eastAsia"/>
          <w:kern w:val="0"/>
          <w:sz w:val="24"/>
        </w:rPr>
        <w:lastRenderedPageBreak/>
        <w:t>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32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2.教师样本描述与数据收集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为了解教师已有的高阶能力培育基础及教学实施中的困难，</w:t>
      </w:r>
      <w:r>
        <w:rPr>
          <w:rFonts w:ascii="宋体" w:eastAsia="宋体" w:hAnsi="宋体" w:cs="宋体" w:hint="eastAsia"/>
          <w:color w:val="C00000"/>
          <w:kern w:val="0"/>
          <w:sz w:val="24"/>
        </w:rPr>
        <w:t>课题组编制教师前测问卷（见附录）</w:t>
      </w:r>
      <w:r>
        <w:rPr>
          <w:rFonts w:ascii="宋体" w:eastAsia="宋体" w:hAnsi="宋体" w:cs="宋体" w:hint="eastAsia"/>
          <w:kern w:val="0"/>
          <w:sz w:val="24"/>
        </w:rPr>
        <w:t>，围绕认知与价值认同、课堂实践、教学自我效能和现实阻碍四方面设置22道评分题，并通过背景信息与开放性问题补充了解教师的实践经验和支持需求。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40"/>
        <w:rPr>
          <w:rFonts w:ascii="宋体" w:eastAsia="宋体" w:hAnsi="宋体" w:cs="宋体"/>
          <w:kern w:val="0"/>
          <w:sz w:val="24"/>
        </w:rPr>
      </w:pPr>
      <w:r>
        <w:rPr>
          <w:rFonts w:ascii="Cambria" w:eastAsia="Cambria" w:hAnsi="Cambria" w:cs="Cambria"/>
          <w:color w:val="000000"/>
          <w:sz w:val="22"/>
          <w:szCs w:val="22"/>
          <w:shd w:val="clear" w:color="auto" w:fill="FFFFFF"/>
        </w:rPr>
        <w:t>为确定学校高阶能力培育的实施起点，课题组通过问卷星编制问卷向学校全体教师发放问卷，共收回问卷163份。其中，初中教师114人、高中教师49人，分别占69.9%和30.1%。教师调查结果与学生前测结果相互参照，共同用于判断学校高阶能力培育的现实基础，确定学习模型设计与后续教学模式构建的重点。</w:t>
      </w:r>
    </w:p>
    <w:p w14:paraId="22723FCF"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3.教师高阶能力培育调查问卷的测量质量检验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高阶能力培育问卷围绕认知与价值认同、课堂实践、教学自我效能和现实阻碍四组内容编制，共包含22道评分题。为考察题项之间的关联及其与理论内容分类的对应情况，研究对163份教师前测问卷进行探索性因子分析与内部一致性信度检验。</w:t>
      </w:r>
    </w:p>
    <w:p w14:paraId="5DBCDFF0"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（1）探索性因子分析</w:t>
      </w:r>
    </w:p>
    <w:p w14:paraId="31E7EF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研究首先采用KMO取样适切性检验和Bartlett球形度检验，判断题项相关矩阵是否适合进行因子分析，结果见表3-19。</w:t>
      </w:r>
    </w:p>
    <w:p w14:paraId="5E7457A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表3-19  教师高阶能力培育问卷KMO与Bartlett检验结果</w:t>
      </w:r>
    </w:p>
    <w:tbl>
      <w:tblPr>
        <w:tblW w:w="0" w:type="auto"/>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trPr>
        <w:tc>
          <w:tcPr>
            <w:tcW w:w="3504" w:type="dxa"/>
            <w:tcBorders>
              <w:top w:val="single" w:sz="8" w:space="0" w:color="000000"/>
              <w:left w:val="nil"/>
              <w:bottom w:val="single" w:sz="8" w:space="0" w:color="000000"/>
              <w:right w:val="nil"/>
            </w:tcBorders>
            <w:vAlign w:val="center"/>
          </w:tcPr>
          <w:p w14:paraId="3054915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检验项目</w:t>
            </w:r>
          </w:p>
        </w:tc>
        <w:tc>
          <w:tcPr>
            <w:tcW w:w="2503" w:type="dxa"/>
            <w:tcBorders>
              <w:top w:val="single" w:sz="8" w:space="0" w:color="000000"/>
              <w:left w:val="nil"/>
              <w:bottom w:val="single" w:sz="8" w:space="0" w:color="000000"/>
              <w:right w:val="nil"/>
            </w:tcBorders>
            <w:vAlign w:val="center"/>
          </w:tcPr>
          <w:p w14:paraId="37589C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统计量</w:t>
            </w:r>
          </w:p>
        </w:tc>
        <w:tc>
          <w:tcPr>
            <w:tcW w:w="2252" w:type="dxa"/>
            <w:tcBorders>
              <w:top w:val="single" w:sz="8" w:space="0" w:color="000000"/>
              <w:left w:val="nil"/>
              <w:bottom w:val="single" w:sz="8" w:space="0" w:color="000000"/>
              <w:right w:val="nil"/>
            </w:tcBorders>
            <w:vAlign w:val="center"/>
          </w:tcPr>
          <w:p w14:paraId="5D73428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5DF31BF0" w14:textId="77777777">
        <w:trPr>
          <w:cantSplit/>
          <w:trHeight w:val="282"/>
        </w:trPr>
        <w:tc>
          <w:tcPr>
            <w:tcW w:w="3504" w:type="dxa"/>
            <w:tcBorders>
              <w:top w:val="nil"/>
              <w:left w:val="nil"/>
              <w:bottom w:val="nil"/>
              <w:right w:val="nil"/>
            </w:tcBorders>
            <w:vAlign w:val="center"/>
          </w:tcPr>
          <w:p w14:paraId="0E1CEE1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0.857</w:t>
            </w:r>
          </w:p>
        </w:tc>
      </w:tr>
      <w:tr w:rsidR="000B1CCE" w14:paraId="3BA70792" w14:textId="77777777">
        <w:trPr>
          <w:cantSplit/>
          <w:trHeight w:val="269"/>
        </w:trPr>
        <w:tc>
          <w:tcPr>
            <w:tcW w:w="3504" w:type="dxa"/>
            <w:tcBorders>
              <w:top w:val="nil"/>
              <w:left w:val="nil"/>
              <w:bottom w:val="nil"/>
              <w:right w:val="nil"/>
            </w:tcBorders>
            <w:vAlign w:val="center"/>
          </w:tcPr>
          <w:p w14:paraId="52839B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近似χ²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1398.630</w:t>
            </w:r>
          </w:p>
        </w:tc>
      </w:tr>
      <w:tr w:rsidR="000B1CCE" w14:paraId="47F1EFAB" w14:textId="77777777">
        <w:trPr>
          <w:cantSplit/>
          <w:trHeight w:val="282"/>
        </w:trPr>
        <w:tc>
          <w:tcPr>
            <w:tcW w:w="3504" w:type="dxa"/>
            <w:tcBorders>
              <w:top w:val="nil"/>
              <w:left w:val="nil"/>
              <w:bottom w:val="single" w:sz="8" w:space="0" w:color="000000"/>
              <w:right w:val="nil"/>
            </w:tcBorders>
            <w:vAlign w:val="center"/>
          </w:tcPr>
          <w:p w14:paraId="11DA4B4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single" w:sz="8" w:space="0" w:color="000000"/>
              <w:right w:val="nil"/>
            </w:tcBorders>
            <w:vAlign w:val="center"/>
          </w:tcPr>
          <w:p w14:paraId="7E8691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显著性</w:t>
            </w:r>
          </w:p>
        </w:tc>
        <w:tc>
          <w:tcPr>
            <w:tcW w:w="2252" w:type="dxa"/>
            <w:tcBorders>
              <w:top w:val="nil"/>
              <w:left w:val="nil"/>
              <w:bottom w:val="single" w:sz="8" w:space="0" w:color="000000"/>
              <w:right w:val="nil"/>
            </w:tcBorders>
            <w:vAlign w:val="center"/>
          </w:tcPr>
          <w:p w14:paraId="0B794FA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＜0.001</w:t>
            </w:r>
          </w:p>
        </w:tc>
      </w:tr>
    </w:tbl>
    <w:p w14:paraId="278454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0.857，表明题项之间具备开展因素分析的相关基础；Bartlett球形度检验达到显著水平，说明相关矩阵并非单位矩阵。两项检验共同支持进一步考察题项的因素归属，但尚不能据此判断四组理论内容的结构效度。</w:t>
      </w:r>
    </w:p>
    <w:p w14:paraId="1AB71D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前四个成分的特征值均大于1，第五个成分的特征值低于1，结果见表3-20。</w:t>
      </w:r>
    </w:p>
    <w:p w14:paraId="48F1D1B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表3-20  教师高阶能力培育问卷前五个成分特征值</w:t>
      </w:r>
    </w:p>
    <w:tbl>
      <w:tblPr>
        <w:tblW w:w="8780" w:type="dxa"/>
        <w:tblLayout w:type="fixed"/>
        <w:tblLook w:val="04A0" w:firstRow="1" w:lastRow="0" w:firstColumn="1" w:lastColumn="0" w:noHBand="0" w:noVBand="1"/>
      </w:tblPr>
      <w:tblGrid>
        <w:gridCol w:w="4390"/>
        <w:gridCol w:w="4390"/>
      </w:tblGrid>
      <w:tr w:rsidR="000B1CCE" w14:paraId="73DDA660" w14:textId="77777777">
        <w:trPr>
          <w:cantSplit/>
          <w:trHeight w:val="342"/>
          <w:tblHeader/>
        </w:trPr>
        <w:tc>
          <w:tcPr>
            <w:tcW w:w="4390" w:type="dxa"/>
            <w:tcBorders>
              <w:top w:val="single" w:sz="8" w:space="0" w:color="000000"/>
              <w:left w:val="nil"/>
              <w:bottom w:val="single" w:sz="8" w:space="0" w:color="000000"/>
              <w:right w:val="nil"/>
            </w:tcBorders>
            <w:vAlign w:val="center"/>
          </w:tcPr>
          <w:p w14:paraId="000673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成分</w:t>
            </w:r>
          </w:p>
        </w:tc>
        <w:tc>
          <w:tcPr>
            <w:tcW w:w="4390" w:type="dxa"/>
            <w:tcBorders>
              <w:top w:val="single" w:sz="8" w:space="0" w:color="000000"/>
              <w:left w:val="nil"/>
              <w:bottom w:val="single" w:sz="8" w:space="0" w:color="000000"/>
              <w:right w:val="nil"/>
            </w:tcBorders>
            <w:vAlign w:val="center"/>
          </w:tcPr>
          <w:p w14:paraId="12842DC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53AC2418" w14:textId="77777777">
        <w:trPr>
          <w:cantSplit/>
          <w:trHeight w:val="342"/>
        </w:trPr>
        <w:tc>
          <w:tcPr>
            <w:tcW w:w="4390" w:type="dxa"/>
            <w:tcBorders>
              <w:top w:val="nil"/>
              <w:left w:val="nil"/>
              <w:bottom w:val="nil"/>
              <w:right w:val="nil"/>
            </w:tcBorders>
            <w:vAlign w:val="center"/>
          </w:tcPr>
          <w:p w14:paraId="1944B2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8.524</w:t>
            </w:r>
          </w:p>
        </w:tc>
      </w:tr>
      <w:tr w:rsidR="000B1CCE" w14:paraId="09733830" w14:textId="77777777">
        <w:trPr>
          <w:cantSplit/>
          <w:trHeight w:val="326"/>
        </w:trPr>
        <w:tc>
          <w:tcPr>
            <w:tcW w:w="4390" w:type="dxa"/>
            <w:tcBorders>
              <w:top w:val="nil"/>
              <w:left w:val="nil"/>
              <w:bottom w:val="nil"/>
              <w:right w:val="nil"/>
            </w:tcBorders>
            <w:vAlign w:val="center"/>
          </w:tcPr>
          <w:p w14:paraId="0DF187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2.341</w:t>
            </w:r>
          </w:p>
        </w:tc>
      </w:tr>
      <w:tr w:rsidR="000B1CCE" w14:paraId="00293FB6" w14:textId="77777777">
        <w:trPr>
          <w:cantSplit/>
          <w:trHeight w:val="326"/>
        </w:trPr>
        <w:tc>
          <w:tcPr>
            <w:tcW w:w="4390" w:type="dxa"/>
            <w:tcBorders>
              <w:top w:val="nil"/>
              <w:left w:val="nil"/>
              <w:bottom w:val="nil"/>
              <w:right w:val="nil"/>
            </w:tcBorders>
            <w:vAlign w:val="center"/>
          </w:tcPr>
          <w:p w14:paraId="243F380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1.654</w:t>
            </w:r>
          </w:p>
        </w:tc>
      </w:tr>
      <w:tr w:rsidR="000B1CCE" w14:paraId="4BB8431B" w14:textId="77777777">
        <w:trPr>
          <w:cantSplit/>
          <w:trHeight w:val="326"/>
        </w:trPr>
        <w:tc>
          <w:tcPr>
            <w:tcW w:w="4390" w:type="dxa"/>
            <w:tcBorders>
              <w:top w:val="nil"/>
              <w:left w:val="nil"/>
              <w:bottom w:val="nil"/>
              <w:right w:val="nil"/>
            </w:tcBorders>
            <w:vAlign w:val="center"/>
          </w:tcPr>
          <w:p w14:paraId="497DDEF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1.313</w:t>
            </w:r>
          </w:p>
        </w:tc>
      </w:tr>
      <w:tr w:rsidR="000B1CCE" w14:paraId="507BBB8D" w14:textId="77777777">
        <w:trPr>
          <w:cantSplit/>
          <w:trHeight w:val="342"/>
        </w:trPr>
        <w:tc>
          <w:tcPr>
            <w:tcW w:w="4390" w:type="dxa"/>
            <w:tcBorders>
              <w:top w:val="nil"/>
              <w:left w:val="nil"/>
              <w:bottom w:val="single" w:sz="8" w:space="0" w:color="000000"/>
              <w:right w:val="nil"/>
            </w:tcBorders>
            <w:vAlign w:val="center"/>
          </w:tcPr>
          <w:p w14:paraId="76F338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4390" w:type="dxa"/>
            <w:tcBorders>
              <w:top w:val="nil"/>
              <w:left w:val="nil"/>
              <w:bottom w:val="single" w:sz="8" w:space="0" w:color="000000"/>
              <w:right w:val="nil"/>
            </w:tcBorders>
            <w:vAlign w:val="center"/>
          </w:tcPr>
          <w:p w14:paraId="6BC3C57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0.924</w:t>
            </w:r>
          </w:p>
        </w:tc>
      </w:tr>
    </w:tbl>
    <w:p w14:paraId="35D6EF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特征值分布为考察四因素方案提供了初步依据。因素数量的确定还需要结合旋转后的题项分布及其内容含义，不能仅凭特征值大于1认定四组理论内容已经得到验证。</w:t>
      </w:r>
    </w:p>
    <w:p w14:paraId="11A1B0B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主轴因子法与Promax斜交旋转的题项载荷见表3-21。斜交旋转允许因素之间存在相关，能够进一步考察教师认识、教学实施及实施条件等内容之间的联系。</w:t>
      </w:r>
    </w:p>
    <w:p w14:paraId="55B19BB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表3-21  教师高阶能力培育问卷主轴因子法与Promax旋转载荷</w:t>
      </w:r>
    </w:p>
    <w:tbl>
      <w:tblPr>
        <w:tblW w:w="8519" w:type="dxa"/>
        <w:jc w:val="center"/>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AF0ADB"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题项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B40427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因素1</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B42669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因素2</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D673BE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因素3</w:t>
            </w:r>
          </w:p>
        </w:tc>
        <w:tc>
          <w:tcPr>
            <w:tcW w:w="1783" w:type="dxa"/>
            <w:tcBorders>
              <w:top w:val="single" w:sz="12" w:space="0" w:color="000000"/>
              <w:left w:val="nil"/>
              <w:bottom w:val="nil"/>
              <w:right w:val="nil"/>
            </w:tcBorders>
            <w:tcMar>
              <w:top w:w="-1" w:type="dxa"/>
              <w:left w:w="-1" w:type="dxa"/>
              <w:bottom w:w="-1" w:type="dxa"/>
              <w:right w:w="-1" w:type="dxa"/>
            </w:tcMar>
            <w:vAlign w:val="center"/>
          </w:tcPr>
          <w:p w14:paraId="5C72B0FD"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因素4</w:t>
            </w:r>
          </w:p>
        </w:tc>
      </w:tr>
      <w:tr w:rsidR="000B1CCE" w14:paraId="66C218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Q7_1</w:t>
            </w:r>
          </w:p>
        </w:tc>
        <w:tc>
          <w:tcPr>
            <w:tcW w:w="0" w:type="auto"/>
            <w:tcBorders>
              <w:top w:val="single" w:sz="4" w:space="0" w:color="auto"/>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0.0632</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0.7054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0.0125</w:t>
            </w:r>
          </w:p>
        </w:tc>
        <w:tc>
          <w:tcPr>
            <w:tcW w:w="1783" w:type="dxa"/>
            <w:tcBorders>
              <w:top w:val="single" w:sz="4" w:space="0" w:color="auto"/>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lastRenderedPageBreak/>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0.5120</w:t>
            </w:r>
          </w:p>
        </w:tc>
      </w:tr>
    </w:tbl>
    <w:p w14:paraId="170405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题项主要集中于因素2，最大载荷为0.517—0.720；现实阻碍题项主要集中于因素4，最大载荷为0.512—0.709。两个内容组在题项归属上呈现一定的集中性。课堂实践与教学自我效能题项则共同集中于因素1，最大载荷分别为0.554—0.624和0.583—0.603，未分别形成与理论分类对应的独立因素。因素3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但不将分别计分解释为其统计结构已经充分区分。</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题项保留同时考虑统计表现与研究内容的覆盖，不仅依据是否符合预设分类作出决定。本次前测保留既定题项，按照四组内容开展教师自评现状分析；因素分析结论限于实际呈现的题项归属，不认定四个独立因素已经成立。</w:t>
      </w:r>
    </w:p>
    <w:p w14:paraId="14E9E8B6"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（2）内部一致性信度检验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为考察各组题项的一致程度，研究分别计算四组内容的Cronbach α系数。四组内容的测量指向不同，现实阻碍的高分表示困难较强，因此不合并计算教师问卷总分。检验结果见表3-22。</w:t>
      </w:r>
    </w:p>
    <w:p w14:paraId="1EAA7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表3-22  教师高阶能力培育问卷内部一致性信度检验结果</w:t>
      </w:r>
    </w:p>
    <w:tbl>
      <w:tblPr>
        <w:tblW w:w="8519" w:type="dxa"/>
        <w:jc w:val="center"/>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BE6D902"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lastRenderedPageBreak/>
              <w:t>测评内容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21FEB9B"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题项数</w:t>
            </w:r>
          </w:p>
        </w:tc>
        <w:tc>
          <w:tcPr>
            <w:tcW w:w="2840" w:type="dxa"/>
            <w:tcBorders>
              <w:top w:val="single" w:sz="12" w:space="0" w:color="000000"/>
              <w:left w:val="nil"/>
              <w:bottom w:val="nil"/>
              <w:right w:val="nil"/>
            </w:tcBorders>
            <w:tcMar>
              <w:top w:w="-1" w:type="dxa"/>
              <w:left w:w="-1" w:type="dxa"/>
              <w:bottom w:w="-1" w:type="dxa"/>
              <w:right w:w="-1" w:type="dxa"/>
            </w:tcMar>
            <w:vAlign w:val="center"/>
          </w:tcPr>
          <w:p w14:paraId="0D9E76E6"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Cronbachα</w:t>
            </w:r>
          </w:p>
        </w:tc>
      </w:tr>
      <w:tr w:rsidR="000B1CCE" w14:paraId="6369888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5AB23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认知与价值认同</w:t>
            </w:r>
          </w:p>
        </w:tc>
        <w:tc>
          <w:tcPr>
            <w:tcW w:w="0" w:type="auto"/>
            <w:tcBorders>
              <w:top w:val="single" w:sz="4" w:space="0" w:color="auto"/>
              <w:left w:val="nil"/>
              <w:bottom w:val="nil"/>
              <w:right w:val="nil"/>
            </w:tcBorders>
            <w:tcMar>
              <w:top w:w="-1" w:type="dxa"/>
              <w:left w:w="-1" w:type="dxa"/>
              <w:bottom w:w="-1" w:type="dxa"/>
              <w:right w:w="-1" w:type="dxa"/>
            </w:tcMar>
            <w:vAlign w:val="center"/>
          </w:tcPr>
          <w:p w14:paraId="3974D57B"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7</w:t>
            </w:r>
          </w:p>
        </w:tc>
        <w:tc>
          <w:tcPr>
            <w:tcW w:w="2840" w:type="dxa"/>
            <w:tcBorders>
              <w:top w:val="single" w:sz="4" w:space="0" w:color="auto"/>
              <w:left w:val="nil"/>
              <w:bottom w:val="nil"/>
              <w:right w:val="nil"/>
            </w:tcBorders>
            <w:tcMar>
              <w:top w:w="-1" w:type="dxa"/>
              <w:left w:w="-1" w:type="dxa"/>
              <w:bottom w:w="-1" w:type="dxa"/>
              <w:right w:w="-1" w:type="dxa"/>
            </w:tcMar>
            <w:vAlign w:val="center"/>
          </w:tcPr>
          <w:p w14:paraId="522EAB2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0.900</w:t>
            </w:r>
          </w:p>
        </w:tc>
      </w:tr>
    </w:tbl>
    <w:p w14:paraId="30A87FF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表现出较好的内部一致性，支持在各组内容范围内计算题均分。课堂实践与教学自我效能虽然在因素归属上存在重叠，但各组内部具有较为一致的作答表现。信度检验支持其组内综合描述，不替代两组内容的结构区分判断。</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四组题项均具有较好的内部一致性，为分别描述教师的认知与价值认同、课堂实践、教学自我效能及现实阻碍提供了信度依据。</w:t>
      </w:r>
    </w:p>
    <w:p w14:paraId="2BF4A3D5"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4.教师高阶能力培育现状的问卷调查与分析</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确定学校高阶能力培育的实施起点，课题组对163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（1）教师问卷施测与样本构成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本研究依托问卷星组织本校教师在线填写问卷，共收集163份教师问卷。样本涵盖不同教龄、职称、任教学段及相关培训经历，具体构成见图3-5。</w:t>
      </w:r>
    </w:p>
    <w:p w14:paraId="29311875" w14:textId="77777777" w:rsidR="000B1CCE" w:rsidRDefault="00000000">
      <w:pPr>
        <w:keepNext/>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after="160"/>
        <w:jc w:val="center"/>
        <w:rPr>
          <w:color w:val="3C464C"/>
          <w:sz w:val="18"/>
        </w:rPr>
      </w:pPr>
      <w:r>
        <w:rPr>
          <w:color w:val="3C464C"/>
          <w:sz w:val="18"/>
        </w:rPr>
        <w:t>图3-5  教师前测样本背景构成</w:t>
      </w:r>
    </w:p>
    <w:p w14:paraId="718406B9" w14:textId="77777777" w:rsidR="000B1CCE" w:rsidRDefault="00000000">
      <w:pPr>
        <w:spacing w:after="160"/>
        <w:jc w:val="left"/>
      </w:pPr>
      <w:r>
        <w:rPr>
          <w:rFonts w:ascii="宋体" w:eastAsia="宋体" w:hAnsi="宋体" w:cs="宋体" w:hint="eastAsia"/>
          <w:kern w:val="0"/>
          <w:sz w:val="24"/>
        </w:rPr>
        <w:t xml:space="preserve">    问卷中的量表评分题采用五级计分，按1—5分赋值；认知与价值认同、课堂实践、教学自我效能三个方面得分越高，表示相应积极自评程度越高；现实阻</w:t>
      </w:r>
      <w:r>
        <w:rPr>
          <w:rFonts w:ascii="宋体" w:eastAsia="宋体" w:hAnsi="宋体" w:cs="宋体" w:hint="eastAsia"/>
          <w:kern w:val="0"/>
          <w:sz w:val="24"/>
        </w:rPr>
        <w:lastRenderedPageBreak/>
        <w:t>碍得分越高，表示教师感受到的实施困难越突出。四组题项分别统计，不合成为教师总分。题项积极自评率和现实阻碍认同率，按选择“符合”或“完全符合”的人数占该题有效作答人数的比例计算；多选支持需求以163份问卷为基数计算选择率。</w:t>
      </w:r>
    </w:p>
    <w:p w14:paraId="7102D127" w14:textId="77777777" w:rsidR="000B1CCE" w:rsidRDefault="00000000">
      <w:pPr>
        <w:pStyle w:val="2"/>
        <w:keepNext/>
        <w:spacing w:before="156" w:after="156"/>
      </w:pPr>
      <w:r>
        <w:rPr>
          <w:rFonts w:hint="eastAsia"/>
        </w:rPr>
        <w:t>（</w:t>
      </w:r>
      <w:r>
        <w:t>2</w:t>
      </w:r>
      <w:r>
        <w:rPr>
          <w:rFonts w:hint="eastAsia"/>
        </w:rPr>
        <w:t>）</w:t>
      </w:r>
      <w:r>
        <w:t>教师高阶能力培育四方面的总体表现</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表3-23  教师高阶能力培育四组内容的前测表现</w:t>
      </w:r>
    </w:p>
    <w:tbl>
      <w:tblPr>
        <w:tblW w:w="8519" w:type="dxa"/>
        <w:jc w:val="center"/>
        <w:tblLook w:val="04A0" w:firstRow="1" w:lastRow="0" w:firstColumn="1" w:lastColumn="0" w:noHBand="0" w:noVBand="1"/>
      </w:tblPr>
      <w:tblGrid>
        <w:gridCol w:w="2108"/>
        <w:gridCol w:w="1087"/>
        <w:gridCol w:w="1374"/>
        <w:gridCol w:w="3950"/>
      </w:tblGrid>
      <w:tr w:rsidR="000B1CCE" w14:paraId="323BDAFF" w14:textId="77777777">
        <w:trPr>
          <w:tblHeader/>
          <w:jc w:val="center"/>
        </w:trPr>
        <w:tc>
          <w:tcPr>
            <w:tcW w:w="2107"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测评内容</w:t>
            </w:r>
          </w:p>
        </w:tc>
        <w:tc>
          <w:tcPr>
            <w:tcW w:w="1087"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题项数</w:t>
            </w:r>
          </w:p>
        </w:tc>
        <w:tc>
          <w:tcPr>
            <w:tcW w:w="1374"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题均分</w:t>
            </w:r>
            <w:r>
              <w:rPr>
                <w:rFonts w:ascii="Calibri" w:eastAsia="宋体"/>
                <w:b/>
                <w:sz w:val="18"/>
              </w:rPr>
              <w:t>M</w:t>
            </w:r>
          </w:p>
        </w:tc>
        <w:tc>
          <w:tcPr>
            <w:tcW w:w="395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积极自评</w:t>
            </w:r>
            <w:r>
              <w:rPr>
                <w:rFonts w:ascii="Calibri" w:eastAsia="宋体"/>
                <w:b/>
                <w:sz w:val="18"/>
              </w:rPr>
              <w:t>/</w:t>
            </w:r>
            <w:r>
              <w:rPr>
                <w:rFonts w:ascii="Calibri" w:eastAsia="宋体"/>
                <w:b/>
                <w:sz w:val="18"/>
              </w:rPr>
              <w:t>困难认同率范围（</w:t>
            </w:r>
            <w:r>
              <w:rPr>
                <w:rFonts w:ascii="Calibri" w:eastAsia="宋体"/>
                <w:b/>
                <w:sz w:val="18"/>
              </w:rPr>
              <w:t>%</w:t>
            </w:r>
            <w:r>
              <w:rPr>
                <w:rFonts w:ascii="Calibri" w:eastAsia="宋体"/>
                <w:b/>
                <w:sz w:val="18"/>
              </w:rPr>
              <w:t>）</w:t>
            </w:r>
          </w:p>
        </w:tc>
      </w:tr>
      <w:tr w:rsidR="000B1CCE" w14:paraId="016CB5C7" w14:textId="77777777">
        <w:trPr>
          <w:jc w:val="center"/>
        </w:trPr>
        <w:tc>
          <w:tcPr>
            <w:tcW w:w="2107"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认知与价值认同</w:t>
            </w:r>
          </w:p>
        </w:tc>
        <w:tc>
          <w:tcPr>
            <w:tcW w:w="1087"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7</w:t>
            </w:r>
          </w:p>
        </w:tc>
        <w:tc>
          <w:tcPr>
            <w:tcW w:w="1374"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4.351</w:t>
            </w:r>
          </w:p>
        </w:tc>
        <w:tc>
          <w:tcPr>
            <w:tcW w:w="395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91.41—95.71</w:t>
            </w:r>
          </w:p>
        </w:tc>
      </w:tr>
      <w:tr w:rsidR="000B1CCE" w14:paraId="23045885"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课堂实践</w:t>
            </w:r>
          </w:p>
        </w:tc>
        <w:tc>
          <w:tcPr>
            <w:tcW w:w="1087"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4.260</w:t>
            </w:r>
          </w:p>
        </w:tc>
        <w:tc>
          <w:tcPr>
            <w:tcW w:w="395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87.73—95.71</w:t>
            </w:r>
          </w:p>
        </w:tc>
      </w:tr>
      <w:tr w:rsidR="000B1CCE" w14:paraId="306072FD"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教学自我效能</w:t>
            </w:r>
          </w:p>
        </w:tc>
        <w:tc>
          <w:tcPr>
            <w:tcW w:w="1087"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3</w:t>
            </w:r>
          </w:p>
        </w:tc>
        <w:tc>
          <w:tcPr>
            <w:tcW w:w="1374"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4.090</w:t>
            </w:r>
          </w:p>
        </w:tc>
        <w:tc>
          <w:tcPr>
            <w:tcW w:w="395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84.66—92.02</w:t>
            </w:r>
          </w:p>
        </w:tc>
      </w:tr>
      <w:tr w:rsidR="000B1CCE" w14:paraId="14BD10CA"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60.12—81.60</w:t>
            </w:r>
          </w:p>
        </w:tc>
      </w:tr>
    </w:tbl>
    <w:p w14:paraId="3439D1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培育的价值认同较为明确，课堂实践自评也处于较积极水平；教学自我效能均值相对较低。现实阻碍分值含义相反，3.639表明教师同时感受到一定实施困难。整体呈现出“认同基础较好，课堂已有尝试，但把握程度与实施条件仍待加强”的特征。四组均值用于描述各自内容，不作为未经检验的显著差异。</w:t>
      </w:r>
    </w:p>
    <w:p w14:paraId="293182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（3）教师价值认同与课堂实践的对应表现</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各题积极自评率均超过九成。教师对高阶能力有助于学生长远发展、需要调整教学方式，以及各学科均可落实的认同较高，题均分为4.405、4.374和4.374。对区分低阶与高阶学习的自评相对较低，均值4.276，提示教师对高阶能力的概念理解仍需通过学科任务持续深化。</w:t>
      </w:r>
    </w:p>
    <w:p w14:paraId="660750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表3-24  教师认知与价值认同及课堂实践的题项表现</w:t>
      </w:r>
    </w:p>
    <w:tbl>
      <w:tblPr>
        <w:tblW w:w="8519" w:type="dxa"/>
        <w:jc w:val="center"/>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4195EB4B"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F70726A"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7E22201"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93F3D82"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35459C2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60" w:after="60"/>
              <w:jc w:val="left"/>
              <w:rPr>
                <w:rFonts w:ascii="Calibri" w:eastAsia="宋体"/>
                <w:sz w:val="18"/>
              </w:rPr>
            </w:pPr>
            <w:r>
              <w:rPr>
                <w:rFonts w:ascii="Calibri" w:eastAsia="宋体"/>
                <w:sz w:val="18"/>
              </w:rPr>
              <w:t>认可高阶能力有助于学生长远发展</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60" w:after="60"/>
              <w:jc w:val="center"/>
              <w:rPr>
                <w:rFonts w:ascii="Calibri" w:eastAsia="宋体"/>
                <w:sz w:val="18"/>
              </w:rPr>
            </w:pPr>
            <w:r>
              <w:rPr>
                <w:rFonts w:ascii="Calibri" w:eastAsia="宋体"/>
                <w:sz w:val="18"/>
              </w:rPr>
              <w:t>4.405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60" w:after="60"/>
              <w:jc w:val="center"/>
              <w:rPr>
                <w:rFonts w:ascii="Calibri" w:eastAsia="宋体"/>
                <w:sz w:val="18"/>
              </w:rPr>
            </w:pPr>
            <w:r>
              <w:rPr>
                <w:rFonts w:ascii="Calibri" w:eastAsia="宋体"/>
                <w:sz w:val="18"/>
              </w:rPr>
              <w:t>0.775</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60" w:after="60"/>
              <w:jc w:val="left"/>
              <w:rPr>
                <w:rFonts w:ascii="Calibri" w:eastAsia="宋体"/>
                <w:sz w:val="18"/>
              </w:rPr>
            </w:pPr>
            <w:r>
              <w:rPr>
                <w:rFonts w:ascii="Calibri" w:eastAsia="宋体"/>
                <w:sz w:val="18"/>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60" w:after="60"/>
              <w:jc w:val="center"/>
              <w:rPr>
                <w:rFonts w:ascii="Calibri" w:eastAsia="宋体"/>
                <w:sz w:val="18"/>
              </w:rPr>
            </w:pPr>
            <w:r>
              <w:rPr>
                <w:rFonts w:ascii="Calibri" w:eastAsia="宋体"/>
                <w:sz w:val="18"/>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60" w:after="60"/>
              <w:jc w:val="left"/>
              <w:rPr>
                <w:rFonts w:ascii="Calibri" w:eastAsia="宋体"/>
                <w:sz w:val="18"/>
              </w:rPr>
            </w:pPr>
            <w:r>
              <w:rPr>
                <w:rFonts w:ascii="Calibri" w:eastAsia="宋体"/>
                <w:sz w:val="18"/>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60" w:after="60"/>
              <w:jc w:val="center"/>
              <w:rPr>
                <w:rFonts w:ascii="Calibri" w:eastAsia="宋体"/>
                <w:sz w:val="18"/>
              </w:rPr>
            </w:pPr>
            <w:r>
              <w:rPr>
                <w:rFonts w:ascii="Calibri" w:eastAsia="宋体"/>
                <w:sz w:val="18"/>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60" w:after="60"/>
              <w:jc w:val="center"/>
              <w:rPr>
                <w:rFonts w:ascii="Calibri" w:eastAsia="宋体"/>
                <w:sz w:val="18"/>
              </w:rPr>
            </w:pPr>
            <w:r>
              <w:rPr>
                <w:rFonts w:ascii="Calibri" w:eastAsia="宋体"/>
                <w:sz w:val="18"/>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60" w:after="60"/>
              <w:jc w:val="left"/>
              <w:rPr>
                <w:rFonts w:ascii="Calibri" w:eastAsia="宋体"/>
                <w:sz w:val="18"/>
              </w:rPr>
            </w:pPr>
            <w:r>
              <w:rPr>
                <w:rFonts w:ascii="Calibri" w:eastAsia="宋体"/>
                <w:sz w:val="18"/>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60" w:after="60"/>
              <w:jc w:val="center"/>
              <w:rPr>
                <w:rFonts w:ascii="Calibri" w:eastAsia="宋体"/>
                <w:sz w:val="18"/>
              </w:rPr>
            </w:pPr>
            <w:r>
              <w:rPr>
                <w:rFonts w:ascii="Calibri" w:eastAsia="宋体"/>
                <w:sz w:val="18"/>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60" w:after="60"/>
              <w:jc w:val="center"/>
              <w:rPr>
                <w:rFonts w:ascii="Calibri" w:eastAsia="宋体"/>
                <w:sz w:val="18"/>
              </w:rPr>
            </w:pPr>
            <w:r>
              <w:rPr>
                <w:rFonts w:ascii="Calibri" w:eastAsia="宋体"/>
                <w:sz w:val="18"/>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60" w:after="60"/>
              <w:jc w:val="left"/>
              <w:rPr>
                <w:rFonts w:ascii="Calibri" w:eastAsia="宋体"/>
                <w:sz w:val="18"/>
              </w:rPr>
            </w:pPr>
            <w:r>
              <w:rPr>
                <w:rFonts w:ascii="Calibri" w:eastAsia="宋体"/>
                <w:sz w:val="18"/>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60" w:after="60"/>
              <w:jc w:val="center"/>
              <w:rPr>
                <w:rFonts w:ascii="Calibri" w:eastAsia="宋体"/>
                <w:sz w:val="18"/>
              </w:rPr>
            </w:pPr>
            <w:r>
              <w:rPr>
                <w:rFonts w:ascii="Calibri" w:eastAsia="宋体"/>
                <w:sz w:val="18"/>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60" w:after="60"/>
              <w:jc w:val="center"/>
              <w:rPr>
                <w:rFonts w:ascii="Calibri" w:eastAsia="宋体"/>
                <w:sz w:val="18"/>
              </w:rPr>
            </w:pPr>
            <w:r>
              <w:rPr>
                <w:rFonts w:ascii="Calibri" w:eastAsia="宋体"/>
                <w:sz w:val="18"/>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60" w:after="60"/>
              <w:jc w:val="center"/>
              <w:rPr>
                <w:rFonts w:ascii="Calibri" w:eastAsia="宋体"/>
                <w:sz w:val="18"/>
              </w:rPr>
            </w:pPr>
            <w:r>
              <w:rPr>
                <w:rFonts w:ascii="Calibri" w:eastAsia="宋体"/>
                <w:sz w:val="18"/>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60" w:after="60"/>
              <w:jc w:val="left"/>
              <w:rPr>
                <w:rFonts w:ascii="Calibri" w:eastAsia="宋体"/>
                <w:sz w:val="18"/>
              </w:rPr>
            </w:pPr>
            <w:r>
              <w:rPr>
                <w:rFonts w:ascii="Calibri" w:eastAsia="宋体"/>
                <w:sz w:val="18"/>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60" w:after="60"/>
              <w:jc w:val="center"/>
              <w:rPr>
                <w:rFonts w:ascii="Calibri" w:eastAsia="宋体"/>
                <w:sz w:val="18"/>
              </w:rPr>
            </w:pPr>
            <w:r>
              <w:rPr>
                <w:rFonts w:ascii="Calibri" w:eastAsia="宋体"/>
                <w:sz w:val="18"/>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60" w:after="60"/>
              <w:jc w:val="center"/>
              <w:rPr>
                <w:rFonts w:ascii="Calibri" w:eastAsia="宋体"/>
                <w:sz w:val="18"/>
              </w:rPr>
            </w:pPr>
            <w:r>
              <w:rPr>
                <w:rFonts w:ascii="Calibri" w:eastAsia="宋体"/>
                <w:sz w:val="18"/>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60" w:after="60"/>
              <w:jc w:val="center"/>
              <w:rPr>
                <w:rFonts w:ascii="Calibri" w:eastAsia="宋体"/>
                <w:sz w:val="18"/>
              </w:rPr>
            </w:pPr>
            <w:r>
              <w:rPr>
                <w:rFonts w:ascii="Calibri" w:eastAsia="宋体"/>
                <w:sz w:val="18"/>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60" w:after="60"/>
              <w:jc w:val="left"/>
              <w:rPr>
                <w:rFonts w:ascii="Calibri" w:eastAsia="宋体"/>
                <w:sz w:val="18"/>
              </w:rPr>
            </w:pPr>
            <w:r>
              <w:rPr>
                <w:rFonts w:ascii="Calibri" w:eastAsia="宋体"/>
                <w:sz w:val="18"/>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60" w:after="60"/>
              <w:jc w:val="center"/>
              <w:rPr>
                <w:rFonts w:ascii="Calibri" w:eastAsia="宋体"/>
                <w:sz w:val="18"/>
              </w:rPr>
            </w:pPr>
            <w:r>
              <w:rPr>
                <w:rFonts w:ascii="Calibri" w:eastAsia="宋体"/>
                <w:sz w:val="18"/>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60" w:after="60"/>
              <w:jc w:val="center"/>
              <w:rPr>
                <w:rFonts w:ascii="Calibri" w:eastAsia="宋体"/>
                <w:sz w:val="18"/>
              </w:rPr>
            </w:pPr>
            <w:r>
              <w:rPr>
                <w:rFonts w:ascii="Calibri" w:eastAsia="宋体"/>
                <w:sz w:val="18"/>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60" w:after="60"/>
              <w:jc w:val="left"/>
              <w:rPr>
                <w:rFonts w:ascii="Calibri" w:eastAsia="宋体"/>
                <w:sz w:val="18"/>
              </w:rPr>
            </w:pPr>
            <w:r>
              <w:rPr>
                <w:rFonts w:ascii="Calibri" w:eastAsia="宋体"/>
                <w:sz w:val="18"/>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60" w:after="60"/>
              <w:jc w:val="center"/>
              <w:rPr>
                <w:rFonts w:ascii="Calibri" w:eastAsia="宋体"/>
                <w:sz w:val="18"/>
              </w:rPr>
            </w:pPr>
            <w:r>
              <w:rPr>
                <w:rFonts w:ascii="Calibri" w:eastAsia="宋体"/>
                <w:sz w:val="18"/>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60" w:after="60"/>
              <w:jc w:val="center"/>
              <w:rPr>
                <w:rFonts w:ascii="Calibri" w:eastAsia="宋体"/>
                <w:sz w:val="18"/>
              </w:rPr>
            </w:pPr>
            <w:r>
              <w:rPr>
                <w:rFonts w:ascii="Calibri" w:eastAsia="宋体"/>
                <w:sz w:val="18"/>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60" w:after="60"/>
              <w:jc w:val="center"/>
              <w:rPr>
                <w:rFonts w:ascii="Calibri" w:eastAsia="宋体"/>
                <w:sz w:val="18"/>
              </w:rPr>
            </w:pPr>
            <w:r>
              <w:rPr>
                <w:rFonts w:ascii="Calibri" w:eastAsia="宋体"/>
                <w:sz w:val="18"/>
              </w:rPr>
              <w:t>87.73</w:t>
            </w:r>
          </w:p>
        </w:tc>
      </w:tr>
    </w:tbl>
    <w:p w14:paraId="4E7362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课堂实践各题积极自评率为87.73%—95.71%，开放性问题和真实情境任务已有较多教师尝试。相比之下，为学生留出自主思考时间的均值最低（4.153），</w:t>
      </w:r>
      <w:r>
        <w:rPr>
          <w:rFonts w:ascii="宋体" w:eastAsia="宋体" w:hAnsi="宋体" w:cs="宋体" w:hint="eastAsia"/>
          <w:kern w:val="0"/>
          <w:sz w:val="24"/>
        </w:rPr>
        <w:lastRenderedPageBreak/>
        <w:t>积极自评率也最低（87.73%）。这提示课堂改进的重点不仅是增加开放问题，更要安排学生独立思考、交流论证与修订的时间，使高阶学习过程能够真实发生。</w:t>
      </w:r>
    </w:p>
    <w:p w14:paraId="3B9F5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（4）教师教学自我效能与专业支持需求</w:t>
      </w:r>
    </w:p>
    <w:p w14:paraId="6AE52E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表3-25  教师教学自我效能的题项表现</w:t>
      </w:r>
    </w:p>
    <w:tbl>
      <w:tblPr>
        <w:tblW w:w="8519" w:type="dxa"/>
        <w:jc w:val="center"/>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52611A0"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07F2F45"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A45458E"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E8A2A1C"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10EC33D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60" w:after="60"/>
              <w:jc w:val="left"/>
              <w:rPr>
                <w:rFonts w:ascii="Calibri" w:eastAsia="宋体"/>
                <w:sz w:val="18"/>
              </w:rPr>
            </w:pPr>
            <w:r>
              <w:rPr>
                <w:rFonts w:ascii="Calibri" w:eastAsia="宋体"/>
                <w:sz w:val="18"/>
              </w:rPr>
              <w:t>有把握设计高阶学习任务</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60" w:after="60"/>
              <w:jc w:val="center"/>
              <w:rPr>
                <w:rFonts w:ascii="Calibri" w:eastAsia="宋体"/>
                <w:sz w:val="18"/>
              </w:rPr>
            </w:pPr>
            <w:r>
              <w:rPr>
                <w:rFonts w:ascii="Calibri" w:eastAsia="宋体"/>
                <w:sz w:val="18"/>
              </w:rPr>
              <w:t>4.049</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60" w:after="60"/>
              <w:jc w:val="center"/>
              <w:rPr>
                <w:rFonts w:ascii="Calibri" w:eastAsia="宋体"/>
                <w:sz w:val="18"/>
              </w:rPr>
            </w:pPr>
            <w:r>
              <w:rPr>
                <w:rFonts w:ascii="Calibri" w:eastAsia="宋体"/>
                <w:sz w:val="18"/>
              </w:rPr>
              <w:t>0.768</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60" w:after="60"/>
              <w:jc w:val="center"/>
              <w:rPr>
                <w:rFonts w:ascii="Calibri" w:eastAsia="宋体"/>
                <w:sz w:val="18"/>
              </w:rPr>
            </w:pPr>
            <w:r>
              <w:rPr>
                <w:rFonts w:ascii="Calibri" w:eastAsia="宋体"/>
                <w:sz w:val="18"/>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60" w:after="60"/>
              <w:jc w:val="left"/>
              <w:rPr>
                <w:rFonts w:ascii="Calibri" w:eastAsia="宋体"/>
                <w:sz w:val="18"/>
              </w:rPr>
            </w:pPr>
            <w:r>
              <w:rPr>
                <w:rFonts w:ascii="Calibri" w:eastAsia="宋体"/>
                <w:sz w:val="18"/>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60" w:after="60"/>
              <w:jc w:val="center"/>
              <w:rPr>
                <w:rFonts w:ascii="Calibri" w:eastAsia="宋体"/>
                <w:sz w:val="18"/>
              </w:rPr>
            </w:pPr>
            <w:r>
              <w:rPr>
                <w:rFonts w:ascii="Calibri" w:eastAsia="宋体"/>
                <w:sz w:val="18"/>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60" w:after="60"/>
              <w:jc w:val="center"/>
              <w:rPr>
                <w:rFonts w:ascii="Calibri" w:eastAsia="宋体"/>
                <w:sz w:val="18"/>
              </w:rPr>
            </w:pPr>
            <w:r>
              <w:rPr>
                <w:rFonts w:ascii="Calibri" w:eastAsia="宋体"/>
                <w:sz w:val="18"/>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60" w:after="60"/>
              <w:jc w:val="center"/>
              <w:rPr>
                <w:rFonts w:ascii="Calibri" w:eastAsia="宋体"/>
                <w:sz w:val="18"/>
              </w:rPr>
            </w:pPr>
            <w:r>
              <w:rPr>
                <w:rFonts w:ascii="Calibri" w:eastAsia="宋体"/>
                <w:sz w:val="18"/>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60" w:after="60"/>
              <w:jc w:val="left"/>
              <w:rPr>
                <w:rFonts w:ascii="Calibri" w:eastAsia="宋体"/>
                <w:sz w:val="18"/>
              </w:rPr>
            </w:pPr>
            <w:r>
              <w:rPr>
                <w:rFonts w:ascii="Calibri" w:eastAsia="宋体"/>
                <w:sz w:val="18"/>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60" w:after="60"/>
              <w:jc w:val="center"/>
              <w:rPr>
                <w:rFonts w:ascii="Calibri" w:eastAsia="宋体"/>
                <w:sz w:val="18"/>
              </w:rPr>
            </w:pPr>
            <w:r>
              <w:rPr>
                <w:rFonts w:ascii="Calibri" w:eastAsia="宋体"/>
                <w:sz w:val="18"/>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60" w:after="60"/>
              <w:jc w:val="center"/>
              <w:rPr>
                <w:rFonts w:ascii="Calibri" w:eastAsia="宋体"/>
                <w:sz w:val="18"/>
              </w:rPr>
            </w:pPr>
            <w:r>
              <w:rPr>
                <w:rFonts w:ascii="Calibri" w:eastAsia="宋体"/>
                <w:sz w:val="18"/>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60" w:after="60"/>
              <w:jc w:val="center"/>
              <w:rPr>
                <w:rFonts w:ascii="Calibri" w:eastAsia="宋体"/>
                <w:sz w:val="18"/>
              </w:rPr>
            </w:pPr>
            <w:r>
              <w:rPr>
                <w:rFonts w:ascii="Calibri" w:eastAsia="宋体"/>
                <w:sz w:val="18"/>
              </w:rPr>
              <w:t>92.02</w:t>
            </w:r>
          </w:p>
        </w:tc>
      </w:tr>
    </w:tbl>
    <w:p w14:paraId="5719EF6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能观察并识别学生的高阶能力表现”题项均值为4.160，积极自评率为92.02%；“有把握设计高阶学习任务”和“能通过提问和点拨推动学生思考”的题项均值分别为4.049和4.061，积极自评率分别为84.66%和85.89%。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表3-26  教师提出的专业支持需求</w:t>
      </w:r>
    </w:p>
    <w:tbl>
      <w:tblPr>
        <w:tblW w:w="8519" w:type="dxa"/>
        <w:jc w:val="center"/>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4F9BBB6" w14:textId="77777777" w:rsidR="000B1CCE" w:rsidRDefault="00000000">
            <w:pPr>
              <w:keepNext/>
              <w:snapToGrid w:val="0"/>
              <w:spacing w:before="60" w:after="60"/>
              <w:jc w:val="center"/>
              <w:rPr>
                <w:rFonts w:ascii="Calibri" w:eastAsia="宋体"/>
                <w:b/>
                <w:sz w:val="18"/>
              </w:rPr>
            </w:pPr>
            <w:r>
              <w:rPr>
                <w:rFonts w:ascii="Calibri" w:eastAsia="宋体"/>
                <w:b/>
                <w:sz w:val="18"/>
              </w:rPr>
              <w:t>支持内容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BA2E84B" w14:textId="77777777" w:rsidR="000B1CCE" w:rsidRDefault="00000000">
            <w:pPr>
              <w:keepNext/>
              <w:snapToGrid w:val="0"/>
              <w:spacing w:before="60" w:after="60"/>
              <w:jc w:val="center"/>
              <w:rPr>
                <w:rFonts w:ascii="Calibri" w:eastAsia="宋体"/>
                <w:b/>
                <w:sz w:val="18"/>
              </w:rPr>
            </w:pPr>
            <w:r>
              <w:rPr>
                <w:rFonts w:ascii="Calibri" w:eastAsia="宋体"/>
                <w:b/>
                <w:sz w:val="18"/>
              </w:rPr>
              <w:t>人数</w:t>
            </w:r>
          </w:p>
        </w:tc>
        <w:tc>
          <w:tcPr>
            <w:tcW w:w="2534" w:type="dxa"/>
            <w:tcBorders>
              <w:top w:val="single" w:sz="12" w:space="0" w:color="000000"/>
              <w:left w:val="nil"/>
              <w:bottom w:val="nil"/>
              <w:right w:val="nil"/>
            </w:tcBorders>
            <w:tcMar>
              <w:top w:w="-1" w:type="dxa"/>
              <w:left w:w="-1" w:type="dxa"/>
              <w:bottom w:w="-1" w:type="dxa"/>
              <w:right w:w="-1" w:type="dxa"/>
            </w:tcMar>
            <w:vAlign w:val="center"/>
          </w:tcPr>
          <w:p w14:paraId="43B66168" w14:textId="77777777" w:rsidR="000B1CCE" w:rsidRDefault="00000000">
            <w:pPr>
              <w:keepNext/>
              <w:snapToGrid w:val="0"/>
              <w:spacing w:before="60" w:after="60"/>
              <w:jc w:val="center"/>
              <w:rPr>
                <w:rFonts w:ascii="Calibri" w:eastAsia="宋体"/>
                <w:b/>
                <w:sz w:val="18"/>
              </w:rPr>
            </w:pPr>
            <w:r>
              <w:rPr>
                <w:rFonts w:ascii="Calibri" w:eastAsia="宋体"/>
                <w:b/>
                <w:sz w:val="18"/>
              </w:rPr>
              <w:t>选择率（</w:t>
            </w:r>
            <w:r>
              <w:rPr>
                <w:rFonts w:ascii="Calibri" w:eastAsia="宋体"/>
                <w:b/>
                <w:sz w:val="18"/>
              </w:rPr>
              <w:t>%</w:t>
            </w:r>
            <w:r>
              <w:rPr>
                <w:rFonts w:ascii="Calibri" w:eastAsia="宋体"/>
                <w:b/>
                <w:sz w:val="18"/>
              </w:rPr>
              <w:t>）</w:t>
            </w:r>
          </w:p>
        </w:tc>
      </w:tr>
      <w:tr w:rsidR="000B1CCE" w14:paraId="765C3E7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E2945C2" w14:textId="77777777" w:rsidR="000B1CCE" w:rsidRDefault="00000000">
            <w:pPr>
              <w:keepNext/>
              <w:snapToGrid w:val="0"/>
              <w:spacing w:before="60" w:after="60"/>
              <w:jc w:val="center"/>
              <w:rPr>
                <w:rFonts w:ascii="Calibri" w:eastAsia="宋体"/>
                <w:sz w:val="18"/>
              </w:rPr>
            </w:pPr>
            <w:r>
              <w:rPr>
                <w:rFonts w:ascii="Calibri" w:eastAsia="宋体"/>
                <w:sz w:val="18"/>
              </w:rPr>
              <w:t>实操性培训与教研研讨</w:t>
            </w:r>
          </w:p>
        </w:tc>
        <w:tc>
          <w:tcPr>
            <w:tcW w:w="0" w:type="auto"/>
            <w:tcBorders>
              <w:top w:val="single" w:sz="4" w:space="0" w:color="auto"/>
              <w:left w:val="nil"/>
              <w:bottom w:val="nil"/>
              <w:right w:val="nil"/>
            </w:tcBorders>
            <w:tcMar>
              <w:top w:w="-1" w:type="dxa"/>
              <w:left w:w="-1" w:type="dxa"/>
              <w:bottom w:w="-1" w:type="dxa"/>
              <w:right w:w="-1" w:type="dxa"/>
            </w:tcMar>
            <w:vAlign w:val="center"/>
          </w:tcPr>
          <w:p w14:paraId="7065FD50" w14:textId="77777777" w:rsidR="000B1CCE" w:rsidRDefault="00000000">
            <w:pPr>
              <w:keepNext/>
              <w:snapToGrid w:val="0"/>
              <w:spacing w:before="60" w:after="60"/>
              <w:jc w:val="center"/>
              <w:rPr>
                <w:rFonts w:ascii="Calibri" w:eastAsia="宋体"/>
                <w:sz w:val="18"/>
              </w:rPr>
            </w:pPr>
            <w:r>
              <w:rPr>
                <w:rFonts w:ascii="Calibri" w:eastAsia="宋体"/>
                <w:sz w:val="18"/>
              </w:rPr>
              <w:t>120</w:t>
            </w:r>
          </w:p>
        </w:tc>
        <w:tc>
          <w:tcPr>
            <w:tcW w:w="2534" w:type="dxa"/>
            <w:tcBorders>
              <w:top w:val="single" w:sz="4" w:space="0" w:color="auto"/>
              <w:left w:val="nil"/>
              <w:bottom w:val="nil"/>
              <w:right w:val="nil"/>
            </w:tcBorders>
            <w:tcMar>
              <w:top w:w="-1" w:type="dxa"/>
              <w:left w:w="-1" w:type="dxa"/>
              <w:bottom w:w="-1" w:type="dxa"/>
              <w:right w:w="-1" w:type="dxa"/>
            </w:tcMar>
            <w:vAlign w:val="center"/>
          </w:tcPr>
          <w:p w14:paraId="13B3DE1A" w14:textId="77777777" w:rsidR="000B1CCE" w:rsidRDefault="00000000">
            <w:pPr>
              <w:keepNext/>
              <w:snapToGrid w:val="0"/>
              <w:spacing w:before="60" w:after="60"/>
              <w:jc w:val="center"/>
              <w:rPr>
                <w:rFonts w:ascii="Calibri" w:eastAsia="宋体"/>
                <w:sz w:val="18"/>
              </w:rPr>
            </w:pPr>
            <w:r>
              <w:rPr>
                <w:rFonts w:ascii="Calibri" w:eastAsia="宋体"/>
                <w:sz w:val="18"/>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keepNext/>
              <w:snapToGrid w:val="0"/>
              <w:spacing w:before="60" w:after="60"/>
              <w:jc w:val="center"/>
              <w:rPr>
                <w:rFonts w:ascii="Calibri" w:eastAsia="宋体"/>
                <w:sz w:val="18"/>
              </w:rPr>
            </w:pPr>
            <w:r>
              <w:rPr>
                <w:rFonts w:ascii="Calibri" w:eastAsia="宋体"/>
                <w:sz w:val="18"/>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keepNext/>
              <w:snapToGrid w:val="0"/>
              <w:spacing w:before="60" w:after="60"/>
              <w:jc w:val="center"/>
              <w:rPr>
                <w:rFonts w:ascii="Calibri" w:eastAsia="宋体"/>
                <w:sz w:val="18"/>
              </w:rPr>
            </w:pPr>
            <w:r>
              <w:rPr>
                <w:rFonts w:ascii="Calibri" w:eastAsia="宋体"/>
                <w:sz w:val="18"/>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keepNext/>
              <w:snapToGrid w:val="0"/>
              <w:spacing w:before="60" w:after="60"/>
              <w:jc w:val="center"/>
              <w:rPr>
                <w:rFonts w:ascii="Calibri" w:eastAsia="宋体"/>
                <w:sz w:val="18"/>
              </w:rPr>
            </w:pPr>
            <w:r>
              <w:rPr>
                <w:rFonts w:ascii="Calibri" w:eastAsia="宋体"/>
                <w:sz w:val="18"/>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keepNext/>
              <w:snapToGrid w:val="0"/>
              <w:spacing w:before="60" w:after="60"/>
              <w:jc w:val="center"/>
              <w:rPr>
                <w:rFonts w:ascii="Calibri" w:eastAsia="宋体"/>
                <w:sz w:val="18"/>
              </w:rPr>
            </w:pPr>
            <w:r>
              <w:rPr>
                <w:rFonts w:ascii="Calibri" w:eastAsia="宋体"/>
                <w:sz w:val="18"/>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keepNext/>
              <w:snapToGrid w:val="0"/>
              <w:spacing w:before="60" w:after="60"/>
              <w:jc w:val="center"/>
              <w:rPr>
                <w:rFonts w:ascii="Calibri" w:eastAsia="宋体"/>
                <w:sz w:val="18"/>
              </w:rPr>
            </w:pPr>
            <w:r>
              <w:rPr>
                <w:rFonts w:ascii="Calibri" w:eastAsia="宋体"/>
                <w:sz w:val="18"/>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keepNext/>
              <w:snapToGrid w:val="0"/>
              <w:spacing w:before="60" w:after="60"/>
              <w:jc w:val="center"/>
              <w:rPr>
                <w:rFonts w:ascii="Calibri" w:eastAsia="宋体"/>
                <w:sz w:val="18"/>
              </w:rPr>
            </w:pPr>
            <w:r>
              <w:rPr>
                <w:rFonts w:ascii="Calibri" w:eastAsia="宋体"/>
                <w:sz w:val="18"/>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keepNext/>
              <w:snapToGrid w:val="0"/>
              <w:spacing w:before="60" w:after="60"/>
              <w:jc w:val="center"/>
              <w:rPr>
                <w:rFonts w:ascii="Calibri" w:eastAsia="宋体"/>
                <w:sz w:val="18"/>
              </w:rPr>
            </w:pPr>
            <w:r>
              <w:rPr>
                <w:rFonts w:ascii="Calibri" w:eastAsia="宋体"/>
                <w:sz w:val="18"/>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keepNext/>
              <w:snapToGrid w:val="0"/>
              <w:spacing w:before="60" w:after="60"/>
              <w:jc w:val="center"/>
              <w:rPr>
                <w:rFonts w:ascii="Calibri" w:eastAsia="宋体"/>
                <w:sz w:val="18"/>
              </w:rPr>
            </w:pPr>
            <w:r>
              <w:rPr>
                <w:rFonts w:ascii="Calibri" w:eastAsia="宋体"/>
                <w:sz w:val="18"/>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keepNext/>
              <w:snapToGrid w:val="0"/>
              <w:spacing w:before="60" w:after="60"/>
              <w:jc w:val="center"/>
              <w:rPr>
                <w:rFonts w:ascii="Calibri" w:eastAsia="宋体"/>
                <w:sz w:val="18"/>
              </w:rPr>
            </w:pPr>
            <w:r>
              <w:rPr>
                <w:rFonts w:ascii="Calibri" w:eastAsia="宋体"/>
                <w:sz w:val="18"/>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keepNext/>
              <w:snapToGrid w:val="0"/>
              <w:spacing w:before="60" w:after="60"/>
              <w:jc w:val="center"/>
              <w:rPr>
                <w:rFonts w:ascii="Calibri" w:eastAsia="宋体"/>
                <w:sz w:val="18"/>
              </w:rPr>
            </w:pPr>
            <w:r>
              <w:rPr>
                <w:rFonts w:ascii="Calibri" w:eastAsia="宋体"/>
                <w:sz w:val="18"/>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keepNext/>
              <w:snapToGrid w:val="0"/>
              <w:spacing w:before="60" w:after="60"/>
              <w:jc w:val="center"/>
              <w:rPr>
                <w:rFonts w:ascii="Calibri" w:eastAsia="宋体"/>
                <w:sz w:val="18"/>
              </w:rPr>
            </w:pPr>
            <w:r>
              <w:rPr>
                <w:rFonts w:ascii="Calibri" w:eastAsia="宋体"/>
                <w:sz w:val="18"/>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keepNext/>
              <w:snapToGrid w:val="0"/>
              <w:spacing w:before="60" w:after="60"/>
              <w:jc w:val="center"/>
              <w:rPr>
                <w:rFonts w:ascii="Calibri" w:eastAsia="宋体"/>
                <w:sz w:val="18"/>
              </w:rPr>
            </w:pPr>
            <w:r>
              <w:rPr>
                <w:rFonts w:ascii="Calibri" w:eastAsia="宋体"/>
                <w:sz w:val="18"/>
              </w:rPr>
              <w:t>44.17</w:t>
            </w:r>
          </w:p>
        </w:tc>
      </w:tr>
    </w:tbl>
    <w:p w14:paraId="4F68FE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操培训与教研研讨、可借鉴的教案及课例是教师最集中的两类需求，选择率分别为73.62%和72.39%。支持内容应聚焦任务设计、学生思维表现识别、反馈和修订等关键环节，以具体课例帮助教师把理念转化为可操作的教学决策。</w:t>
      </w:r>
    </w:p>
    <w:p w14:paraId="09F452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（5）高阶能力培育的现实阻碍与实施条件</w:t>
      </w:r>
    </w:p>
    <w:p w14:paraId="7D0A91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表3-27  教师对高阶能力培育现实阻碍的认同情况</w:t>
      </w:r>
    </w:p>
    <w:tbl>
      <w:tblPr>
        <w:tblW w:w="8519" w:type="dxa"/>
        <w:jc w:val="center"/>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82E27A" w14:textId="77777777" w:rsidR="000B1CCE" w:rsidRDefault="00000000">
            <w:pPr>
              <w:snapToGrid w:val="0"/>
              <w:spacing w:before="60" w:after="60"/>
              <w:jc w:val="center"/>
              <w:rPr>
                <w:rFonts w:ascii="Calibri" w:eastAsia="宋体"/>
                <w:b/>
                <w:sz w:val="18"/>
              </w:rPr>
            </w:pPr>
            <w:r>
              <w:rPr>
                <w:rFonts w:ascii="Calibri" w:eastAsia="宋体"/>
                <w:b/>
                <w:sz w:val="18"/>
              </w:rPr>
              <w:t>现实阻碍</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D373351"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9B891D3"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814" w:type="dxa"/>
            <w:tcBorders>
              <w:top w:val="single" w:sz="12" w:space="0" w:color="000000"/>
              <w:left w:val="nil"/>
              <w:bottom w:val="nil"/>
              <w:right w:val="nil"/>
            </w:tcBorders>
            <w:tcMar>
              <w:top w:w="-1" w:type="dxa"/>
              <w:left w:w="-1" w:type="dxa"/>
              <w:bottom w:w="-1" w:type="dxa"/>
              <w:right w:w="-1" w:type="dxa"/>
            </w:tcMar>
            <w:vAlign w:val="center"/>
          </w:tcPr>
          <w:p w14:paraId="18BF3EF8" w14:textId="77777777" w:rsidR="000B1CCE" w:rsidRDefault="00000000">
            <w:pPr>
              <w:snapToGrid w:val="0"/>
              <w:spacing w:before="60" w:after="60"/>
              <w:jc w:val="center"/>
              <w:rPr>
                <w:rFonts w:ascii="Calibri" w:eastAsia="宋体"/>
                <w:b/>
                <w:sz w:val="18"/>
              </w:rPr>
            </w:pPr>
            <w:r>
              <w:rPr>
                <w:rFonts w:ascii="Calibri" w:eastAsia="宋体"/>
                <w:b/>
                <w:sz w:val="18"/>
              </w:rPr>
              <w:t>困难认同率（</w:t>
            </w:r>
            <w:r>
              <w:rPr>
                <w:rFonts w:ascii="Calibri" w:eastAsia="宋体"/>
                <w:b/>
                <w:sz w:val="18"/>
              </w:rPr>
              <w:t>%</w:t>
            </w:r>
            <w:r>
              <w:rPr>
                <w:rFonts w:ascii="Calibri" w:eastAsia="宋体"/>
                <w:b/>
                <w:sz w:val="18"/>
              </w:rPr>
              <w:t>）</w:t>
            </w:r>
          </w:p>
        </w:tc>
      </w:tr>
      <w:tr w:rsidR="000B1CCE" w14:paraId="424596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60" w:after="60"/>
              <w:jc w:val="center"/>
              <w:rPr>
                <w:rFonts w:ascii="Calibri" w:eastAsia="宋体"/>
                <w:sz w:val="18"/>
              </w:rPr>
            </w:pPr>
            <w:r>
              <w:rPr>
                <w:rFonts w:ascii="Calibri" w:eastAsia="宋体"/>
                <w:sz w:val="18"/>
              </w:rPr>
              <w:t>学生基础差异较大</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60" w:after="60"/>
              <w:jc w:val="center"/>
              <w:rPr>
                <w:rFonts w:ascii="Calibri" w:eastAsia="宋体"/>
                <w:sz w:val="18"/>
              </w:rPr>
            </w:pPr>
            <w:r>
              <w:rPr>
                <w:rFonts w:ascii="Calibri" w:eastAsia="宋体"/>
                <w:sz w:val="18"/>
              </w:rPr>
              <w:t>3.926</w:t>
            </w:r>
          </w:p>
        </w:tc>
        <w:tc>
          <w:tcPr>
            <w:tcW w:w="0" w:type="auto"/>
            <w:tcBorders>
              <w:top w:val="single" w:sz="4" w:space="0" w:color="auto"/>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60" w:after="60"/>
              <w:jc w:val="center"/>
              <w:rPr>
                <w:rFonts w:ascii="Calibri" w:eastAsia="宋体"/>
                <w:sz w:val="18"/>
              </w:rPr>
            </w:pPr>
            <w:r>
              <w:rPr>
                <w:rFonts w:ascii="Calibri" w:eastAsia="宋体"/>
                <w:sz w:val="18"/>
              </w:rPr>
              <w:t>0.979</w:t>
            </w:r>
          </w:p>
        </w:tc>
        <w:tc>
          <w:tcPr>
            <w:tcW w:w="2814" w:type="dxa"/>
            <w:tcBorders>
              <w:top w:val="single" w:sz="4" w:space="0" w:color="auto"/>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60" w:after="60"/>
              <w:jc w:val="center"/>
              <w:rPr>
                <w:rFonts w:ascii="Calibri" w:eastAsia="宋体"/>
                <w:sz w:val="18"/>
              </w:rPr>
            </w:pPr>
            <w:r>
              <w:rPr>
                <w:rFonts w:ascii="Calibri" w:eastAsia="宋体"/>
                <w:sz w:val="18"/>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60" w:after="60"/>
              <w:jc w:val="center"/>
              <w:rPr>
                <w:rFonts w:ascii="Calibri" w:eastAsia="宋体"/>
                <w:sz w:val="18"/>
              </w:rPr>
            </w:pPr>
            <w:r>
              <w:rPr>
                <w:rFonts w:ascii="Calibri" w:eastAsia="宋体"/>
                <w:sz w:val="18"/>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60" w:after="60"/>
              <w:jc w:val="center"/>
              <w:rPr>
                <w:rFonts w:ascii="Calibri" w:eastAsia="宋体"/>
                <w:sz w:val="18"/>
              </w:rPr>
            </w:pPr>
            <w:r>
              <w:rPr>
                <w:rFonts w:ascii="Calibri" w:eastAsia="宋体"/>
                <w:sz w:val="18"/>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60" w:after="60"/>
              <w:jc w:val="center"/>
              <w:rPr>
                <w:rFonts w:ascii="Calibri" w:eastAsia="宋体"/>
                <w:sz w:val="18"/>
              </w:rPr>
            </w:pPr>
            <w:r>
              <w:rPr>
                <w:rFonts w:ascii="Calibri" w:eastAsia="宋体"/>
                <w:sz w:val="18"/>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60" w:after="60"/>
              <w:jc w:val="center"/>
              <w:rPr>
                <w:rFonts w:ascii="Calibri" w:eastAsia="宋体"/>
                <w:sz w:val="18"/>
              </w:rPr>
            </w:pPr>
            <w:r>
              <w:rPr>
                <w:rFonts w:ascii="Calibri" w:eastAsia="宋体"/>
                <w:sz w:val="18"/>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60" w:after="60"/>
              <w:jc w:val="center"/>
              <w:rPr>
                <w:rFonts w:ascii="Calibri" w:eastAsia="宋体"/>
                <w:sz w:val="18"/>
              </w:rPr>
            </w:pPr>
            <w:r>
              <w:rPr>
                <w:rFonts w:ascii="Calibri" w:eastAsia="宋体"/>
                <w:sz w:val="18"/>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60" w:after="60"/>
              <w:jc w:val="center"/>
              <w:rPr>
                <w:rFonts w:ascii="Calibri" w:eastAsia="宋体"/>
                <w:sz w:val="18"/>
              </w:rPr>
            </w:pPr>
            <w:r>
              <w:rPr>
                <w:rFonts w:ascii="Calibri" w:eastAsia="宋体"/>
                <w:sz w:val="18"/>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60" w:after="60"/>
              <w:jc w:val="center"/>
              <w:rPr>
                <w:rFonts w:ascii="Calibri" w:eastAsia="宋体"/>
                <w:sz w:val="18"/>
              </w:rPr>
            </w:pPr>
            <w:r>
              <w:rPr>
                <w:rFonts w:ascii="Calibri" w:eastAsia="宋体"/>
                <w:sz w:val="18"/>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60" w:after="60"/>
              <w:jc w:val="center"/>
              <w:rPr>
                <w:rFonts w:ascii="Calibri" w:eastAsia="宋体"/>
                <w:sz w:val="18"/>
              </w:rPr>
            </w:pPr>
            <w:r>
              <w:rPr>
                <w:rFonts w:ascii="Calibri" w:eastAsia="宋体"/>
                <w:sz w:val="18"/>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60" w:after="60"/>
              <w:jc w:val="center"/>
              <w:rPr>
                <w:rFonts w:ascii="Calibri" w:eastAsia="宋体"/>
                <w:sz w:val="18"/>
              </w:rPr>
            </w:pPr>
            <w:r>
              <w:rPr>
                <w:rFonts w:ascii="Calibri" w:eastAsia="宋体"/>
                <w:sz w:val="18"/>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60" w:after="60"/>
              <w:jc w:val="center"/>
              <w:rPr>
                <w:rFonts w:ascii="Calibri" w:eastAsia="宋体"/>
                <w:sz w:val="18"/>
              </w:rPr>
            </w:pPr>
            <w:r>
              <w:rPr>
                <w:rFonts w:ascii="Calibri" w:eastAsia="宋体"/>
                <w:sz w:val="18"/>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60" w:after="60"/>
              <w:jc w:val="center"/>
              <w:rPr>
                <w:rFonts w:ascii="Calibri" w:eastAsia="宋体"/>
                <w:sz w:val="18"/>
              </w:rPr>
            </w:pPr>
            <w:r>
              <w:rPr>
                <w:rFonts w:ascii="Calibri" w:eastAsia="宋体"/>
                <w:sz w:val="18"/>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60" w:after="60"/>
              <w:jc w:val="center"/>
              <w:rPr>
                <w:rFonts w:ascii="Calibri" w:eastAsia="宋体"/>
                <w:sz w:val="18"/>
              </w:rPr>
            </w:pPr>
            <w:r>
              <w:rPr>
                <w:rFonts w:ascii="Calibri" w:eastAsia="宋体"/>
                <w:sz w:val="18"/>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60" w:after="60"/>
              <w:jc w:val="center"/>
              <w:rPr>
                <w:rFonts w:ascii="Calibri" w:eastAsia="宋体"/>
                <w:sz w:val="18"/>
              </w:rPr>
            </w:pPr>
            <w:r>
              <w:rPr>
                <w:rFonts w:ascii="Calibri" w:eastAsia="宋体"/>
                <w:sz w:val="18"/>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60" w:after="60"/>
              <w:jc w:val="center"/>
              <w:rPr>
                <w:rFonts w:ascii="Calibri" w:eastAsia="宋体"/>
                <w:sz w:val="18"/>
              </w:rPr>
            </w:pPr>
            <w:r>
              <w:rPr>
                <w:rFonts w:ascii="Calibri" w:eastAsia="宋体"/>
                <w:sz w:val="18"/>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60" w:after="60"/>
              <w:jc w:val="center"/>
              <w:rPr>
                <w:rFonts w:ascii="Calibri" w:eastAsia="宋体"/>
                <w:sz w:val="18"/>
              </w:rPr>
            </w:pPr>
            <w:r>
              <w:rPr>
                <w:rFonts w:ascii="Calibri" w:eastAsia="宋体"/>
                <w:sz w:val="18"/>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60" w:after="60"/>
              <w:jc w:val="center"/>
              <w:rPr>
                <w:rFonts w:ascii="Calibri" w:eastAsia="宋体"/>
                <w:sz w:val="18"/>
              </w:rPr>
            </w:pPr>
            <w:r>
              <w:rPr>
                <w:rFonts w:ascii="Calibri" w:eastAsia="宋体"/>
                <w:sz w:val="18"/>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60" w:after="60"/>
              <w:jc w:val="center"/>
              <w:rPr>
                <w:rFonts w:ascii="Calibri" w:eastAsia="宋体"/>
                <w:sz w:val="18"/>
              </w:rPr>
            </w:pPr>
            <w:r>
              <w:rPr>
                <w:rFonts w:ascii="Calibri" w:eastAsia="宋体"/>
                <w:sz w:val="18"/>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60" w:after="60"/>
              <w:jc w:val="center"/>
              <w:rPr>
                <w:rFonts w:ascii="Calibri" w:eastAsia="宋体"/>
                <w:sz w:val="18"/>
              </w:rPr>
            </w:pPr>
            <w:r>
              <w:rPr>
                <w:rFonts w:ascii="Calibri" w:eastAsia="宋体"/>
                <w:sz w:val="18"/>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60" w:after="60"/>
              <w:jc w:val="center"/>
              <w:rPr>
                <w:rFonts w:ascii="Calibri" w:eastAsia="宋体"/>
                <w:sz w:val="18"/>
              </w:rPr>
            </w:pPr>
            <w:r>
              <w:rPr>
                <w:rFonts w:ascii="Calibri" w:eastAsia="宋体"/>
                <w:sz w:val="18"/>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60" w:after="60"/>
              <w:jc w:val="center"/>
              <w:rPr>
                <w:rFonts w:ascii="Calibri" w:eastAsia="宋体"/>
                <w:sz w:val="18"/>
              </w:rPr>
            </w:pPr>
            <w:r>
              <w:rPr>
                <w:rFonts w:ascii="Calibri" w:eastAsia="宋体"/>
                <w:sz w:val="18"/>
              </w:rPr>
              <w:t>60.12</w:t>
            </w:r>
          </w:p>
        </w:tc>
      </w:tr>
    </w:tbl>
    <w:p w14:paraId="3C39D3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生基础差异是教师最突出的现实顾虑，困难认同率为81.60%。课时与任务负担、资源不足的认同率也接近七成。教师开放意见进一步提出分层授课、结合学情设计课程及课时压力等问题。由此可见，实践设计需提供不同难度入口与必要支架，明确阶段任务和时间安排，并通过共享课例降低教师独立开发资源的负担。</w:t>
      </w:r>
    </w:p>
    <w:p w14:paraId="116790B6" w14:textId="77777777" w:rsidR="000B1CCE" w:rsidRDefault="00000000">
      <w:pPr>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D275967" w14:textId="77777777" w:rsidR="000B1CCE" w:rsidRDefault="00000000">
      <w:pPr>
        <w:jc w:val="center"/>
      </w:pPr>
      <w:r>
        <w:t>图3-6  教师对高阶能力培育现实阻碍的认同率</w:t>
      </w:r>
    </w:p>
    <w:p w14:paraId="799DA2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（6）教师对培育价值与实施可行性的判断</w:t>
      </w:r>
    </w:p>
    <w:p w14:paraId="2F73D42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表3-28  教师对高阶能力培育价值与可行性的判断</w:t>
      </w:r>
    </w:p>
    <w:tbl>
      <w:tblPr>
        <w:tblW w:w="8519" w:type="dxa"/>
        <w:jc w:val="center"/>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99E865B" w14:textId="77777777" w:rsidR="000B1CCE" w:rsidRDefault="00000000">
            <w:pPr>
              <w:snapToGrid w:val="0"/>
              <w:spacing w:before="60" w:after="60"/>
              <w:jc w:val="center"/>
              <w:rPr>
                <w:rFonts w:ascii="Calibri" w:eastAsia="宋体"/>
                <w:b/>
                <w:sz w:val="18"/>
              </w:rPr>
            </w:pPr>
            <w:r>
              <w:rPr>
                <w:rFonts w:ascii="Calibri" w:eastAsia="宋体"/>
                <w:b/>
                <w:sz w:val="18"/>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1950EA7" w14:textId="77777777" w:rsidR="000B1CCE" w:rsidRDefault="00000000">
            <w:pPr>
              <w:snapToGrid w:val="0"/>
              <w:spacing w:before="60" w:after="60"/>
              <w:jc w:val="center"/>
              <w:rPr>
                <w:rFonts w:ascii="Calibri" w:eastAsia="宋体"/>
                <w:b/>
                <w:sz w:val="18"/>
              </w:rPr>
            </w:pPr>
            <w:r>
              <w:rPr>
                <w:rFonts w:ascii="Calibri" w:eastAsia="宋体"/>
                <w:b/>
                <w:sz w:val="18"/>
              </w:rPr>
              <w:t>选项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E5FDBFB" w14:textId="77777777" w:rsidR="000B1CCE" w:rsidRDefault="00000000">
            <w:pPr>
              <w:snapToGrid w:val="0"/>
              <w:spacing w:before="60" w:after="60"/>
              <w:jc w:val="center"/>
              <w:rPr>
                <w:rFonts w:ascii="Calibri" w:eastAsia="宋体"/>
                <w:b/>
                <w:sz w:val="18"/>
              </w:rPr>
            </w:pPr>
            <w:r>
              <w:rPr>
                <w:rFonts w:ascii="Calibri" w:eastAsia="宋体"/>
                <w:b/>
                <w:sz w:val="18"/>
              </w:rPr>
              <w:t>人数</w:t>
            </w:r>
          </w:p>
        </w:tc>
        <w:tc>
          <w:tcPr>
            <w:tcW w:w="1837" w:type="dxa"/>
            <w:tcBorders>
              <w:top w:val="single" w:sz="12" w:space="0" w:color="000000"/>
              <w:left w:val="nil"/>
              <w:bottom w:val="nil"/>
              <w:right w:val="nil"/>
            </w:tcBorders>
            <w:tcMar>
              <w:top w:w="-1" w:type="dxa"/>
              <w:left w:w="-1" w:type="dxa"/>
              <w:bottom w:w="-1" w:type="dxa"/>
              <w:right w:w="-1" w:type="dxa"/>
            </w:tcMar>
            <w:vAlign w:val="center"/>
          </w:tcPr>
          <w:p w14:paraId="6E8718AD" w14:textId="77777777" w:rsidR="000B1CCE" w:rsidRDefault="00000000">
            <w:pPr>
              <w:snapToGrid w:val="0"/>
              <w:spacing w:before="60" w:after="60"/>
              <w:jc w:val="center"/>
              <w:rPr>
                <w:rFonts w:ascii="Calibri" w:eastAsia="宋体"/>
                <w:b/>
                <w:sz w:val="18"/>
              </w:rPr>
            </w:pPr>
            <w:r>
              <w:rPr>
                <w:rFonts w:ascii="Calibri" w:eastAsia="宋体"/>
                <w:b/>
                <w:sz w:val="18"/>
              </w:rPr>
              <w:t>比例（</w:t>
            </w:r>
            <w:r>
              <w:rPr>
                <w:rFonts w:ascii="Calibri" w:eastAsia="宋体"/>
                <w:b/>
                <w:sz w:val="18"/>
              </w:rPr>
              <w:t>%</w:t>
            </w:r>
            <w:r>
              <w:rPr>
                <w:rFonts w:ascii="Calibri" w:eastAsia="宋体"/>
                <w:b/>
                <w:sz w:val="18"/>
              </w:rPr>
              <w:t>）</w:t>
            </w:r>
          </w:p>
        </w:tc>
      </w:tr>
      <w:tr w:rsidR="000B1CCE" w14:paraId="52D81C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60" w:after="60"/>
              <w:jc w:val="left"/>
              <w:rPr>
                <w:rFonts w:ascii="Calibri" w:eastAsia="宋体"/>
                <w:sz w:val="18"/>
              </w:rPr>
            </w:pPr>
            <w:r>
              <w:rPr>
                <w:rFonts w:ascii="Calibri" w:eastAsia="宋体"/>
                <w:sz w:val="18"/>
              </w:rPr>
              <w:t>可较多融入日常课堂</w:t>
            </w:r>
          </w:p>
        </w:tc>
        <w:tc>
          <w:tcPr>
            <w:tcW w:w="0" w:type="auto"/>
            <w:tcBorders>
              <w:top w:val="single" w:sz="4" w:space="0" w:color="auto"/>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60" w:after="60"/>
              <w:jc w:val="center"/>
              <w:rPr>
                <w:rFonts w:ascii="Calibri" w:eastAsia="宋体"/>
                <w:sz w:val="18"/>
              </w:rPr>
            </w:pPr>
            <w:r>
              <w:rPr>
                <w:rFonts w:ascii="Calibri" w:eastAsia="宋体"/>
                <w:sz w:val="18"/>
              </w:rPr>
              <w:t>60</w:t>
            </w:r>
          </w:p>
        </w:tc>
        <w:tc>
          <w:tcPr>
            <w:tcW w:w="1837" w:type="dxa"/>
            <w:tcBorders>
              <w:top w:val="single" w:sz="4" w:space="0" w:color="auto"/>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60" w:after="60"/>
              <w:jc w:val="center"/>
              <w:rPr>
                <w:rFonts w:ascii="Calibri" w:eastAsia="宋体"/>
                <w:sz w:val="18"/>
              </w:rPr>
            </w:pPr>
            <w:r>
              <w:rPr>
                <w:rFonts w:ascii="Calibri" w:eastAsia="宋体"/>
                <w:sz w:val="18"/>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60" w:after="60"/>
              <w:jc w:val="left"/>
              <w:rPr>
                <w:rFonts w:ascii="Calibri" w:eastAsia="宋体"/>
                <w:sz w:val="18"/>
              </w:rPr>
            </w:pPr>
            <w:r>
              <w:rPr>
                <w:rFonts w:ascii="Calibri" w:eastAsia="宋体"/>
                <w:sz w:val="18"/>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60" w:after="60"/>
              <w:jc w:val="left"/>
              <w:rPr>
                <w:rFonts w:ascii="Calibri" w:eastAsia="宋体"/>
                <w:sz w:val="18"/>
              </w:rPr>
            </w:pPr>
            <w:r>
              <w:rPr>
                <w:rFonts w:ascii="Calibri" w:eastAsia="宋体"/>
                <w:sz w:val="18"/>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60" w:after="60"/>
              <w:jc w:val="center"/>
              <w:rPr>
                <w:rFonts w:ascii="Calibri" w:eastAsia="宋体"/>
                <w:sz w:val="18"/>
              </w:rPr>
            </w:pPr>
            <w:r>
              <w:rPr>
                <w:rFonts w:ascii="Calibri" w:eastAsia="宋体"/>
                <w:sz w:val="18"/>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60" w:after="60"/>
              <w:jc w:val="left"/>
              <w:rPr>
                <w:rFonts w:ascii="Calibri" w:eastAsia="宋体"/>
                <w:sz w:val="18"/>
              </w:rPr>
            </w:pPr>
            <w:r>
              <w:rPr>
                <w:rFonts w:ascii="Calibri" w:eastAsia="宋体"/>
                <w:sz w:val="18"/>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60" w:after="60"/>
              <w:jc w:val="center"/>
              <w:rPr>
                <w:rFonts w:ascii="Calibri" w:eastAsia="宋体"/>
                <w:sz w:val="18"/>
              </w:rPr>
            </w:pPr>
            <w:r>
              <w:rPr>
                <w:rFonts w:ascii="Calibri" w:eastAsia="宋体"/>
                <w:sz w:val="18"/>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60" w:after="60"/>
              <w:jc w:val="center"/>
              <w:rPr>
                <w:rFonts w:ascii="Calibri" w:eastAsia="宋体"/>
                <w:sz w:val="18"/>
              </w:rPr>
            </w:pPr>
            <w:r>
              <w:rPr>
                <w:rFonts w:ascii="Calibri" w:eastAsia="宋体"/>
                <w:sz w:val="18"/>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60" w:after="60"/>
              <w:jc w:val="left"/>
              <w:rPr>
                <w:rFonts w:ascii="Calibri" w:eastAsia="宋体"/>
                <w:sz w:val="18"/>
              </w:rPr>
            </w:pPr>
            <w:r>
              <w:rPr>
                <w:rFonts w:ascii="Calibri" w:eastAsia="宋体"/>
                <w:sz w:val="18"/>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60" w:after="60"/>
              <w:jc w:val="center"/>
              <w:rPr>
                <w:rFonts w:ascii="Calibri" w:eastAsia="宋体"/>
                <w:sz w:val="18"/>
              </w:rPr>
            </w:pPr>
            <w:r>
              <w:rPr>
                <w:rFonts w:ascii="Calibri" w:eastAsia="宋体"/>
                <w:sz w:val="18"/>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60" w:after="60"/>
              <w:jc w:val="center"/>
              <w:rPr>
                <w:rFonts w:ascii="Calibri" w:eastAsia="宋体"/>
                <w:sz w:val="18"/>
              </w:rPr>
            </w:pPr>
            <w:r>
              <w:rPr>
                <w:rFonts w:ascii="Calibri" w:eastAsia="宋体"/>
                <w:sz w:val="18"/>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60" w:after="60"/>
              <w:jc w:val="left"/>
              <w:rPr>
                <w:rFonts w:ascii="Calibri" w:eastAsia="宋体"/>
                <w:sz w:val="18"/>
              </w:rPr>
            </w:pPr>
            <w:r>
              <w:rPr>
                <w:rFonts w:ascii="Calibri" w:eastAsia="宋体"/>
                <w:sz w:val="18"/>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60" w:after="60"/>
              <w:jc w:val="left"/>
              <w:rPr>
                <w:rFonts w:ascii="Calibri" w:eastAsia="宋体"/>
                <w:sz w:val="18"/>
              </w:rPr>
            </w:pPr>
            <w:r>
              <w:rPr>
                <w:rFonts w:ascii="Calibri" w:eastAsia="宋体"/>
                <w:sz w:val="18"/>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60" w:after="60"/>
              <w:jc w:val="center"/>
              <w:rPr>
                <w:rFonts w:ascii="Calibri" w:eastAsia="宋体"/>
                <w:sz w:val="18"/>
              </w:rPr>
            </w:pPr>
            <w:r>
              <w:rPr>
                <w:rFonts w:ascii="Calibri" w:eastAsia="宋体"/>
                <w:sz w:val="18"/>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60" w:after="60"/>
              <w:jc w:val="center"/>
              <w:rPr>
                <w:rFonts w:ascii="Calibri" w:eastAsia="宋体"/>
                <w:sz w:val="18"/>
              </w:rPr>
            </w:pPr>
            <w:r>
              <w:rPr>
                <w:rFonts w:ascii="Calibri" w:eastAsia="宋体"/>
                <w:sz w:val="18"/>
              </w:rPr>
              <w:t>0.61</w:t>
            </w:r>
          </w:p>
        </w:tc>
      </w:tr>
    </w:tbl>
    <w:p w14:paraId="0CD83A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绝大多数教师认可高阶能力培育具有价值，162人认为其有一定或较大价值，占99.39%；155人认为具有一定或较高可行性，占95.09%。不过，58.28%的教师倾向于先在部分课时、小范围尝试，也有58.28%认为推进需结合现实条件。学校宜通过连续课例实践积累证据，再逐步完善实施方案。</w:t>
      </w:r>
    </w:p>
    <w:p w14:paraId="5E3C5F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（7）教师背景分组与培育判断差异检验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龄、职称和任教学段与教师对培育可行性、价值的判断，在原报告所列Pearson卡方检验中均未达到显著水平。培训经历的交叉表存在低频选项，Pearson卡方的渐近近似需审慎解释，可行性判断有多个单元格期望频数低于5；价值判断中“价值一般”仅1人。为减少稀疏频数对近似检验的影响，课题组依</w:t>
      </w:r>
      <w:r>
        <w:rPr>
          <w:rFonts w:ascii="宋体" w:eastAsia="宋体" w:hAnsi="宋体" w:cs="宋体" w:hint="eastAsia"/>
          <w:kern w:val="0"/>
          <w:sz w:val="24"/>
        </w:rPr>
        <w:t>据完整选项频数补做固定边际精确检验，结果见表3-29。</w:t>
      </w:r>
    </w:p>
    <w:p w14:paraId="0EB137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表3-29  培训经历与教师培育判断的分组检验结果</w:t>
      </w:r>
    </w:p>
    <w:tbl>
      <w:tblPr>
        <w:tblW w:w="8519" w:type="dxa"/>
        <w:jc w:val="center"/>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FADB461" w14:textId="77777777" w:rsidR="000B1CCE" w:rsidRDefault="00000000">
            <w:pPr>
              <w:keepNext/>
              <w:snapToGrid w:val="0"/>
              <w:spacing w:before="80" w:after="80"/>
              <w:jc w:val="center"/>
              <w:rPr>
                <w:rFonts w:ascii="Calibri" w:eastAsia="宋体"/>
                <w:b/>
                <w:sz w:val="17"/>
              </w:rPr>
            </w:pPr>
            <w:r>
              <w:rPr>
                <w:rFonts w:ascii="Calibri" w:eastAsia="宋体"/>
                <w:b/>
                <w:sz w:val="17"/>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5EDCD00" w14:textId="77777777" w:rsidR="000B1CCE" w:rsidRDefault="00000000">
            <w:pPr>
              <w:keepNext/>
              <w:snapToGrid w:val="0"/>
              <w:spacing w:before="80" w:after="80"/>
              <w:jc w:val="center"/>
              <w:rPr>
                <w:rFonts w:ascii="Calibri" w:eastAsia="宋体"/>
                <w:b/>
                <w:sz w:val="17"/>
              </w:rPr>
            </w:pPr>
            <w:r>
              <w:rPr>
                <w:rFonts w:ascii="Calibri" w:eastAsia="宋体"/>
                <w:b/>
                <w:sz w:val="17"/>
              </w:rPr>
              <w:t>Pearsonχ²</w:t>
            </w:r>
            <w:r>
              <w:rPr>
                <w:rFonts w:ascii="Calibri" w:eastAsia="宋体"/>
                <w:b/>
                <w:sz w:val="17"/>
              </w:rPr>
              <w:t>（</w:t>
            </w:r>
            <w:r>
              <w:rPr>
                <w:rFonts w:ascii="Calibri" w:eastAsia="宋体"/>
                <w:b/>
                <w:sz w:val="17"/>
              </w:rPr>
              <w:t>df</w:t>
            </w:r>
            <w:r>
              <w:rPr>
                <w:rFonts w:ascii="Calibri" w:eastAsia="宋体"/>
                <w:b/>
                <w:sz w:val="17"/>
              </w:rPr>
              <w:t>）</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EDE31B9" w14:textId="77777777" w:rsidR="000B1CCE" w:rsidRDefault="00000000">
            <w:pPr>
              <w:keepNext/>
              <w:snapToGrid w:val="0"/>
              <w:spacing w:before="80" w:after="80"/>
              <w:jc w:val="center"/>
              <w:rPr>
                <w:rFonts w:ascii="Calibri" w:eastAsia="宋体"/>
                <w:b/>
                <w:sz w:val="17"/>
              </w:rPr>
            </w:pPr>
            <w:r>
              <w:rPr>
                <w:rFonts w:ascii="Calibri" w:eastAsia="宋体"/>
                <w:b/>
                <w:sz w:val="17"/>
              </w:rPr>
              <w:t>渐近</w:t>
            </w:r>
            <w:r>
              <w:rPr>
                <w:rFonts w:ascii="Calibri" w:eastAsia="宋体"/>
                <w:b/>
                <w:sz w:val="17"/>
              </w:rPr>
              <w:t>p</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D264CF0" w14:textId="77777777" w:rsidR="000B1CCE" w:rsidRDefault="00000000">
            <w:pPr>
              <w:keepNext/>
              <w:snapToGrid w:val="0"/>
              <w:spacing w:before="80" w:after="80"/>
              <w:jc w:val="center"/>
              <w:rPr>
                <w:rFonts w:ascii="Calibri" w:eastAsia="宋体"/>
                <w:b/>
                <w:sz w:val="17"/>
              </w:rPr>
            </w:pPr>
            <w:r>
              <w:rPr>
                <w:rFonts w:ascii="Calibri" w:eastAsia="宋体"/>
                <w:b/>
                <w:sz w:val="17"/>
              </w:rPr>
              <w:t>精确检验</w:t>
            </w:r>
            <w:r>
              <w:rPr>
                <w:rFonts w:ascii="Calibri" w:eastAsia="宋体"/>
                <w:b/>
                <w:sz w:val="17"/>
              </w:rPr>
              <w:t>p</w:t>
            </w:r>
          </w:p>
        </w:tc>
        <w:tc>
          <w:tcPr>
            <w:tcW w:w="1894" w:type="dxa"/>
            <w:tcBorders>
              <w:top w:val="single" w:sz="12" w:space="0" w:color="000000"/>
              <w:left w:val="nil"/>
              <w:bottom w:val="nil"/>
              <w:right w:val="nil"/>
            </w:tcBorders>
            <w:tcMar>
              <w:top w:w="-1" w:type="dxa"/>
              <w:left w:w="-1" w:type="dxa"/>
              <w:bottom w:w="-1" w:type="dxa"/>
              <w:right w:w="-1" w:type="dxa"/>
            </w:tcMar>
            <w:vAlign w:val="center"/>
          </w:tcPr>
          <w:p w14:paraId="41627F02" w14:textId="77777777" w:rsidR="000B1CCE" w:rsidRDefault="00000000">
            <w:pPr>
              <w:keepNext/>
              <w:snapToGrid w:val="0"/>
              <w:spacing w:before="80" w:after="80"/>
              <w:jc w:val="center"/>
              <w:rPr>
                <w:rFonts w:ascii="Calibri" w:eastAsia="宋体"/>
                <w:b/>
                <w:sz w:val="17"/>
              </w:rPr>
            </w:pPr>
            <w:r>
              <w:rPr>
                <w:rFonts w:ascii="Calibri" w:eastAsia="宋体"/>
                <w:b/>
                <w:sz w:val="17"/>
              </w:rPr>
              <w:t>Holm</w:t>
            </w:r>
            <w:r>
              <w:rPr>
                <w:rFonts w:ascii="Calibri" w:eastAsia="宋体"/>
                <w:b/>
                <w:sz w:val="17"/>
              </w:rPr>
              <w:t>校正</w:t>
            </w:r>
            <w:r>
              <w:rPr>
                <w:rFonts w:ascii="Calibri" w:eastAsia="宋体"/>
                <w:b/>
                <w:sz w:val="17"/>
              </w:rPr>
              <w:t>p*</w:t>
            </w:r>
          </w:p>
        </w:tc>
      </w:tr>
      <w:tr w:rsidR="000B1CCE" w14:paraId="12EF25A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D97800" w14:textId="77777777" w:rsidR="000B1CCE" w:rsidRDefault="00000000">
            <w:pPr>
              <w:keepNext/>
              <w:snapToGrid w:val="0"/>
              <w:spacing w:before="80" w:after="80"/>
              <w:jc w:val="center"/>
              <w:rPr>
                <w:rFonts w:ascii="Calibri" w:eastAsia="宋体"/>
                <w:sz w:val="17"/>
              </w:rPr>
            </w:pPr>
            <w:r>
              <w:rPr>
                <w:rFonts w:ascii="Calibri" w:eastAsia="宋体"/>
                <w:sz w:val="17"/>
              </w:rPr>
              <w:t>培育可行性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DD6F4B" w14:textId="77777777" w:rsidR="000B1CCE" w:rsidRDefault="00000000">
            <w:pPr>
              <w:keepNext/>
              <w:snapToGrid w:val="0"/>
              <w:spacing w:before="80" w:after="80"/>
              <w:jc w:val="center"/>
              <w:rPr>
                <w:rFonts w:ascii="Calibri" w:eastAsia="宋体"/>
                <w:sz w:val="17"/>
              </w:rPr>
            </w:pPr>
            <w:r>
              <w:rPr>
                <w:rFonts w:ascii="Calibri" w:eastAsia="宋体"/>
                <w:sz w:val="17"/>
              </w:rPr>
              <w:t>5.458</w:t>
            </w:r>
            <w:r>
              <w:rPr>
                <w:rFonts w:ascii="Calibri" w:eastAsia="宋体"/>
                <w:sz w:val="17"/>
              </w:rPr>
              <w:t>（</w:t>
            </w:r>
            <w:r>
              <w:rPr>
                <w:rFonts w:ascii="Calibri" w:eastAsia="宋体"/>
                <w:sz w:val="17"/>
              </w:rPr>
              <w:t>3</w:t>
            </w:r>
            <w:r>
              <w:rPr>
                <w:rFonts w:ascii="Calibri" w:eastAsia="宋体"/>
                <w:sz w:val="17"/>
              </w:rPr>
              <w:t>）</w:t>
            </w:r>
          </w:p>
        </w:tc>
        <w:tc>
          <w:tcPr>
            <w:tcW w:w="0" w:type="auto"/>
            <w:tcBorders>
              <w:top w:val="single" w:sz="4" w:space="0" w:color="auto"/>
              <w:left w:val="nil"/>
              <w:bottom w:val="nil"/>
              <w:right w:val="nil"/>
            </w:tcBorders>
            <w:tcMar>
              <w:top w:w="-1" w:type="dxa"/>
              <w:left w:w="-1" w:type="dxa"/>
              <w:bottom w:w="-1" w:type="dxa"/>
              <w:right w:w="-1" w:type="dxa"/>
            </w:tcMar>
            <w:vAlign w:val="center"/>
          </w:tcPr>
          <w:p w14:paraId="22035B2D" w14:textId="77777777" w:rsidR="000B1CCE" w:rsidRDefault="00000000">
            <w:pPr>
              <w:keepNext/>
              <w:snapToGrid w:val="0"/>
              <w:spacing w:before="80" w:after="80"/>
              <w:jc w:val="center"/>
              <w:rPr>
                <w:rFonts w:ascii="Calibri" w:eastAsia="宋体"/>
                <w:sz w:val="17"/>
              </w:rPr>
            </w:pPr>
            <w:r>
              <w:rPr>
                <w:rFonts w:ascii="Calibri" w:eastAsia="宋体"/>
                <w:sz w:val="17"/>
              </w:rPr>
              <w:t>0.141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CD9966" w14:textId="77777777" w:rsidR="000B1CCE" w:rsidRDefault="00000000">
            <w:pPr>
              <w:keepNext/>
              <w:snapToGrid w:val="0"/>
              <w:spacing w:before="80" w:after="80"/>
              <w:jc w:val="center"/>
              <w:rPr>
                <w:rFonts w:ascii="Calibri" w:eastAsia="宋体"/>
                <w:sz w:val="17"/>
              </w:rPr>
            </w:pPr>
            <w:r>
              <w:rPr>
                <w:rFonts w:ascii="Calibri" w:eastAsia="宋体"/>
                <w:sz w:val="17"/>
              </w:rPr>
              <w:t>0.132</w:t>
            </w:r>
          </w:p>
        </w:tc>
        <w:tc>
          <w:tcPr>
            <w:tcW w:w="1894" w:type="dxa"/>
            <w:tcBorders>
              <w:top w:val="single" w:sz="4" w:space="0" w:color="auto"/>
              <w:left w:val="nil"/>
              <w:bottom w:val="nil"/>
              <w:right w:val="nil"/>
            </w:tcBorders>
            <w:tcMar>
              <w:top w:w="-1" w:type="dxa"/>
              <w:left w:w="-1" w:type="dxa"/>
              <w:bottom w:w="-1" w:type="dxa"/>
              <w:right w:w="-1" w:type="dxa"/>
            </w:tcMar>
            <w:vAlign w:val="center"/>
          </w:tcPr>
          <w:p w14:paraId="6B82C5E7" w14:textId="77777777" w:rsidR="000B1CCE" w:rsidRDefault="00000000">
            <w:pPr>
              <w:keepNext/>
              <w:snapToGrid w:val="0"/>
              <w:spacing w:before="80" w:after="80"/>
              <w:jc w:val="center"/>
              <w:rPr>
                <w:rFonts w:ascii="Calibri" w:eastAsia="宋体"/>
                <w:sz w:val="17"/>
              </w:rPr>
            </w:pPr>
            <w:r>
              <w:rPr>
                <w:rFonts w:ascii="Calibri" w:eastAsia="宋体"/>
                <w:sz w:val="17"/>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keepNext/>
              <w:snapToGrid w:val="0"/>
              <w:spacing w:before="80" w:after="80"/>
              <w:jc w:val="center"/>
              <w:rPr>
                <w:rFonts w:ascii="Calibri" w:eastAsia="宋体"/>
                <w:sz w:val="17"/>
              </w:rPr>
            </w:pPr>
            <w:r>
              <w:rPr>
                <w:rFonts w:ascii="Calibri" w:eastAsia="宋体"/>
                <w:sz w:val="17"/>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keepNext/>
              <w:snapToGrid w:val="0"/>
              <w:spacing w:before="80" w:after="80"/>
              <w:jc w:val="center"/>
              <w:rPr>
                <w:rFonts w:ascii="Calibri" w:eastAsia="宋体"/>
                <w:sz w:val="17"/>
              </w:rPr>
            </w:pPr>
            <w:r>
              <w:rPr>
                <w:rFonts w:ascii="Calibri" w:eastAsia="宋体"/>
                <w:sz w:val="17"/>
              </w:rPr>
              <w:t>5.284</w:t>
            </w:r>
            <w:r>
              <w:rPr>
                <w:rFonts w:ascii="Calibri" w:eastAsia="宋体"/>
                <w:sz w:val="17"/>
              </w:rPr>
              <w:t>（</w:t>
            </w:r>
            <w:r>
              <w:rPr>
                <w:rFonts w:ascii="Calibri" w:eastAsia="宋体"/>
                <w:sz w:val="17"/>
              </w:rPr>
              <w:t>2</w:t>
            </w:r>
            <w:r>
              <w:rPr>
                <w:rFonts w:ascii="Calibri" w:eastAsia="宋体"/>
                <w:sz w:val="17"/>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keepNext/>
              <w:snapToGrid w:val="0"/>
              <w:spacing w:before="80" w:after="80"/>
              <w:jc w:val="center"/>
              <w:rPr>
                <w:rFonts w:ascii="Calibri" w:eastAsia="宋体"/>
                <w:sz w:val="17"/>
              </w:rPr>
            </w:pPr>
            <w:r>
              <w:rPr>
                <w:rFonts w:ascii="Calibri" w:eastAsia="宋体"/>
                <w:sz w:val="17"/>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keepNext/>
              <w:snapToGrid w:val="0"/>
              <w:spacing w:before="80" w:after="80"/>
              <w:jc w:val="center"/>
              <w:rPr>
                <w:rFonts w:ascii="Calibri" w:eastAsia="宋体"/>
                <w:sz w:val="17"/>
              </w:rPr>
            </w:pPr>
            <w:r>
              <w:rPr>
                <w:rFonts w:ascii="Calibri" w:eastAsia="宋体"/>
                <w:sz w:val="17"/>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keepNext/>
              <w:snapToGrid w:val="0"/>
              <w:spacing w:before="80" w:after="80"/>
              <w:jc w:val="center"/>
              <w:rPr>
                <w:rFonts w:ascii="Calibri" w:eastAsia="宋体"/>
                <w:sz w:val="17"/>
              </w:rPr>
            </w:pPr>
            <w:r>
              <w:rPr>
                <w:rFonts w:ascii="Calibri" w:eastAsia="宋体"/>
                <w:sz w:val="17"/>
              </w:rPr>
              <w:t>0.368</w:t>
            </w:r>
          </w:p>
        </w:tc>
      </w:tr>
    </w:tbl>
    <w:p w14:paraId="46FA1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sz w:val="24"/>
        </w:rPr>
        <w:t>培训经历与两项判断采用固定边际的 Fisher–Freeman–Halton 精确检验；Holm 校正按4类背景变量与2项判断共8项比较计算</w:t>
      </w:r>
      <w:r>
        <w:rPr>
          <w:rFonts w:ascii="宋体" w:eastAsia="宋体" w:hAnsi="宋体" w:cs="宋体" w:hint="eastAsia"/>
          <w:sz w:val="24"/>
        </w:rPr>
        <w:t>，</w:t>
      </w:r>
      <w:r>
        <w:rPr>
          <w:rFonts w:ascii="宋体" w:eastAsia="宋体" w:hAnsi="宋体" w:cs="宋体"/>
          <w:sz w:val="24"/>
        </w:rPr>
        <w:t>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因部分选项的理论频数较小，本研究采用固定边际的 Fisher–Freeman–Halton 精确检验，比较不同培训经历教师在培育可行性和培育价值各选项上的整体分布。未经校正时，价值判断差异达到名义显著水平（p＝0.046），可行性判断差异未达显著水平（p＝0.132）；经8项比较的 Holm 校正后，两项结果均未达到显著水平（校正后 p 分别为0.368和0.792）。参加过培训教师选择“可行性较高”和“价值很大”的比例分别为40.77%和45.38%，未参加者分别为21.21%和24.24%。上述比例仅反映描述性差异，不能据此认定培训产生了影响。</w:t>
      </w:r>
    </w:p>
    <w:p w14:paraId="2AF250EA" w14:textId="77777777" w:rsidR="000B1CCE" w:rsidRDefault="00000000">
      <w:pPr>
        <w:keepNext/>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after="160"/>
        <w:jc w:val="center"/>
      </w:pPr>
      <w:r>
        <w:rPr>
          <w:color w:val="3C464C"/>
          <w:sz w:val="18"/>
        </w:rPr>
        <w:t>图3-7  不同培训经历教师选择高端判断选项的比例</w:t>
      </w:r>
    </w:p>
    <w:p w14:paraId="61B415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（8）前测诊断与课题实践重点</w:t>
      </w:r>
    </w:p>
    <w:p w14:paraId="54B3F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表3-30  教师前测证据与课题实践重点</w:t>
      </w:r>
    </w:p>
    <w:tbl>
      <w:tblPr>
        <w:tblW w:w="8519" w:type="dxa"/>
        <w:jc w:val="center"/>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1F02E0" w14:textId="77777777" w:rsidR="000B1CCE" w:rsidRDefault="00000000">
            <w:pPr>
              <w:keepNext/>
              <w:snapToGrid w:val="0"/>
              <w:spacing w:before="60" w:after="60"/>
              <w:jc w:val="center"/>
              <w:rPr>
                <w:rFonts w:ascii="Calibri" w:eastAsia="宋体"/>
                <w:b/>
                <w:sz w:val="18"/>
              </w:rPr>
            </w:pPr>
            <w:r>
              <w:rPr>
                <w:rFonts w:ascii="Calibri" w:eastAsia="宋体"/>
                <w:b/>
                <w:sz w:val="18"/>
              </w:rPr>
              <w:lastRenderedPageBreak/>
              <w:t>前测发现</w:t>
            </w:r>
          </w:p>
        </w:tc>
        <w:tc>
          <w:tcPr>
            <w:tcW w:w="3004" w:type="dxa"/>
            <w:tcBorders>
              <w:top w:val="single" w:sz="12" w:space="0" w:color="000000"/>
              <w:left w:val="nil"/>
              <w:bottom w:val="nil"/>
              <w:right w:val="nil"/>
            </w:tcBorders>
            <w:tcMar>
              <w:top w:w="-1" w:type="dxa"/>
              <w:left w:w="-1" w:type="dxa"/>
              <w:bottom w:w="-1" w:type="dxa"/>
              <w:right w:w="-1" w:type="dxa"/>
            </w:tcMar>
            <w:vAlign w:val="center"/>
          </w:tcPr>
          <w:p w14:paraId="3EBDF5B6" w14:textId="77777777" w:rsidR="000B1CCE" w:rsidRDefault="00000000">
            <w:pPr>
              <w:keepNext/>
              <w:snapToGrid w:val="0"/>
              <w:spacing w:before="60" w:after="60"/>
              <w:jc w:val="center"/>
              <w:rPr>
                <w:rFonts w:ascii="Calibri" w:eastAsia="宋体"/>
                <w:b/>
                <w:sz w:val="18"/>
              </w:rPr>
            </w:pPr>
            <w:r>
              <w:rPr>
                <w:rFonts w:ascii="Calibri" w:eastAsia="宋体"/>
                <w:b/>
                <w:sz w:val="18"/>
              </w:rPr>
              <w:t>主要统计依据</w:t>
            </w:r>
          </w:p>
        </w:tc>
        <w:tc>
          <w:tcPr>
            <w:tcW w:w="2715" w:type="dxa"/>
            <w:tcBorders>
              <w:top w:val="single" w:sz="12" w:space="0" w:color="000000"/>
              <w:left w:val="nil"/>
              <w:bottom w:val="nil"/>
              <w:right w:val="nil"/>
            </w:tcBorders>
            <w:tcMar>
              <w:top w:w="-1" w:type="dxa"/>
              <w:left w:w="-1" w:type="dxa"/>
              <w:bottom w:w="-1" w:type="dxa"/>
              <w:right w:w="-1" w:type="dxa"/>
            </w:tcMar>
            <w:vAlign w:val="center"/>
          </w:tcPr>
          <w:p w14:paraId="188812A6" w14:textId="77777777" w:rsidR="000B1CCE" w:rsidRDefault="00000000">
            <w:pPr>
              <w:keepNext/>
              <w:snapToGrid w:val="0"/>
              <w:spacing w:before="60" w:after="60"/>
              <w:jc w:val="center"/>
              <w:rPr>
                <w:rFonts w:ascii="Calibri" w:eastAsia="宋体"/>
                <w:b/>
                <w:sz w:val="18"/>
              </w:rPr>
            </w:pPr>
            <w:r>
              <w:rPr>
                <w:rFonts w:ascii="Calibri" w:eastAsia="宋体"/>
                <w:b/>
                <w:sz w:val="18"/>
              </w:rPr>
              <w:t>后续研究重点</w:t>
            </w:r>
          </w:p>
        </w:tc>
      </w:tr>
      <w:tr w:rsidR="000B1CCE" w14:paraId="22D078B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24D4D1F" w14:textId="77777777" w:rsidR="000B1CCE" w:rsidRDefault="00000000">
            <w:pPr>
              <w:keepNext/>
              <w:snapToGrid w:val="0"/>
              <w:spacing w:before="60" w:after="60"/>
              <w:jc w:val="left"/>
              <w:rPr>
                <w:rFonts w:ascii="Calibri" w:eastAsia="宋体"/>
                <w:sz w:val="18"/>
              </w:rPr>
            </w:pPr>
            <w:r>
              <w:rPr>
                <w:rFonts w:ascii="Calibri" w:eastAsia="宋体"/>
                <w:sz w:val="18"/>
              </w:rPr>
              <w:t>价值认同较高，概念理解仍需深化</w:t>
            </w:r>
          </w:p>
        </w:tc>
        <w:tc>
          <w:tcPr>
            <w:tcW w:w="3004" w:type="dxa"/>
            <w:tcBorders>
              <w:top w:val="single" w:sz="4" w:space="0" w:color="auto"/>
              <w:left w:val="nil"/>
              <w:bottom w:val="nil"/>
              <w:right w:val="nil"/>
            </w:tcBorders>
            <w:tcMar>
              <w:top w:w="-1" w:type="dxa"/>
              <w:left w:w="-1" w:type="dxa"/>
              <w:bottom w:w="-1" w:type="dxa"/>
              <w:right w:w="-1" w:type="dxa"/>
            </w:tcMar>
            <w:vAlign w:val="center"/>
          </w:tcPr>
          <w:p w14:paraId="5A9471A8" w14:textId="77777777" w:rsidR="000B1CCE" w:rsidRDefault="00000000">
            <w:pPr>
              <w:keepNext/>
              <w:snapToGrid w:val="0"/>
              <w:spacing w:before="60" w:after="60"/>
              <w:jc w:val="center"/>
              <w:rPr>
                <w:rFonts w:ascii="Calibri" w:eastAsia="宋体"/>
                <w:sz w:val="18"/>
              </w:rPr>
            </w:pPr>
            <w:r>
              <w:rPr>
                <w:rFonts w:ascii="Calibri" w:eastAsia="宋体"/>
                <w:sz w:val="18"/>
              </w:rPr>
              <w:t>长远发展认同</w:t>
            </w:r>
            <w:r>
              <w:rPr>
                <w:rFonts w:ascii="Calibri" w:eastAsia="宋体"/>
                <w:sz w:val="18"/>
              </w:rPr>
              <w:t>M</w:t>
            </w:r>
            <w:r>
              <w:rPr>
                <w:rFonts w:ascii="Calibri" w:eastAsia="宋体"/>
                <w:sz w:val="18"/>
              </w:rPr>
              <w:t>＝</w:t>
            </w:r>
            <w:r>
              <w:rPr>
                <w:rFonts w:ascii="Calibri" w:eastAsia="宋体"/>
                <w:sz w:val="18"/>
              </w:rPr>
              <w:t>4.405</w:t>
            </w:r>
            <w:r>
              <w:rPr>
                <w:rFonts w:ascii="Calibri" w:eastAsia="宋体"/>
                <w:sz w:val="18"/>
              </w:rPr>
              <w:t>；区分高低阶学习</w:t>
            </w:r>
            <w:r>
              <w:rPr>
                <w:rFonts w:ascii="Calibri" w:eastAsia="宋体"/>
                <w:sz w:val="18"/>
              </w:rPr>
              <w:t>M</w:t>
            </w:r>
            <w:r>
              <w:rPr>
                <w:rFonts w:ascii="Calibri" w:eastAsia="宋体"/>
                <w:sz w:val="18"/>
              </w:rPr>
              <w:t>＝</w:t>
            </w:r>
            <w:r>
              <w:rPr>
                <w:rFonts w:ascii="Calibri" w:eastAsia="宋体"/>
                <w:sz w:val="18"/>
              </w:rPr>
              <w:t>4.276</w:t>
            </w:r>
          </w:p>
        </w:tc>
        <w:tc>
          <w:tcPr>
            <w:tcW w:w="2715" w:type="dxa"/>
            <w:tcBorders>
              <w:top w:val="single" w:sz="4" w:space="0" w:color="auto"/>
              <w:left w:val="nil"/>
              <w:bottom w:val="nil"/>
              <w:right w:val="nil"/>
            </w:tcBorders>
            <w:tcMar>
              <w:top w:w="-1" w:type="dxa"/>
              <w:left w:w="-1" w:type="dxa"/>
              <w:bottom w:w="-1" w:type="dxa"/>
              <w:right w:w="-1" w:type="dxa"/>
            </w:tcMar>
            <w:vAlign w:val="center"/>
          </w:tcPr>
          <w:p w14:paraId="0BD91A3E" w14:textId="77777777" w:rsidR="000B1CCE" w:rsidRDefault="00000000">
            <w:pPr>
              <w:keepNext/>
              <w:snapToGrid w:val="0"/>
              <w:spacing w:before="60" w:after="60"/>
              <w:jc w:val="center"/>
              <w:rPr>
                <w:rFonts w:ascii="Calibri" w:eastAsia="宋体"/>
                <w:sz w:val="18"/>
              </w:rPr>
            </w:pPr>
            <w:r>
              <w:rPr>
                <w:rFonts w:ascii="Calibri" w:eastAsia="宋体"/>
                <w:sz w:val="18"/>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keepNext/>
              <w:snapToGrid w:val="0"/>
              <w:spacing w:before="60" w:after="60"/>
              <w:jc w:val="left"/>
              <w:rPr>
                <w:rFonts w:ascii="Calibri" w:eastAsia="宋体"/>
                <w:sz w:val="18"/>
              </w:rPr>
            </w:pPr>
            <w:r>
              <w:rPr>
                <w:rFonts w:ascii="Calibri" w:eastAsia="宋体"/>
                <w:sz w:val="18"/>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keepNext/>
              <w:snapToGrid w:val="0"/>
              <w:spacing w:before="60" w:after="60"/>
              <w:jc w:val="center"/>
              <w:rPr>
                <w:rFonts w:ascii="Calibri" w:eastAsia="宋体"/>
                <w:sz w:val="18"/>
              </w:rPr>
            </w:pPr>
            <w:r>
              <w:rPr>
                <w:rFonts w:ascii="Calibri" w:eastAsia="宋体"/>
                <w:sz w:val="18"/>
              </w:rPr>
              <w:t>开放性问题积极自评</w:t>
            </w:r>
            <w:r>
              <w:rPr>
                <w:rFonts w:ascii="Calibri" w:eastAsia="宋体"/>
                <w:sz w:val="18"/>
              </w:rPr>
              <w:t>95.71%</w:t>
            </w:r>
            <w:r>
              <w:rPr>
                <w:rFonts w:ascii="Calibri" w:eastAsia="宋体"/>
                <w:sz w:val="18"/>
              </w:rPr>
              <w:t>；思考时间</w:t>
            </w:r>
            <w:r>
              <w:rPr>
                <w:rFonts w:ascii="Calibri" w:eastAsia="宋体"/>
                <w:sz w:val="18"/>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keepNext/>
              <w:snapToGrid w:val="0"/>
              <w:spacing w:before="60" w:after="60"/>
              <w:jc w:val="center"/>
              <w:rPr>
                <w:rFonts w:ascii="Calibri" w:eastAsia="宋体"/>
                <w:sz w:val="18"/>
              </w:rPr>
            </w:pPr>
            <w:r>
              <w:rPr>
                <w:rFonts w:ascii="Calibri" w:eastAsia="宋体"/>
                <w:sz w:val="18"/>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keepNext/>
              <w:snapToGrid w:val="0"/>
              <w:spacing w:before="60" w:after="60"/>
              <w:jc w:val="left"/>
              <w:rPr>
                <w:rFonts w:ascii="Calibri" w:eastAsia="宋体"/>
                <w:sz w:val="18"/>
              </w:rPr>
            </w:pPr>
            <w:r>
              <w:rPr>
                <w:rFonts w:ascii="Calibri" w:eastAsia="宋体"/>
                <w:sz w:val="18"/>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keepNext/>
              <w:snapToGrid w:val="0"/>
              <w:spacing w:before="60" w:after="60"/>
              <w:jc w:val="center"/>
              <w:rPr>
                <w:rFonts w:ascii="Calibri" w:eastAsia="宋体"/>
                <w:sz w:val="18"/>
              </w:rPr>
            </w:pPr>
            <w:r>
              <w:rPr>
                <w:rFonts w:ascii="Calibri" w:eastAsia="宋体"/>
                <w:sz w:val="18"/>
              </w:rPr>
              <w:t>观察识别</w:t>
            </w:r>
            <w:r>
              <w:rPr>
                <w:rFonts w:ascii="Calibri" w:eastAsia="宋体"/>
                <w:sz w:val="18"/>
              </w:rPr>
              <w:t>M</w:t>
            </w:r>
            <w:r>
              <w:rPr>
                <w:rFonts w:ascii="Calibri" w:eastAsia="宋体"/>
                <w:sz w:val="18"/>
              </w:rPr>
              <w:t>＝</w:t>
            </w:r>
            <w:r>
              <w:rPr>
                <w:rFonts w:ascii="Calibri" w:eastAsia="宋体"/>
                <w:sz w:val="18"/>
              </w:rPr>
              <w:t>4.160</w:t>
            </w:r>
            <w:r>
              <w:rPr>
                <w:rFonts w:ascii="Calibri" w:eastAsia="宋体"/>
                <w:sz w:val="18"/>
              </w:rPr>
              <w:t>；任务设计</w:t>
            </w:r>
            <w:r>
              <w:rPr>
                <w:rFonts w:ascii="Calibri" w:eastAsia="宋体"/>
                <w:sz w:val="18"/>
              </w:rPr>
              <w:t>M</w:t>
            </w:r>
            <w:r>
              <w:rPr>
                <w:rFonts w:ascii="Calibri" w:eastAsia="宋体"/>
                <w:sz w:val="18"/>
              </w:rPr>
              <w:t>＝</w:t>
            </w:r>
            <w:r>
              <w:rPr>
                <w:rFonts w:ascii="Calibri" w:eastAsia="宋体"/>
                <w:sz w:val="18"/>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keepNext/>
              <w:snapToGrid w:val="0"/>
              <w:spacing w:before="60" w:after="60"/>
              <w:jc w:val="center"/>
              <w:rPr>
                <w:rFonts w:ascii="Calibri" w:eastAsia="宋体"/>
                <w:sz w:val="18"/>
              </w:rPr>
            </w:pPr>
            <w:r>
              <w:rPr>
                <w:rFonts w:ascii="Calibri" w:eastAsia="宋体"/>
                <w:sz w:val="18"/>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keepNext/>
              <w:snapToGrid w:val="0"/>
              <w:spacing w:before="60" w:after="60"/>
              <w:jc w:val="left"/>
              <w:rPr>
                <w:rFonts w:ascii="Calibri" w:eastAsia="宋体"/>
                <w:sz w:val="18"/>
              </w:rPr>
            </w:pPr>
            <w:r>
              <w:rPr>
                <w:rFonts w:ascii="Calibri" w:eastAsia="宋体"/>
                <w:sz w:val="18"/>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keepNext/>
              <w:snapToGrid w:val="0"/>
              <w:spacing w:before="60" w:after="60"/>
              <w:jc w:val="center"/>
              <w:rPr>
                <w:rFonts w:ascii="Calibri" w:eastAsia="宋体"/>
                <w:sz w:val="18"/>
              </w:rPr>
            </w:pPr>
            <w:r>
              <w:rPr>
                <w:rFonts w:ascii="Calibri" w:eastAsia="宋体"/>
                <w:sz w:val="18"/>
              </w:rPr>
              <w:t>差异困难认同</w:t>
            </w:r>
            <w:r>
              <w:rPr>
                <w:rFonts w:ascii="Calibri" w:eastAsia="宋体"/>
                <w:sz w:val="18"/>
              </w:rPr>
              <w:t>81.60%</w:t>
            </w:r>
            <w:r>
              <w:rPr>
                <w:rFonts w:ascii="Calibri" w:eastAsia="宋体"/>
                <w:sz w:val="18"/>
              </w:rPr>
              <w:t>；课时负担</w:t>
            </w:r>
            <w:r>
              <w:rPr>
                <w:rFonts w:ascii="Calibri" w:eastAsia="宋体"/>
                <w:sz w:val="18"/>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keepNext/>
              <w:snapToGrid w:val="0"/>
              <w:spacing w:before="60" w:after="60"/>
              <w:jc w:val="center"/>
              <w:rPr>
                <w:rFonts w:ascii="Calibri" w:eastAsia="宋体"/>
                <w:sz w:val="18"/>
              </w:rPr>
            </w:pPr>
            <w:r>
              <w:rPr>
                <w:rFonts w:ascii="Calibri" w:eastAsia="宋体"/>
                <w:sz w:val="18"/>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keepNext/>
              <w:snapToGrid w:val="0"/>
              <w:spacing w:before="60" w:after="60"/>
              <w:jc w:val="left"/>
              <w:rPr>
                <w:rFonts w:ascii="Calibri" w:eastAsia="宋体"/>
                <w:sz w:val="18"/>
              </w:rPr>
            </w:pPr>
            <w:r>
              <w:rPr>
                <w:rFonts w:ascii="Calibri" w:eastAsia="宋体"/>
                <w:sz w:val="18"/>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keepNext/>
              <w:snapToGrid w:val="0"/>
              <w:spacing w:before="60" w:after="60"/>
              <w:jc w:val="center"/>
              <w:rPr>
                <w:rFonts w:ascii="Calibri" w:eastAsia="宋体"/>
                <w:sz w:val="18"/>
              </w:rPr>
            </w:pPr>
            <w:r>
              <w:rPr>
                <w:rFonts w:ascii="Calibri" w:eastAsia="宋体"/>
                <w:sz w:val="18"/>
              </w:rPr>
              <w:t>培训研讨需求</w:t>
            </w:r>
            <w:r>
              <w:rPr>
                <w:rFonts w:ascii="Calibri" w:eastAsia="宋体"/>
                <w:sz w:val="18"/>
              </w:rPr>
              <w:t>73.62%</w:t>
            </w:r>
            <w:r>
              <w:rPr>
                <w:rFonts w:ascii="Calibri" w:eastAsia="宋体"/>
                <w:sz w:val="18"/>
              </w:rPr>
              <w:t>；课例需求</w:t>
            </w:r>
            <w:r>
              <w:rPr>
                <w:rFonts w:ascii="Calibri" w:eastAsia="宋体"/>
                <w:sz w:val="18"/>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keepNext/>
              <w:snapToGrid w:val="0"/>
              <w:spacing w:before="60" w:after="60"/>
              <w:jc w:val="center"/>
              <w:rPr>
                <w:rFonts w:ascii="Calibri" w:eastAsia="宋体"/>
                <w:sz w:val="18"/>
              </w:rPr>
            </w:pPr>
            <w:r>
              <w:rPr>
                <w:rFonts w:ascii="Calibri" w:eastAsia="宋体"/>
                <w:sz w:val="18"/>
              </w:rPr>
              <w:t>围绕真实课堂持续开展共同备课、观察与改进</w:t>
            </w:r>
          </w:p>
        </w:tc>
      </w:tr>
    </w:tbl>
    <w:p w14:paraId="1B2CA3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w:t>
      </w:r>
      <w:r>
        <w:rPr>
          <w:rFonts w:ascii="宋体" w:eastAsia="宋体" w:hAnsi="宋体" w:cs="宋体" w:hint="eastAsia"/>
          <w:sz w:val="24"/>
        </w:rPr>
        <w:t>三</w:t>
      </w:r>
      <w:r>
        <w:rPr>
          <w:rFonts w:ascii="宋体" w:eastAsia="宋体" w:hAnsi="宋体" w:cs="宋体"/>
          <w:sz w:val="24"/>
        </w:rPr>
        <w:t>）</w:t>
      </w:r>
      <w:r>
        <w:rPr>
          <w:rFonts w:ascii="宋体" w:eastAsia="宋体" w:hAnsi="宋体" w:cs="宋体" w:hint="eastAsia"/>
          <w:sz w:val="24"/>
        </w:rPr>
        <w:t>前测诊断与高阶能力培育问题挖掘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问卷与学生问卷分别从“教”与“学”两个侧面呈现了学校高阶能力培育的现实基础。综合两类前测可以发现，学校并非缺少高阶能力培育意识，也并非学生基础薄弱，真正需要突破的是教师已有的育人意图如何转化为学生真实而持续的高阶学习。因此，前测的价值不在于再次证明高阶能力“重要”，而在于识别从理念到实践、从参与到能力生成之间的关键断点。</w:t>
      </w:r>
    </w:p>
    <w:p w14:paraId="1C53F9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1.中学生高阶能力培育的前测诊断</w:t>
      </w:r>
    </w:p>
    <w:p w14:paraId="5C915F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1</w:t>
      </w:r>
      <w:r>
        <w:rPr>
          <w:rFonts w:ascii="宋体" w:eastAsia="宋体" w:hAnsi="宋体" w:cs="宋体" w:hint="eastAsia"/>
          <w:sz w:val="24"/>
        </w:rPr>
        <w:t>）</w:t>
      </w:r>
      <w:r>
        <w:rPr>
          <w:rFonts w:ascii="宋体" w:eastAsia="宋体" w:hAnsi="宋体" w:cs="宋体"/>
          <w:sz w:val="24"/>
        </w:rPr>
        <w:t>教师高阶能力培育的实践基础与现实困难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教师前测表明，教师已经形成较高的高阶能力培育认同，并具有一定实践基础，但在任务设计、差异支持、提问点拨和课堂实施资源等方面仍存在现实困难，整体呈现出“高认同—有实践—缺支架”的特征。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说明，当前教师发展的关键已不再是“是否接受高阶能力理念”，而是能否把抽象的能力要求转化为具体的学习目标、任务结构、教学支架和评价依据。换言之，高阶能力培育的瓶颈正在由“理念认同不足”转向“专业转化不足”。</w:t>
      </w:r>
    </w:p>
    <w:p w14:paraId="39E25A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w:t>
      </w:r>
      <w:r>
        <w:rPr>
          <w:rFonts w:ascii="宋体" w:eastAsia="宋体" w:hAnsi="宋体" w:cs="宋体"/>
          <w:sz w:val="24"/>
        </w:rPr>
        <w:lastRenderedPageBreak/>
        <w:t>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表明，学生已经具备进入高阶学习的基础，但尚需由“完成任务、参与活动”进一步走向深度分析、证据判断、方案生成、持续反思和迁移创新。因此，高阶能力培养不能简单等同于增加课堂活动或提高任务难度，而应重点提升学习过程的深度与质量。</w:t>
      </w:r>
    </w:p>
    <w:p w14:paraId="2D365A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教师教学与学生发展的综合分析</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下一阶段研究不能只关注“教师做了什么”，也不能只关注“学生得分怎样”，而应进一步研究二者之间的作用机制，即什么样的目标、任务、学习活动和教学支持，能够真正促进学生高阶能力发生。这一“教—学转化”问题，构成了后续模式建构的直接现实依据。</w:t>
      </w:r>
    </w:p>
    <w:p w14:paraId="33DC13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2.中学生</w:t>
      </w:r>
      <w:r>
        <w:rPr>
          <w:rFonts w:ascii="宋体" w:eastAsia="宋体" w:hAnsi="宋体" w:cs="宋体"/>
          <w:sz w:val="24"/>
        </w:rPr>
        <w:t>高阶能力培育的主要问题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综合两类前测结果，后续研究需要重点突破以下四个方面。</w:t>
      </w:r>
    </w:p>
    <w:tbl>
      <w:tblPr>
        <w:tblW w:w="8519" w:type="dxa"/>
        <w:jc w:val="center"/>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nil"/>
              <w:right w:val="nil"/>
            </w:tcBorders>
            <w:tcMar>
              <w:top w:w="-1" w:type="dxa"/>
              <w:left w:w="-1" w:type="dxa"/>
              <w:bottom w:w="-1" w:type="dxa"/>
              <w:right w:w="-1" w:type="dxa"/>
            </w:tcMar>
            <w:vAlign w:val="center"/>
          </w:tcPr>
          <w:p w14:paraId="4656B58E" w14:textId="77777777" w:rsidR="000B1CCE" w:rsidRDefault="00000000">
            <w:pPr>
              <w:snapToGrid w:val="0"/>
              <w:jc w:val="center"/>
              <w:rPr>
                <w:rFonts w:ascii="宋体" w:eastAsia="宋体"/>
                <w:b/>
              </w:rPr>
            </w:pPr>
            <w:r>
              <w:rPr>
                <w:rFonts w:ascii="宋体" w:eastAsia="宋体" w:hAnsi="宋体"/>
                <w:b/>
              </w:rPr>
              <w:t>现实问题</w:t>
            </w:r>
          </w:p>
        </w:tc>
        <w:tc>
          <w:tcPr>
            <w:tcW w:w="2872" w:type="dxa"/>
            <w:tcBorders>
              <w:top w:val="single" w:sz="12" w:space="0" w:color="000000"/>
              <w:left w:val="nil"/>
              <w:bottom w:val="nil"/>
              <w:right w:val="nil"/>
            </w:tcBorders>
            <w:tcMar>
              <w:top w:w="-1" w:type="dxa"/>
              <w:left w:w="-1" w:type="dxa"/>
              <w:bottom w:w="-1" w:type="dxa"/>
              <w:right w:w="-1" w:type="dxa"/>
            </w:tcMar>
            <w:vAlign w:val="center"/>
          </w:tcPr>
          <w:p w14:paraId="077FDC6F" w14:textId="77777777" w:rsidR="000B1CCE" w:rsidRDefault="00000000">
            <w:pPr>
              <w:snapToGrid w:val="0"/>
              <w:jc w:val="center"/>
              <w:rPr>
                <w:rFonts w:ascii="宋体" w:eastAsia="宋体"/>
                <w:b/>
              </w:rPr>
            </w:pPr>
            <w:r>
              <w:rPr>
                <w:rFonts w:ascii="宋体" w:eastAsia="宋体" w:hAnsi="宋体"/>
                <w:b/>
              </w:rPr>
              <w:t>核心矛盾</w:t>
            </w:r>
          </w:p>
        </w:tc>
        <w:tc>
          <w:tcPr>
            <w:tcW w:w="3388" w:type="dxa"/>
            <w:tcBorders>
              <w:top w:val="single" w:sz="12" w:space="0" w:color="000000"/>
              <w:left w:val="nil"/>
              <w:bottom w:val="nil"/>
              <w:right w:val="nil"/>
            </w:tcBorders>
            <w:tcMar>
              <w:top w:w="-1" w:type="dxa"/>
              <w:left w:w="-1" w:type="dxa"/>
              <w:bottom w:w="-1" w:type="dxa"/>
              <w:right w:w="-1" w:type="dxa"/>
            </w:tcMar>
            <w:vAlign w:val="center"/>
          </w:tcPr>
          <w:p w14:paraId="4F384B9D" w14:textId="77777777" w:rsidR="000B1CCE" w:rsidRDefault="00000000">
            <w:pPr>
              <w:snapToGrid w:val="0"/>
              <w:jc w:val="center"/>
              <w:rPr>
                <w:rFonts w:ascii="宋体" w:eastAsia="宋体"/>
                <w:b/>
              </w:rPr>
            </w:pPr>
            <w:r>
              <w:rPr>
                <w:rFonts w:ascii="宋体" w:eastAsia="宋体" w:hAnsi="宋体"/>
                <w:b/>
              </w:rPr>
              <w:t>模式建构要求</w:t>
            </w:r>
          </w:p>
        </w:tc>
      </w:tr>
      <w:tr w:rsidR="000B1CCE" w14:paraId="576DA888" w14:textId="77777777">
        <w:trPr>
          <w:jc w:val="center"/>
        </w:trPr>
        <w:tc>
          <w:tcPr>
            <w:tcW w:w="2259" w:type="dxa"/>
            <w:tcBorders>
              <w:top w:val="single" w:sz="4" w:space="0" w:color="auto"/>
              <w:left w:val="nil"/>
              <w:bottom w:val="nil"/>
              <w:right w:val="nil"/>
            </w:tcBorders>
            <w:tcMar>
              <w:top w:w="-1" w:type="dxa"/>
              <w:left w:w="-1" w:type="dxa"/>
              <w:bottom w:w="-1" w:type="dxa"/>
              <w:right w:w="-1" w:type="dxa"/>
            </w:tcMar>
            <w:vAlign w:val="center"/>
          </w:tcPr>
          <w:p w14:paraId="188FBF83" w14:textId="77777777" w:rsidR="000B1CCE" w:rsidRDefault="00000000">
            <w:pPr>
              <w:snapToGrid w:val="0"/>
              <w:jc w:val="left"/>
              <w:rPr>
                <w:rFonts w:ascii="宋体" w:eastAsia="宋体"/>
              </w:rPr>
            </w:pPr>
            <w:r>
              <w:rPr>
                <w:rFonts w:ascii="宋体" w:eastAsia="宋体" w:hAnsi="宋体"/>
              </w:rPr>
              <w:t>高阶能力要求较为抽象</w:t>
            </w:r>
          </w:p>
        </w:tc>
        <w:tc>
          <w:tcPr>
            <w:tcW w:w="2872" w:type="dxa"/>
            <w:tcBorders>
              <w:top w:val="single" w:sz="4" w:space="0" w:color="auto"/>
              <w:left w:val="nil"/>
              <w:bottom w:val="nil"/>
              <w:right w:val="nil"/>
            </w:tcBorders>
            <w:tcMar>
              <w:top w:w="-1" w:type="dxa"/>
              <w:left w:w="-1" w:type="dxa"/>
              <w:bottom w:w="-1" w:type="dxa"/>
              <w:right w:w="-1" w:type="dxa"/>
            </w:tcMar>
            <w:vAlign w:val="center"/>
          </w:tcPr>
          <w:p w14:paraId="5DB2B72A" w14:textId="77777777" w:rsidR="000B1CCE" w:rsidRDefault="00000000">
            <w:pPr>
              <w:snapToGrid w:val="0"/>
              <w:jc w:val="left"/>
              <w:rPr>
                <w:rFonts w:ascii="宋体" w:eastAsia="宋体"/>
              </w:rPr>
            </w:pPr>
            <w:r>
              <w:rPr>
                <w:rFonts w:ascii="宋体" w:eastAsia="宋体" w:hAnsi="宋体"/>
              </w:rPr>
              <w:t>育人目标与课堂学习之间存在距离</w:t>
            </w:r>
          </w:p>
        </w:tc>
        <w:tc>
          <w:tcPr>
            <w:tcW w:w="3388" w:type="dxa"/>
            <w:tcBorders>
              <w:top w:val="single" w:sz="4" w:space="0" w:color="auto"/>
              <w:left w:val="nil"/>
              <w:bottom w:val="nil"/>
              <w:right w:val="nil"/>
            </w:tcBorders>
            <w:tcMar>
              <w:top w:w="-1" w:type="dxa"/>
              <w:left w:w="-1" w:type="dxa"/>
              <w:bottom w:w="-1" w:type="dxa"/>
              <w:right w:w="-1" w:type="dxa"/>
            </w:tcMar>
            <w:vAlign w:val="center"/>
          </w:tcPr>
          <w:p w14:paraId="2C29B767" w14:textId="77777777" w:rsidR="000B1CCE" w:rsidRDefault="00000000">
            <w:pPr>
              <w:snapToGrid w:val="0"/>
              <w:jc w:val="left"/>
              <w:rPr>
                <w:rFonts w:ascii="宋体" w:eastAsia="宋体"/>
              </w:rPr>
            </w:pPr>
            <w:r>
              <w:rPr>
                <w:rFonts w:ascii="宋体" w:eastAsia="宋体" w:hAnsi="宋体"/>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jc w:val="left"/>
              <w:rPr>
                <w:rFonts w:ascii="宋体" w:eastAsia="宋体"/>
              </w:rPr>
            </w:pPr>
            <w:r>
              <w:rPr>
                <w:rFonts w:ascii="宋体" w:eastAsia="宋体" w:hAnsi="宋体"/>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jc w:val="left"/>
              <w:rPr>
                <w:rFonts w:ascii="宋体" w:eastAsia="宋体"/>
              </w:rPr>
            </w:pPr>
            <w:r>
              <w:rPr>
                <w:rFonts w:ascii="宋体" w:eastAsia="宋体" w:hAnsi="宋体"/>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jc w:val="left"/>
              <w:rPr>
                <w:rFonts w:ascii="宋体" w:eastAsia="宋体"/>
              </w:rPr>
            </w:pPr>
            <w:r>
              <w:rPr>
                <w:rFonts w:ascii="宋体" w:eastAsia="宋体" w:hAnsi="宋体"/>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jc w:val="left"/>
              <w:rPr>
                <w:rFonts w:ascii="宋体" w:eastAsia="宋体"/>
              </w:rPr>
            </w:pPr>
            <w:r>
              <w:rPr>
                <w:rFonts w:ascii="宋体" w:eastAsia="宋体" w:hAnsi="宋体"/>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jc w:val="left"/>
              <w:rPr>
                <w:rFonts w:ascii="宋体" w:eastAsia="宋体"/>
              </w:rPr>
            </w:pPr>
            <w:r>
              <w:rPr>
                <w:rFonts w:ascii="宋体" w:eastAsia="宋体" w:hAnsi="宋体"/>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jc w:val="left"/>
              <w:rPr>
                <w:rFonts w:ascii="宋体" w:eastAsia="宋体"/>
              </w:rPr>
            </w:pPr>
            <w:r>
              <w:rPr>
                <w:rFonts w:ascii="宋体" w:eastAsia="宋体" w:hAnsi="宋体"/>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jc w:val="left"/>
              <w:rPr>
                <w:rFonts w:ascii="宋体" w:eastAsia="宋体"/>
              </w:rPr>
            </w:pPr>
            <w:r>
              <w:rPr>
                <w:rFonts w:ascii="宋体" w:eastAsia="宋体" w:hAnsi="宋体"/>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jc w:val="left"/>
              <w:rPr>
                <w:rFonts w:ascii="宋体" w:eastAsia="宋体"/>
              </w:rPr>
            </w:pPr>
            <w:r>
              <w:rPr>
                <w:rFonts w:ascii="宋体" w:eastAsia="宋体" w:hAnsi="宋体"/>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jc w:val="left"/>
              <w:rPr>
                <w:rFonts w:ascii="宋体" w:eastAsia="宋体"/>
              </w:rPr>
            </w:pPr>
            <w:r>
              <w:rPr>
                <w:rFonts w:ascii="宋体" w:eastAsia="宋体" w:hAnsi="宋体"/>
              </w:rPr>
              <w:t>加强动态支持与差异化教学</w:t>
            </w:r>
          </w:p>
        </w:tc>
      </w:tr>
    </w:tbl>
    <w:p w14:paraId="6985C2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由此可以看出，后续模式建构的重点不是再增加一种教学形式，而是建立一条能够贯通“能力目标—学习任务—深度学习—教学支持—能力发展”的完整机制。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综上所述，</w:t>
      </w:r>
      <w:r>
        <w:rPr>
          <w:rFonts w:ascii="宋体" w:eastAsia="宋体" w:hAnsi="宋体" w:cs="宋体"/>
          <w:sz w:val="24"/>
        </w:rPr>
        <w:t>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基于此，后续研究将重点围绕目标清晰化、任务结构化、学习深度化、支持</w:t>
      </w:r>
      <w:r>
        <w:rPr>
          <w:rFonts w:ascii="宋体" w:eastAsia="宋体" w:hAnsi="宋体" w:cs="宋体"/>
          <w:sz w:val="24"/>
        </w:rPr>
        <w:lastRenderedPageBreak/>
        <w:t>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（四）可见的学习视域下中学生高阶能力培育模型建构</w:t>
      </w:r>
    </w:p>
    <w:p w14:paraId="68AB1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模型提出的背景与逻辑</w:t>
      </w:r>
    </w:p>
    <w:p w14:paraId="06D5BA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期调查和持续实践使我们逐步明确，高阶能力培育的难点已经不在于教师是否认同其价值，而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w:t>
      </w:r>
      <w:r>
        <w:rPr>
          <w:rFonts w:ascii="宋体" w:eastAsia="宋体" w:hAnsi="宋体" w:cs="宋体"/>
          <w:sz w:val="24"/>
        </w:rPr>
        <w:lastRenderedPageBreak/>
        <w:t>模型与教学模型协同运行”的基本结构。</w:t>
      </w:r>
    </w:p>
    <w:p w14:paraId="283844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不是三个彼此独立的模型，而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总体设计上，模型以七维高阶能力发展为核心，将高阶思维与高阶社会情感作为相互协同的两个方面，以三层六阶和两境四维刻画两类能力的发展进阶；以“目标引领—任务驱动—探究展学—反馈迭代—反思迁移”的五环组织学生高阶学习过程；以“诊断发现—干预—实施—评估”组织教师循证调节；以“目标可见—思维可见—证据可见—进步可见—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能力目标 → 学习发生 → 教学支持 → 证据反馈 → 持续改进</w:t>
      </w:r>
      <w:r>
        <w:rPr>
          <w:rFonts w:ascii="宋体" w:eastAsia="宋体" w:hAnsi="宋体" w:cs="宋体" w:hint="eastAsia"/>
          <w:sz w:val="24"/>
        </w:rPr>
        <w:t>，</w:t>
      </w:r>
      <w:r>
        <w:rPr>
          <w:rFonts w:ascii="宋体" w:eastAsia="宋体" w:hAnsi="宋体" w:cs="宋体"/>
          <w:sz w:val="24"/>
        </w:rPr>
        <w:t>由此形成的模型不是一套固定的课堂程序，而是一套把能力发展、学生学习、教师支持和证据反馈连接起来的学校实践框架。</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Hattie &amp; Timperley, 2007），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能力进阶尺度同样以高阶能力理论为依据。高阶思维是非算法性的、需要在不确定条件下作出判断的加工过程（Ünal et al., 2026），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SOLO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境中分别观察。</w:t>
      </w:r>
    </w:p>
    <w:p w14:paraId="5019A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高阶能力培育总模型</w:t>
      </w:r>
    </w:p>
    <w:p w14:paraId="036008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构建的可见的学习视域下中学生高阶能力培育总模型，以中学生七维高阶能力发展为核心目标。其中，高阶思维包括分析、评价、创造，高阶社会情感包括责任担当、情绪调节、合作共情、包容创新。两类能力不是彼此分离的目标，而是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实践运行层面，总模型内部形成两个相互联系的子模型，一是以五环为主线的学习模型，解决学生怎样经历高阶学习的问题；二是以“诊断发现—干预—实施—评估”为主线的教学模型，解决教师怎样基于学习证据支持、判断和调整教学的问题。可见的学习构成两者之间的连接机制，学生的目标、思维、证据和进步逐步对教师可见，教师的诊断、支架、反馈和调节也逐步对学生可见，</w:t>
      </w:r>
      <w:r>
        <w:rPr>
          <w:rFonts w:ascii="宋体" w:eastAsia="宋体" w:hAnsi="宋体" w:cs="宋体"/>
          <w:sz w:val="24"/>
        </w:rPr>
        <w:lastRenderedPageBreak/>
        <w:t>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两个模型共同运行于学科教学和科创教育两个场域，在持续实践中形成不同的高阶学习样态，并通过多源证据不断接受检验和修正。</w:t>
      </w:r>
    </w:p>
    <w:p w14:paraId="27D67485" w14:textId="77777777" w:rsidR="000B1CCE" w:rsidRDefault="00000000">
      <w:pPr>
        <w:adjustRightInd w:val="0"/>
        <w:snapToGrid w:val="0"/>
        <w:spacing w:line="360" w:lineRule="auto"/>
        <w:ind w:firstLineChars="200" w:firstLine="480"/>
        <w:jc w:val="left"/>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图3-8  可见的学习视域下中学生高阶能力培育总模型图</w:t>
      </w:r>
    </w:p>
    <w:p w14:paraId="7535CB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总模型内部不是若干概念的简单叠加，而是围绕中学生高阶能力发展形成五层相互贯通的关系。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第四，五见构成连接教与学的可见机制。目标可见使方向明确，思维可</w:t>
      </w:r>
      <w:r>
        <w:rPr>
          <w:rFonts w:ascii="宋体" w:eastAsia="宋体" w:hAnsi="宋体" w:cs="宋体"/>
          <w:sz w:val="24"/>
        </w:rPr>
        <w:lastRenderedPageBreak/>
        <w:t>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第五，两域实践与循证改进保证模型持续生成。学科教学提供日常、连续的能力培育场域，科创教育提供真实、开放、综合的问题解决场域。模型在不同情境中不断接受实践检验，而不是一次建成后固定使用。</w:t>
      </w:r>
    </w:p>
    <w:p w14:paraId="30593F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指向高阶能力发展的学习模型</w:t>
      </w:r>
    </w:p>
    <w:p w14:paraId="6AD85C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图3-9  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不把高阶学习理解为若干高难度活动的叠加，而是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（2）能力目标——七维高阶能力</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七维能力不是一节课必须同时覆盖的指标清单。具体学习中，应根据学科内容、任务性质和学生基础确定重点，使能力目标少而准、能够进入学习过程，也能够留下真实表现。</w:t>
      </w:r>
    </w:p>
    <w:p w14:paraId="68767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（3）进阶尺度——三层六阶与两境四维</w:t>
      </w:r>
    </w:p>
    <w:p w14:paraId="239A3E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的发展不是由低到高的简单累加，而是在认知复杂度和情境复杂度不断提高的过程中逐步形成。三层六阶用于刻画高阶思维的发展，“学习理解—应用实践—迁移创新”呈现学习从理解知识到使用知识、再到迁移创新的基本进程，“记忆—理解—应用—分析—评价—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两套尺度分别从认知和情境两个方面描述发展要求，不机械对应，也不构成两套彼此独立的教学流程。</w:t>
      </w:r>
    </w:p>
    <w:p w14:paraId="6DE307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（4）学习过程——五环推进</w:t>
      </w:r>
    </w:p>
    <w:p w14:paraId="39B60D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学习模型的运行主线。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w:t>
      </w:r>
      <w:r>
        <w:rPr>
          <w:rFonts w:ascii="宋体" w:eastAsia="宋体" w:hAnsi="宋体" w:cs="宋体"/>
          <w:sz w:val="24"/>
        </w:rPr>
        <w:lastRenderedPageBreak/>
        <w:t>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五环不是五个彼此割裂的课堂步骤。真实学习中可以前后回返，但总体方向始终是推动学生由完成任务走向理解方法、由参与活动走向形成能力。</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Guo et al., 2025），这为反思迁移环节中的策略提炼和迁移练习提供了依据。</w:t>
      </w:r>
    </w:p>
    <w:p w14:paraId="352CCC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（5）学习表征——五见贯穿</w:t>
      </w:r>
    </w:p>
    <w:p w14:paraId="12A1DF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见不是学习模型之外再增加的一套流程，而是贯穿五环全过程的学习表征。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因此，五见的价值不在于增加课堂展示，而在于使学生能够依据目标和反馈调整学习，也使教师真正看见学生如何学习、在哪里遇到困难、哪里已经发生变化。</w:t>
      </w:r>
    </w:p>
    <w:p w14:paraId="102A5F26"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指向高阶能力培育的教学模型</w:t>
      </w:r>
    </w:p>
    <w:p w14:paraId="4490F6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图3-10  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（1）教学模型的基本逻辑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不在于替学生完成学习，而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 → 干预 → 实施 → 评估 → 进入下一轮调节</w:t>
      </w:r>
    </w:p>
    <w:p w14:paraId="1A1B13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（2）诊断发现——基于证据识别学习状态</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首先回答“学生现在在哪里”。教师依据前测、课堂回答、学习任务、已有作品和课堂表现，了解学生的知识基础、能力起点、主要困难和个体差异。诊断的目的不是给学生分类，而是发现学习目标与当前状态之间的差距。只有明确“学生现在在哪里”和“需要走到哪里”，后续任务、支架和反馈才有依据。</w:t>
      </w:r>
    </w:p>
    <w:p w14:paraId="6553AA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（3）干预——基于差异提供适切支持</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不是直接给出答案，而是通过适切的问题、任务和支持，使不同基础的学生都能够进入具有真实认知挑战的学习过程。</w:t>
      </w:r>
    </w:p>
    <w:p w14:paraId="3F6A3A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（4）实施——在真实学习中动态调节</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实施不是对既定教学设计的机械执行，而是根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不在于教师完成了多少教学环节，而在于教师能否依据学生的真实表现及时调整教学。</w:t>
      </w:r>
    </w:p>
    <w:p w14:paraId="3A02C9C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（5）评估——依据学习证据判断教学影响</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w:t>
      </w:r>
      <w:r>
        <w:rPr>
          <w:rFonts w:ascii="宋体" w:eastAsia="宋体" w:hAnsi="宋体" w:cs="宋体"/>
          <w:sz w:val="24"/>
        </w:rPr>
        <w:lastRenderedPageBreak/>
        <w:t>设置、任务设计、支架和反馈是否有效。评估结果不是终点，而是下一轮诊断和调整的起点，由此形成基于证据持续改进的专业行动方式。</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模型的运行依赖教师的专业判断。同一种教学方法在不同学生和任务中的效果差异明显，教师需要依据学生的即时表现决定何时提供支架、何时撤除支架，而不是按固定程序执行。模型在不同学科中的转化还涉及忠实执行与本地适应之间的平衡，本研究因此要求教师在每轮实践中说明对模型作了哪些调整及其理由，以区分核心要素的保留与形式上的变通（Cowen et al., 2015）。</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学习模型与教学模型的协同运行</w:t>
      </w:r>
    </w:p>
    <w:p w14:paraId="0549A8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（1）学生学习与教师教学的双向可见</w:t>
      </w:r>
    </w:p>
    <w:p w14:paraId="75DA1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能够真正协同，关键在于可见的学习。一方面，学生的目标、思维、证据和进步需要对教师可见。教师只有看见学生怎样理解问题、依据什么判断、在哪里遇到困难以及反馈后发生了什么变化，才能作出有依据的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学生以学习表现为教师提供调节依据，教师以目标、支架和反馈为学生提供学习依据。</w:t>
      </w:r>
    </w:p>
    <w:p w14:paraId="28334F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不是简单的一一对应关系。学生可能处于探究展学，教师此时既可能进行诊断，也可能实施追问和支架；学生进入反馈迭代，教师既可能提供干预，也可能依据新的学习证据重新判断。因此，教师的“诊断发现—干预—实施—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五环描述学习怎样向前推进，教师循证调节描述教学怎样围绕学习持续变化。二者共同构成“学习发生—证据呈现—教学调节—学习再发生”的动态过程，而不是把五个学习环节机械对应到四个教师步骤。</w:t>
      </w:r>
    </w:p>
    <w:p w14:paraId="0814F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场域虽然学习材料、任务性质和成果形态不同，但共同遵循同一基本逻辑，学生按照学习模型经历高阶学习，教师按照教学模型持续提供循证支持。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分层既回应了课题前期关于学习模型与课堂教学模式的研究设计，也为后续两域实践、典型样态提炼和多源证据评价提供了清晰的理论归属。</w:t>
      </w:r>
    </w:p>
    <w:p w14:paraId="4EDB4F17" w14:textId="77777777" w:rsidR="000B1CCE" w:rsidRDefault="00000000">
      <w:pPr>
        <w:adjustRightInd w:val="0"/>
        <w:snapToGrid w:val="0"/>
        <w:spacing w:line="360" w:lineRule="auto"/>
        <w:ind w:firstLineChars="200" w:firstLine="571"/>
        <w:rPr>
          <w:rFonts w:ascii="宋体" w:eastAsia="宋体" w:hAnsi="宋体" w:cs="宋体"/>
          <w:b/>
          <w:bCs/>
          <w:sz w:val="28"/>
          <w:szCs w:val="28"/>
        </w:rPr>
      </w:pPr>
      <w:r>
        <w:rPr>
          <w:rFonts w:ascii="宋体" w:eastAsia="宋体" w:hAnsi="宋体" w:cs="宋体" w:hint="eastAsia"/>
          <w:b/>
          <w:bCs/>
          <w:sz w:val="28"/>
          <w:szCs w:val="28"/>
        </w:rPr>
        <w:t>（五）学习模型与教学模型协同下的实践与迭代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文在可见的学习视域下，分别从学生怎样学、教师怎样教两个方面形成了高阶能力发展的学习模型与教学模型。学习模型以“目标引领—任务驱动—探究展学—反馈迭代—反思迁移”五环组织学生的高阶学习过程；教学模型则以</w:t>
      </w:r>
      <w:r>
        <w:rPr>
          <w:rFonts w:ascii="宋体" w:eastAsia="宋体" w:hAnsi="宋体" w:cs="宋体"/>
          <w:sz w:val="24"/>
        </w:rPr>
        <w:lastRenderedPageBreak/>
        <w:t>“诊断发现—干预—实施—评估”组织教师基于学习证据的持续调节。两者共同指向中学生七维高阶能力发展。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进入实践阶段后，我们关注的重点不再是模型结构是否完整，而是两个模型能否共同进入真实课堂和真实项目，能否真正改变学生的学习方式，能否帮助教师依据学生的学习证据作出更准确的教学判断。基于这一认识，课题组没有把两个模型作为两套彼此独立的程序加以推广，而是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学习模型与教学模型协同实践的框架和逻辑</w:t>
      </w:r>
    </w:p>
    <w:p w14:paraId="4071CE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（1）模型的实践框架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教师侧，教学并不是对五环的机械控制，而是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进。</w:t>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这一实践框架中，可见的学习不是附加在模型之外的理论标签，而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而不是凭经验估计学生应该已经会了。</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w:t>
      </w:r>
      <w:r>
        <w:rPr>
          <w:rFonts w:ascii="宋体" w:eastAsia="宋体" w:hAnsi="宋体" w:cs="宋体"/>
          <w:sz w:val="24"/>
        </w:rPr>
        <w:lastRenderedPageBreak/>
        <w:t>性质和学习周期作出具体转化。</w:t>
      </w:r>
    </w:p>
    <w:p w14:paraId="4CBF26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9"/>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b/>
          <w:bCs/>
          <w:szCs w:val="21"/>
        </w:rPr>
        <w:t>图3-11  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七维能力目标 → 学习模型与教学模型协同运行 → 两域实践 → 高阶学习样态生成 → 实践证据形成 → 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这一框架的意义在于，高阶能力培育不再停留于目标表述，而是通过学生学习、教师调节和实践证据之间的持续循环进入真实教育过程。</w:t>
      </w:r>
    </w:p>
    <w:p w14:paraId="73D66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（2）模型的实践逻辑</w:t>
      </w:r>
    </w:p>
    <w:p w14:paraId="035AB9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1）以七维高阶能力发展统领双模型实践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实践首先要解决的是“为什么实践”和“最终指向什么”。本研究不以课堂活动是否丰富、学生参与是否热烈作为主要成效判断，而是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无论是学生五环学习，还是教师循证调节，都不是为了完成某种固定程序，而是为了使抽象的能力要求进入真实学习过程。具体实践中，并不追求每一节课同时覆盖七个维度，而是根据学科内容、任务性质和学生基础确定重</w:t>
      </w:r>
      <w:r>
        <w:rPr>
          <w:rFonts w:ascii="宋体" w:eastAsia="宋体" w:hAnsi="宋体" w:cs="宋体"/>
          <w:sz w:val="24"/>
        </w:rPr>
        <w:t>点，使能力目标能够真正落到学习任务和学习表现上。可见的学习解决的是如何看见并促进学习发生，高阶能力培育解决的是学习最终应当走向哪里。</w:t>
      </w:r>
    </w:p>
    <w:p w14:paraId="19EB7D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2）以五环学习与教师循证调节协同推动学习发生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五环描述学生的学习怎样向前推进，循证调节描述教师怎样围绕学生学习不断调整教学。</w:t>
      </w:r>
    </w:p>
    <w:p w14:paraId="61698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3）以五见贯通学生学习与教师教学</w:t>
      </w:r>
    </w:p>
    <w:p w14:paraId="29836A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能够真正发生联系，关键在于学习是否可见。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需要强调的是，五种典型样态并不是五环的重新分类，也不是新的教学模式，而是学习模型在不同学科内容、任务类型和实践情境中呈现出的典型高阶学习形态。</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所形成的实践逻辑可以概括为以可见的学习为基本方式，以七维高阶能力发展为目标，以五环学习与教师循证调节为运行路径，以学科课堂和科创教育为实践场域，在实践中观察并提炼高阶学习样态，再依据多源证据反观模型、修正模型。其核心不在于不断增加新的概念，而在于让目标、学习、证据和改进之间建立起稳定联系。表3-31和表3-32分别呈现五环与可见的学习、高阶能力培育的对应关系，以及学生学习与教师循证调节的协同关系。</w:t>
      </w:r>
    </w:p>
    <w:p w14:paraId="4965DE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表3-31  五环实践中可见的学习与高阶能力培育的对应关系</w:t>
      </w:r>
    </w:p>
    <w:tbl>
      <w:tblPr>
        <w:tblW w:w="851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64260E6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五环</w:t>
            </w:r>
          </w:p>
        </w:tc>
        <w:tc>
          <w:tcPr>
            <w:tcW w:w="1821"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230464C2"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“可见”关键问题</w:t>
            </w:r>
          </w:p>
        </w:tc>
        <w:tc>
          <w:tcPr>
            <w:tcW w:w="1469"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7A9A354C"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学生</w:t>
            </w:r>
            <w:r>
              <w:rPr>
                <w:rStyle w:val="a7"/>
                <w:rFonts w:ascii="宋体" w:eastAsia="宋体" w:hAnsi="宋体" w:cs="宋体"/>
                <w:kern w:val="0"/>
                <w:szCs w:val="21"/>
                <w:lang w:bidi="ar"/>
              </w:rPr>
              <w:t>学习可见</w:t>
            </w:r>
          </w:p>
        </w:tc>
        <w:tc>
          <w:tcPr>
            <w:tcW w:w="0" w:type="auto"/>
            <w:tcBorders>
              <w:top w:val="single" w:sz="12" w:space="0" w:color="000000"/>
              <w:left w:val="nil"/>
              <w:bottom w:val="nil"/>
              <w:right w:val="nil"/>
            </w:tcBorders>
            <w:shd w:val="clear" w:color="auto" w:fill="EDEDED"/>
            <w:tcMar>
              <w:top w:w="-1" w:type="dxa"/>
              <w:left w:w="-1" w:type="dxa"/>
              <w:bottom w:w="-1" w:type="dxa"/>
              <w:right w:w="-1" w:type="dxa"/>
            </w:tcMar>
            <w:vAlign w:val="center"/>
          </w:tcPr>
          <w:p w14:paraId="08FBA81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教师</w:t>
            </w:r>
            <w:r>
              <w:rPr>
                <w:rStyle w:val="a7"/>
                <w:rFonts w:ascii="宋体" w:eastAsia="宋体" w:hAnsi="宋体" w:cs="宋体"/>
                <w:kern w:val="0"/>
                <w:szCs w:val="21"/>
                <w:lang w:bidi="ar"/>
              </w:rPr>
              <w:t>调节可见</w:t>
            </w:r>
          </w:p>
        </w:tc>
        <w:tc>
          <w:tcPr>
            <w:tcW w:w="2642"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396D0B9F"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高阶能力指向</w:t>
            </w:r>
          </w:p>
        </w:tc>
      </w:tr>
      <w:tr w:rsidR="000B1CCE" w14:paraId="54B06861" w14:textId="77777777">
        <w:trPr>
          <w:jc w:val="center"/>
        </w:trPr>
        <w:tc>
          <w:tcPr>
            <w:tcW w:w="976"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32AE267A"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目标引领</w:t>
            </w:r>
          </w:p>
        </w:tc>
        <w:tc>
          <w:tcPr>
            <w:tcW w:w="1821"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E06E0F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学什么？</w:t>
            </w:r>
          </w:p>
          <w:p w14:paraId="48F0A0D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学到什么程度？</w:t>
            </w:r>
          </w:p>
        </w:tc>
        <w:tc>
          <w:tcPr>
            <w:tcW w:w="1469"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2566A43"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目标提前告知</w:t>
            </w:r>
          </w:p>
          <w:p w14:paraId="58375B3D"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标准提前明确</w:t>
            </w:r>
          </w:p>
          <w:p w14:paraId="5EB4174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预期表现可见</w:t>
            </w:r>
          </w:p>
        </w:tc>
        <w:tc>
          <w:tcPr>
            <w:tcW w:w="0" w:type="auto"/>
            <w:tcBorders>
              <w:top w:val="single" w:sz="4" w:space="0" w:color="000000"/>
              <w:left w:val="nil"/>
              <w:bottom w:val="nil"/>
              <w:right w:val="nil"/>
            </w:tcBorders>
            <w:shd w:val="clear" w:color="auto" w:fill="FFFFFF"/>
            <w:tcMar>
              <w:top w:w="-1" w:type="dxa"/>
              <w:left w:w="-1" w:type="dxa"/>
              <w:bottom w:w="-1" w:type="dxa"/>
              <w:right w:w="-1" w:type="dxa"/>
            </w:tcMar>
            <w:vAlign w:val="center"/>
          </w:tcPr>
          <w:p w14:paraId="3DED58F4"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起点</w:t>
            </w:r>
            <w:r>
              <w:rPr>
                <w:rFonts w:ascii="宋体" w:eastAsia="宋体" w:hAnsi="宋体" w:cs="宋体" w:hint="eastAsia"/>
                <w:bCs/>
                <w:kern w:val="0"/>
                <w:szCs w:val="21"/>
                <w:lang w:bidi="ar"/>
              </w:rPr>
              <w:t>、</w:t>
            </w:r>
            <w:r>
              <w:rPr>
                <w:rFonts w:ascii="宋体" w:eastAsia="宋体" w:hAnsi="宋体" w:cs="宋体"/>
                <w:bCs/>
                <w:kern w:val="0"/>
                <w:szCs w:val="21"/>
                <w:lang w:bidi="ar"/>
              </w:rPr>
              <w:t>差距</w:t>
            </w:r>
            <w:r>
              <w:rPr>
                <w:rFonts w:ascii="宋体" w:eastAsia="宋体" w:hAnsi="宋体" w:cs="宋体" w:hint="eastAsia"/>
                <w:bCs/>
                <w:kern w:val="0"/>
                <w:szCs w:val="21"/>
                <w:lang w:bidi="ar"/>
              </w:rPr>
              <w:t>、</w:t>
            </w:r>
            <w:r>
              <w:rPr>
                <w:rFonts w:ascii="宋体" w:eastAsia="宋体" w:hAnsi="宋体" w:cs="宋体"/>
                <w:bCs/>
                <w:kern w:val="0"/>
                <w:szCs w:val="21"/>
                <w:lang w:bidi="ar"/>
              </w:rPr>
              <w:t>重点</w:t>
            </w:r>
          </w:p>
        </w:tc>
        <w:tc>
          <w:tcPr>
            <w:tcW w:w="2642"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57A6CE5"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能力目标显化</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依据学习任务确定重点</w:t>
            </w:r>
          </w:p>
        </w:tc>
      </w:tr>
      <w:tr w:rsidR="000B1CCE" w14:paraId="4F4E41C1"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EA12D4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任务驱动</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851CC30"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解决什么？</w:t>
            </w:r>
          </w:p>
          <w:p w14:paraId="55132268"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挑战在哪里？</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5A1BC8D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问题</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任务</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认知冲突可见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F5EBB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进入方式</w:t>
            </w:r>
            <w:r>
              <w:rPr>
                <w:rFonts w:ascii="宋体" w:eastAsia="宋体" w:hAnsi="宋体" w:cs="宋体" w:hint="eastAsia"/>
                <w:bCs/>
                <w:kern w:val="0"/>
                <w:szCs w:val="21"/>
                <w:lang w:bidi="ar"/>
              </w:rPr>
              <w:t>、</w:t>
            </w:r>
            <w:r>
              <w:rPr>
                <w:rFonts w:ascii="宋体" w:eastAsia="宋体" w:hAnsi="宋体" w:cs="宋体"/>
                <w:bCs/>
                <w:kern w:val="0"/>
                <w:szCs w:val="21"/>
                <w:lang w:bidi="ar"/>
              </w:rPr>
              <w:t>主要困难</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3611ACE"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83D58B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探究展学</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34802E08"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怎么想？</w:t>
            </w:r>
          </w:p>
          <w:p w14:paraId="3472B76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依据什么？</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2FF3DE9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思维</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观点</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证据</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合作可见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AF025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思维路径</w:t>
            </w:r>
            <w:r>
              <w:rPr>
                <w:rFonts w:ascii="宋体" w:eastAsia="宋体" w:hAnsi="宋体" w:cs="宋体" w:hint="eastAsia"/>
                <w:bCs/>
                <w:kern w:val="0"/>
                <w:szCs w:val="21"/>
                <w:lang w:bidi="ar"/>
              </w:rPr>
              <w:t>、</w:t>
            </w:r>
            <w:r>
              <w:rPr>
                <w:rFonts w:ascii="宋体" w:eastAsia="宋体" w:hAnsi="宋体" w:cs="宋体"/>
                <w:bCs/>
                <w:kern w:val="0"/>
                <w:szCs w:val="21"/>
                <w:lang w:bidi="ar"/>
              </w:rPr>
              <w:t>误区</w:t>
            </w:r>
            <w:r>
              <w:rPr>
                <w:rFonts w:ascii="宋体" w:eastAsia="宋体" w:hAnsi="宋体" w:cs="宋体" w:hint="eastAsia"/>
                <w:bCs/>
                <w:kern w:val="0"/>
                <w:szCs w:val="21"/>
                <w:lang w:bidi="ar"/>
              </w:rPr>
              <w:t>、</w:t>
            </w:r>
            <w:r>
              <w:rPr>
                <w:rFonts w:ascii="宋体" w:eastAsia="宋体" w:hAnsi="宋体" w:cs="宋体"/>
                <w:bCs/>
                <w:kern w:val="0"/>
                <w:szCs w:val="21"/>
                <w:lang w:bidi="ar"/>
              </w:rPr>
              <w:t>生成</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09F9F2B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分析、评价、合作共情、包容创新</w:t>
            </w:r>
          </w:p>
        </w:tc>
      </w:tr>
      <w:tr w:rsidR="000B1CCE" w14:paraId="28767F0D"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5B1F0CF4"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反馈迭代</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140E59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差在哪里？</w:t>
            </w:r>
          </w:p>
          <w:p w14:paraId="41B418A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怎样改进？</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3523DB1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差距</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反馈</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修订过程可见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983827"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变化</w:t>
            </w:r>
            <w:r>
              <w:rPr>
                <w:rFonts w:ascii="宋体" w:eastAsia="宋体" w:hAnsi="宋体" w:cs="宋体" w:hint="eastAsia"/>
                <w:bCs/>
                <w:kern w:val="0"/>
                <w:szCs w:val="21"/>
                <w:lang w:bidi="ar"/>
              </w:rPr>
              <w:t>、</w:t>
            </w:r>
            <w:r>
              <w:rPr>
                <w:rFonts w:ascii="宋体" w:eastAsia="宋体" w:hAnsi="宋体" w:cs="宋体"/>
                <w:bCs/>
                <w:kern w:val="0"/>
                <w:szCs w:val="21"/>
                <w:lang w:bidi="ar"/>
              </w:rPr>
              <w:t>支架</w:t>
            </w:r>
            <w:r>
              <w:rPr>
                <w:rFonts w:ascii="宋体" w:eastAsia="宋体" w:hAnsi="宋体" w:cs="宋体" w:hint="eastAsia"/>
                <w:bCs/>
                <w:kern w:val="0"/>
                <w:szCs w:val="21"/>
                <w:lang w:bidi="ar"/>
              </w:rPr>
              <w:t>、</w:t>
            </w:r>
            <w:r>
              <w:rPr>
                <w:rFonts w:ascii="宋体" w:eastAsia="宋体" w:hAnsi="宋体" w:cs="宋体"/>
                <w:bCs/>
                <w:kern w:val="0"/>
                <w:szCs w:val="21"/>
                <w:lang w:bidi="ar"/>
              </w:rPr>
              <w:t>调节</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9AEF83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64F4DA5B"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反思迁移</w:t>
            </w:r>
          </w:p>
        </w:tc>
        <w:tc>
          <w:tcPr>
            <w:tcW w:w="182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069BD96"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学会了什么？</w:t>
            </w:r>
          </w:p>
          <w:p w14:paraId="139AE5E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还能怎样用？</w:t>
            </w:r>
          </w:p>
        </w:tc>
        <w:tc>
          <w:tcPr>
            <w:tcW w:w="1469"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871C008"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方法</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迁移</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能力进步可见</w:t>
            </w:r>
          </w:p>
        </w:tc>
        <w:tc>
          <w:tcPr>
            <w:tcW w:w="161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EE0BDD5"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迁移水平</w:t>
            </w:r>
            <w:r>
              <w:rPr>
                <w:rFonts w:ascii="宋体" w:eastAsia="宋体" w:hAnsi="宋体" w:cs="宋体" w:hint="eastAsia"/>
                <w:bCs/>
                <w:kern w:val="0"/>
                <w:szCs w:val="21"/>
                <w:lang w:bidi="ar"/>
              </w:rPr>
              <w:t>、</w:t>
            </w:r>
            <w:r>
              <w:rPr>
                <w:rFonts w:ascii="宋体" w:eastAsia="宋体" w:hAnsi="宋体" w:cs="宋体"/>
                <w:bCs/>
                <w:kern w:val="0"/>
                <w:szCs w:val="21"/>
                <w:lang w:bidi="ar"/>
              </w:rPr>
              <w:t>能力发展</w:t>
            </w:r>
          </w:p>
        </w:tc>
        <w:tc>
          <w:tcPr>
            <w:tcW w:w="264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EDF86CC"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创造、包容创新、责任担当</w:t>
            </w:r>
          </w:p>
        </w:tc>
      </w:tr>
    </w:tbl>
    <w:p w14:paraId="4B7F95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表3-32  五环学习模型与教师循证调节的协同关系</w:t>
      </w:r>
    </w:p>
    <w:tbl>
      <w:tblPr>
        <w:tblW w:w="9845" w:type="dxa"/>
        <w:jc w:val="center"/>
        <w:tblBorders>
          <w:top w:val="none" w:sz="4" w:space="0" w:color="000000"/>
          <w:bottom w:val="none" w:sz="4" w:space="0" w:color="000000"/>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auto"/>
              <w:left w:val="nil"/>
              <w:bottom w:val="nil"/>
              <w:right w:val="nil"/>
              <w:tl2br w:val="nil"/>
              <w:tr2bl w:val="nil"/>
            </w:tcBorders>
            <w:tcMar>
              <w:top w:w="-1" w:type="dxa"/>
              <w:left w:w="-1" w:type="dxa"/>
              <w:bottom w:w="-1" w:type="dxa"/>
              <w:right w:w="-1" w:type="dxa"/>
            </w:tcMar>
            <w:vAlign w:val="center"/>
          </w:tcPr>
          <w:p w14:paraId="7899418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五环学习过程</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A73A2D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学生学习关键问题</w:t>
            </w:r>
          </w:p>
        </w:tc>
        <w:tc>
          <w:tcPr>
            <w:tcW w:w="1920" w:type="dxa"/>
            <w:tcBorders>
              <w:top w:val="single" w:sz="12" w:space="0" w:color="auto"/>
              <w:left w:val="nil"/>
              <w:bottom w:val="nil"/>
              <w:right w:val="nil"/>
              <w:tl2br w:val="nil"/>
              <w:tr2bl w:val="nil"/>
            </w:tcBorders>
            <w:tcMar>
              <w:top w:w="-1" w:type="dxa"/>
              <w:left w:w="-1" w:type="dxa"/>
              <w:bottom w:w="-1" w:type="dxa"/>
              <w:right w:w="-1" w:type="dxa"/>
            </w:tcMar>
            <w:vAlign w:val="center"/>
          </w:tcPr>
          <w:p w14:paraId="313A36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学生学习可见</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153ED4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教师循证调节</w:t>
            </w:r>
          </w:p>
        </w:tc>
        <w:tc>
          <w:tcPr>
            <w:tcW w:w="2040" w:type="dxa"/>
            <w:tcBorders>
              <w:top w:val="single" w:sz="12" w:space="0" w:color="auto"/>
              <w:left w:val="nil"/>
              <w:bottom w:val="nil"/>
              <w:right w:val="nil"/>
              <w:tl2br w:val="nil"/>
              <w:tr2bl w:val="nil"/>
            </w:tcBorders>
            <w:tcMar>
              <w:top w:w="-1" w:type="dxa"/>
              <w:left w:w="-1" w:type="dxa"/>
              <w:bottom w:w="-1" w:type="dxa"/>
              <w:right w:w="-1" w:type="dxa"/>
            </w:tcMar>
            <w:vAlign w:val="center"/>
          </w:tcPr>
          <w:p w14:paraId="2BC34C4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高阶能力指向</w:t>
            </w:r>
          </w:p>
        </w:tc>
      </w:tr>
      <w:tr w:rsidR="000B1CCE" w14:paraId="0370BBAC" w14:textId="77777777">
        <w:trPr>
          <w:jc w:val="center"/>
        </w:trPr>
        <w:tc>
          <w:tcPr>
            <w:tcW w:w="1565" w:type="dxa"/>
            <w:tcBorders>
              <w:top w:val="single" w:sz="4" w:space="0" w:color="auto"/>
              <w:left w:val="nil"/>
              <w:bottom w:val="nil"/>
              <w:right w:val="nil"/>
              <w:tl2br w:val="nil"/>
              <w:tr2bl w:val="nil"/>
            </w:tcBorders>
            <w:tcMar>
              <w:top w:w="-1" w:type="dxa"/>
              <w:left w:w="-1" w:type="dxa"/>
              <w:bottom w:w="-1" w:type="dxa"/>
              <w:right w:w="-1" w:type="dxa"/>
            </w:tcMar>
            <w:vAlign w:val="center"/>
          </w:tcPr>
          <w:p w14:paraId="126B130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目标引领</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30C62859"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学什么？</w:t>
            </w:r>
            <w:r>
              <w:rPr>
                <w:rFonts w:ascii="宋体" w:eastAsia="宋体" w:hAnsi="宋体" w:cs="宋体"/>
                <w:sz w:val="24"/>
              </w:rPr>
              <w:br/>
              <w:t>学到什么程度？</w:t>
            </w:r>
          </w:p>
        </w:tc>
        <w:tc>
          <w:tcPr>
            <w:tcW w:w="1920" w:type="dxa"/>
            <w:tcBorders>
              <w:top w:val="single" w:sz="4" w:space="0" w:color="auto"/>
              <w:left w:val="nil"/>
              <w:bottom w:val="nil"/>
              <w:right w:val="nil"/>
              <w:tl2br w:val="nil"/>
              <w:tr2bl w:val="nil"/>
            </w:tcBorders>
            <w:tcMar>
              <w:top w:w="-1" w:type="dxa"/>
              <w:left w:w="-1" w:type="dxa"/>
              <w:bottom w:w="-1" w:type="dxa"/>
              <w:right w:w="-1" w:type="dxa"/>
            </w:tcMar>
            <w:vAlign w:val="center"/>
          </w:tcPr>
          <w:p w14:paraId="3D069D4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目标、标准和预期表现可见</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41CC501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诊断学习起点，识别差距与能力重点</w:t>
            </w:r>
          </w:p>
        </w:tc>
        <w:tc>
          <w:tcPr>
            <w:tcW w:w="2040" w:type="dxa"/>
            <w:tcBorders>
              <w:top w:val="single" w:sz="4" w:space="0" w:color="auto"/>
              <w:left w:val="nil"/>
              <w:bottom w:val="nil"/>
              <w:right w:val="nil"/>
              <w:tl2br w:val="nil"/>
              <w:tr2bl w:val="nil"/>
            </w:tcBorders>
            <w:tcMar>
              <w:top w:w="-1" w:type="dxa"/>
              <w:left w:w="-1" w:type="dxa"/>
              <w:bottom w:w="-1" w:type="dxa"/>
              <w:right w:w="-1" w:type="dxa"/>
            </w:tcMar>
            <w:vAlign w:val="center"/>
          </w:tcPr>
          <w:p w14:paraId="562924AC"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明确重点能力目标</w:t>
            </w:r>
          </w:p>
        </w:tc>
      </w:tr>
      <w:tr w:rsidR="000B1CCE" w14:paraId="0568A37E"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6DC592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任务驱动</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1E54F254"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解决什么？</w:t>
            </w:r>
            <w:r>
              <w:rPr>
                <w:rFonts w:ascii="宋体" w:eastAsia="宋体" w:hAnsi="宋体" w:cs="宋体"/>
                <w:sz w:val="24"/>
              </w:rPr>
              <w:br/>
              <w:t>挑战在哪里？</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3BE14D1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问题、任务和认知冲突可见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D575D9F"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根据差异调整任务、支架和进入方式</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2BAF76AD"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分析、评价、责任担当</w:t>
            </w:r>
          </w:p>
        </w:tc>
      </w:tr>
      <w:tr w:rsidR="000B1CCE" w14:paraId="5700FAD5"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A54C7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探究展学</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17D2CD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怎么想？</w:t>
            </w:r>
            <w:r>
              <w:rPr>
                <w:rFonts w:ascii="宋体" w:eastAsia="宋体" w:hAnsi="宋体" w:cs="宋体"/>
                <w:sz w:val="24"/>
              </w:rPr>
              <w:br/>
              <w:t>依据什么？</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7A2CEFC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思维、观点、证据和合作过程可见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8F81C7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通过追问、点拨和资源支持动态调节</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697D83"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分析、评价、合作共情、包容创新</w:t>
            </w:r>
          </w:p>
        </w:tc>
      </w:tr>
      <w:tr w:rsidR="000B1CCE" w14:paraId="7AE5252B"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5BA39AF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反馈迭代</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E7CCA8D"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差在哪里？</w:t>
            </w:r>
            <w:r>
              <w:rPr>
                <w:rFonts w:ascii="宋体" w:eastAsia="宋体" w:hAnsi="宋体" w:cs="宋体"/>
                <w:sz w:val="24"/>
              </w:rPr>
              <w:br/>
              <w:t>怎样改进？</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04734E61"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差距、反馈和修订过程可见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569299D5"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判断学习变化，调整反馈与支架</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245BDE"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评价、情绪调节、责任担当</w:t>
            </w:r>
          </w:p>
        </w:tc>
      </w:tr>
      <w:tr w:rsidR="000B1CCE" w14:paraId="47BC8FAD" w14:textId="77777777">
        <w:trPr>
          <w:jc w:val="center"/>
        </w:trPr>
        <w:tc>
          <w:tcPr>
            <w:tcW w:w="1565" w:type="dxa"/>
            <w:tcBorders>
              <w:top w:val="nil"/>
              <w:left w:val="nil"/>
              <w:bottom w:val="single" w:sz="12" w:space="0" w:color="auto"/>
              <w:right w:val="nil"/>
              <w:tl2br w:val="nil"/>
              <w:tr2bl w:val="nil"/>
            </w:tcBorders>
            <w:tcMar>
              <w:top w:w="-1" w:type="dxa"/>
              <w:left w:w="-1" w:type="dxa"/>
              <w:bottom w:w="-1" w:type="dxa"/>
              <w:right w:w="-1" w:type="dxa"/>
            </w:tcMar>
            <w:vAlign w:val="center"/>
          </w:tcPr>
          <w:p w14:paraId="43CFD47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反思迁移</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1715A33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学会了什么？</w:t>
            </w:r>
            <w:r>
              <w:rPr>
                <w:rFonts w:ascii="宋体" w:eastAsia="宋体" w:hAnsi="宋体" w:cs="宋体"/>
                <w:sz w:val="24"/>
              </w:rPr>
              <w:br/>
              <w:t>还能怎样用？</w:t>
            </w:r>
          </w:p>
        </w:tc>
        <w:tc>
          <w:tcPr>
            <w:tcW w:w="1920" w:type="dxa"/>
            <w:tcBorders>
              <w:top w:val="nil"/>
              <w:left w:val="nil"/>
              <w:bottom w:val="single" w:sz="12" w:space="0" w:color="auto"/>
              <w:right w:val="nil"/>
              <w:tl2br w:val="nil"/>
              <w:tr2bl w:val="nil"/>
            </w:tcBorders>
            <w:tcMar>
              <w:top w:w="-1" w:type="dxa"/>
              <w:left w:w="-1" w:type="dxa"/>
              <w:bottom w:w="-1" w:type="dxa"/>
              <w:right w:w="-1" w:type="dxa"/>
            </w:tcMar>
            <w:vAlign w:val="center"/>
          </w:tcPr>
          <w:p w14:paraId="3423E06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方法、迁移和能力进步可见</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5F64C4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评估迁移表现，判断能力发展</w:t>
            </w:r>
          </w:p>
        </w:tc>
        <w:tc>
          <w:tcPr>
            <w:tcW w:w="2040" w:type="dxa"/>
            <w:tcBorders>
              <w:top w:val="nil"/>
              <w:left w:val="nil"/>
              <w:bottom w:val="single" w:sz="12" w:space="0" w:color="auto"/>
              <w:right w:val="nil"/>
              <w:tl2br w:val="nil"/>
              <w:tr2bl w:val="nil"/>
            </w:tcBorders>
            <w:tcMar>
              <w:top w:w="-1" w:type="dxa"/>
              <w:left w:w="-1" w:type="dxa"/>
              <w:bottom w:w="-1" w:type="dxa"/>
              <w:right w:w="-1" w:type="dxa"/>
            </w:tcMar>
            <w:vAlign w:val="center"/>
          </w:tcPr>
          <w:p w14:paraId="37DA2B51"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创造、包容创新、责任担当</w:t>
            </w:r>
          </w:p>
        </w:tc>
      </w:tr>
    </w:tbl>
    <w:p w14:paraId="27E0C4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张表并不是把五环与教师四个调节环节作机械对应，而是从实践角度说明，学生学习推进到不同状态时，教师需要关注什么证据、作出怎样的判断和调节。其核心仍然是让学生真实学习成为教师改进教学的依据。</w:t>
      </w:r>
    </w:p>
    <w:p w14:paraId="74CFF4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学科课堂域——五环引领下的高阶能力培育实践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不是改变所有教学形式，而是改变学习发生的质量。教师循证调节则嵌入五环全过程，依据学生学习证据不断调整目标、任务、支架和反馈。</w:t>
      </w:r>
    </w:p>
    <w:p w14:paraId="4521E8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（1）目标引领——以能力目标明确学习进阶方向</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目标引领首先解决课堂“往哪里走”的问题。实践中，我们要求教师把课程标准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ACD20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4587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案例片段｜语文《拿来主义》第二课时——把“读懂观点”转化为“依据证据形成判断”</w:t>
            </w:r>
          </w:p>
          <w:p w14:paraId="422F9D2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胡志禹老师的课例在课前即以预习任务和学习表现了解学生起点，并把“观点—证据—解释”作为课堂高阶学习的重要成功标准。学生不是停留在理解鲁迅提出了什么观点，而是需要说明依据、回应质疑并根据新的证据修订判断。目标由知识理解转化为可观察的论证表现，同时也成为教师后续诊断、追问和反馈的依据。</w:t>
            </w:r>
          </w:p>
        </w:tc>
      </w:tr>
    </w:tbl>
    <w:p w14:paraId="7C0185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（2）任务驱动——以进阶任务激活高阶学习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只有在解决具有一定复杂度的问题时才会被真正调用。因此，任务驱动不是增加练习量，而是把能力目标转化为必须经过思考才能完成的学习任务。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D8F5AD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B90F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案例片段｜物理《质量的测量》第二课时——“校园网球质检员”的任务链</w:t>
            </w:r>
          </w:p>
          <w:p w14:paraId="3198CA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肖岩老师将原来“按步骤使用托盘天平”的教学重构为“校园网球质检</w:t>
            </w:r>
            <w:r>
              <w:rPr>
                <w:rFonts w:ascii="宋体" w:eastAsia="宋体" w:hAnsi="宋体" w:cs="宋体"/>
                <w:sz w:val="24"/>
              </w:rPr>
              <w:lastRenderedPageBreak/>
              <w:t>员”真实任务。学生依次经历器材认识与调平、实验方案设计、网球质量测量和质检报告撰写。尤其在方案设计环节，学生需要自主选择器材、确定步骤、设计记录表，并在小组互审后修改方案。任务由“会操作”逐步走向“会设计、会论证、会质检”，学生留下观察记录单、实验方案表、数据记录和质检报告等过程证据。</w:t>
            </w:r>
          </w:p>
        </w:tc>
      </w:tr>
    </w:tbl>
    <w:p w14:paraId="0F9D81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（3）探究展学——以深度探究促进思维外显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学生只呈现最后答案，教师很难判断其高阶思维是否真正发生。因此，探究展学的核心不是“让学生多说”，而是让思维过程进入课堂。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一环节，错误和分歧并非需要迅速消除的“噪音”，恰恰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6E5DEC7"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1C2A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案例片段｜物理《光的折射》——从实验数据到共同建构</w:t>
            </w:r>
          </w:p>
          <w:p w14:paraId="42BC25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姜惠轶老师组织学生以小组实验获得多路径数据，并把异常数据、不同解释带入全班讨论。学生不仅报告实验结果，还要说明数据如何支持结论；投屏答辩和同伴纠错使不同小组的判断能够相互质询、修正。课堂由“做实验—报结论”转向“用数据解释—在质疑中共同归纳—修正模型”，为协同探究和证据论证留下了清晰过程。</w:t>
            </w:r>
          </w:p>
        </w:tc>
      </w:tr>
    </w:tbl>
    <w:p w14:paraId="7BA052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（4）反馈迭代——以学习证据推动持续改进</w:t>
      </w:r>
    </w:p>
    <w:p w14:paraId="508CF3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反馈迭代是五环中最能体现可见的学习价值的环节。评价不再只是课后判断学生“会不会”，而是根据学生已经呈现的学习证据，及时告诉学生与目标之间还存在什么差距，并推动下一步行动。高质量反馈应当指向思维和策略，而不是简单给出结论。</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我们尤其重视二次学习的发生。第一次回答、第一次方案、第一次作品并不是终点，只有在反馈后出现再次表达、再次论证、再次设计，才能看见学生是否真正利用反馈改进学习。教师也由此从评价结果转向判断影响，自己的提问、</w:t>
      </w:r>
      <w:r>
        <w:rPr>
          <w:rFonts w:ascii="宋体" w:eastAsia="宋体" w:hAnsi="宋体" w:cs="宋体"/>
          <w:sz w:val="24"/>
        </w:rPr>
        <w:lastRenderedPageBreak/>
        <w:t>支架和反馈是否真正促成了学生变化。</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49A87E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5E4947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案例片段｜英语写作——从“有条理”到“有新意”的三级反馈</w:t>
            </w:r>
          </w:p>
          <w:p w14:paraId="3C4816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李静老师以2026年上海中考英语作文为载体，把评价标准前置，并在过程性作品基础上实施“教师—同伴—自我”三级反馈。学生围绕外国友人Jim的开放性问题形成观点、提出建议并说明理由，重点不是给出唯一答案，而是检查论证链是否完整、理由是否充分、建议是否具体可行。反馈后学生再次修改作品，使思维漏洞、修改依据和表达进阶都有迹可循。</w:t>
            </w:r>
          </w:p>
        </w:tc>
      </w:tr>
    </w:tbl>
    <w:p w14:paraId="275D2E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（5）反思迁移——以反思迁移促进能力进阶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一节课完成，并不意味着能力形成。高阶能力真正稳定，需要学生能够从具体任务中提炼方法，并在新的情境中再次使用。反思迁移因此不是简单写一段“学习感受”，而是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1372802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6476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案例片段｜语文物件类具象化写作——从课堂方法到家庭旧物</w:t>
            </w:r>
          </w:p>
          <w:p w14:paraId="3CBF56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王尤迪老师把“概念性名词—具象化特写—场景铺陈—人事相融—寄寓情思”作为学生可见的写作进阶路径。课堂完成分层写作和量表反馈后，学生回到家庭真实情境，选择旧蒲扇、木梳、铁皮盒等老物件完成新的写作片段，并依据同一量表再次修改。迁移的重点不在换一个题目，而在学生能否把课堂形成的具象化方法独立用于陌生物件和新的情感表达。</w:t>
            </w:r>
          </w:p>
        </w:tc>
      </w:tr>
    </w:tbl>
    <w:p w14:paraId="2AABCF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科创教育域——五环引领下的高阶能力培育实践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是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（1）目标引领——以真实问题明确项目育人目标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2454E7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A9BF4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案例片段｜机械臂路径规划——从“作品成功”转向“工程判断可见”</w:t>
            </w:r>
          </w:p>
          <w:p w14:paraId="6BFF0A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梁芳老师把工业机械臂分拣任务校本化为“智慧校园垃圾分类分拣”，并在项目开始时前置评价标尺。项目不仅要求机械臂完成路径运行，还要求学生说明路径设计依据、记录耗时与碰撞/越界情况、解释故障原因并完成改进。成果目标与能力目标同步呈现，使项目从“做出作品”转向“用证据作出工程判断”。</w:t>
            </w:r>
          </w:p>
        </w:tc>
      </w:tr>
    </w:tbl>
    <w:p w14:paraId="27E10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中的任务不是教师预设的一串操作步骤，而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411795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29E7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案例片段｜机械臂路径规划——任务链与证据链同步推进</w:t>
            </w:r>
          </w:p>
          <w:p w14:paraId="53A7B6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该项目依次留下路径草图、双方案设计、实测数据、故障排查记录和项目成果。学生不是按照教师指定路线运行，而是需要提出至少两套路径方案，进行实测并记录耗时、碰撞、越界等信息，再据此比较权衡。任务推进的每一步同时形成证据，使教师能够判断学生究竟是在机械操作，还是已经进入工程分析与方案决策。</w:t>
            </w:r>
          </w:p>
        </w:tc>
      </w:tr>
    </w:tbl>
    <w:p w14:paraId="0D6999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（3）探究展学——以设计实验深化实践探究</w:t>
      </w:r>
    </w:p>
    <w:p w14:paraId="27453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学习的高阶性，往往体现在学生能否把想法变成可验证的方案。设计草图、实验假设、参数选择、原型测试、阶段答辩，都是学生把思考外显出来的方式。教师不替学生直接决定“哪个方案最好”，而是通过追问“为什么这样设计”“依据什么判断”“如果条件变化会怎样”，促使学生把直觉转化为可讨论、</w:t>
      </w:r>
      <w:r>
        <w:rPr>
          <w:rFonts w:ascii="宋体" w:eastAsia="宋体" w:hAnsi="宋体" w:cs="宋体"/>
          <w:sz w:val="24"/>
        </w:rPr>
        <w:lastRenderedPageBreak/>
        <w:t>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过程中，学生的失败记录具有特别价值。原型不能运行、测试数据不稳定、方案出现冲突，并不意味着项目失败；相反，它们提供了重新分析问题的机会。只要学生能够解释失败原因、提出新的验证办法并调整方案，这些过程本身就是问题解决能力和工程思维发展的证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A921E1"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745C1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案例片段｜机械臂路径规划——“现象—猜想—验证—修复”故障探究</w:t>
            </w:r>
          </w:p>
          <w:p w14:paraId="1A1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面对机械臂运行中的异常，学生使用故障排查单记录具体现象，提出可能原因，再通过调整参数、检查结构和重新运行进行验证。班级进一步把典型故障及修复方式汇入资源库。失败由此不再只是需要教师“排除”的问题，而成为学生提出解释、验证假设和积累工程经验的重要学习资源。</w:t>
            </w:r>
          </w:p>
        </w:tc>
      </w:tr>
    </w:tbl>
    <w:p w14:paraId="54859A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（4）反馈迭代——以测试评价促进方案优化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ADF5675"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28FB3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案例片段｜机械臂路径规划——用测试结果推动二次修改</w:t>
            </w:r>
          </w:p>
          <w:p w14:paraId="4DF5D4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路径完成实测后，学生并不以“能运行”为终点，而是依据耗时、抬升高度、碰撞、越界等记录进行比较，并对不稳定路径继续修改。反馈直接进入下一轮方案调整，使“第一次方案—测试证据—修改依据—再次运行”形成清晰迭代链。</w:t>
            </w:r>
          </w:p>
        </w:tc>
      </w:tr>
    </w:tbl>
    <w:p w14:paraId="1504AC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（5）反思迁移——以成果应用促进迁移创新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完成后，学生容易把注意力停留在“作品成功了”。我们更关注的是，学生能否从项目中提炼出可迁移的问题解决方法，并把它带到新的情境。当学生能够解释“这次项目让我学会了怎样解决一类问题”，而不只是“我做出了什么”，科创学习才真正转化为能力。</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47189C9"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68478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案例片段｜机械臂路径规划——从垃圾分拣迁移到新的工程场景</w:t>
            </w:r>
          </w:p>
          <w:p w14:paraId="2309A7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项目结束后，学生将路径规划与故障排查经验迁移到图书上架、材料运输等新的任务情境，重新考虑路线、空间限制和运行效率。迁移要求学生不复制原方</w:t>
            </w:r>
            <w:r>
              <w:rPr>
                <w:rFonts w:ascii="宋体" w:eastAsia="宋体" w:hAnsi="宋体" w:cs="宋体"/>
                <w:sz w:val="24"/>
              </w:rPr>
              <w:lastRenderedPageBreak/>
              <w:t>案，而是根据新任务约束重新设计，使项目中形成的“比较—验证—修复—优化”方法获得新的应用。</w:t>
            </w:r>
          </w:p>
        </w:tc>
      </w:tr>
    </w:tbl>
    <w:p w14:paraId="52BFAE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4. 两域实践中形成的高阶学习典型样态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不是预设流程，而是从实践中抽取出的典型表现；它们既帮助我们描述高阶学习“长什么样”，也为后续观察和评价提供了更加具体的参照。</w:t>
      </w:r>
    </w:p>
    <w:p w14:paraId="29AD50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这一样态突出学生是否真正进入具有现实意义的任务情境，并在约束条件下作出判断和行动。其高阶性不在于“情境真实”本身，而在于学生需要筛选信息、明确问题、调用知识并承担任务责任。</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E813C8"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0199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案例片段｜主案例一｜吴薇《捍卫国家利益》</w:t>
            </w:r>
          </w:p>
          <w:p w14:paraId="1FF004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案例以AI仿真冲突情境为主要载体，让学生面对国家利益与个人选择发生张力的真实价值情境作出判断，并说明理由、调整应对策略。主样态定位为“真实情境的任务性实践”，同时呈现“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C098F1D"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F4DF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案例片段｜主案例二｜肖岩《质量的测量》第二课时</w:t>
            </w:r>
          </w:p>
          <w:p w14:paraId="7E2211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校园网球质检员”真实角色贯穿课堂，学生需要自主设计实验、测量网球质量、依据标准作出是否合格的判断并形成质检报告。主样态定位为“真实情境的任务性实践”，同时呈现“方案比较的验证性实践”和“证据支撑的论证性实践”特征。</w:t>
            </w:r>
          </w:p>
        </w:tc>
      </w:tr>
    </w:tbl>
    <w:p w14:paraId="15C453D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这一样态突出学生面对多个可能方案时，能否建立比较标准，并利用实验、计算、调查或数据验证不同方案的优劣。其核心不在“方案多”，而在于选择过程是否建立在证据和条件判断之上。</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D565B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19919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案例片段｜主案例一｜梁芳“机械臂路径规划”</w:t>
            </w:r>
          </w:p>
          <w:p w14:paraId="396D9E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学生设计两套路径并进行对照实测，记录运行耗时、抬升高度、碰撞、越界等数据，在比较权衡后确定方案，并通过故障排查继续修正。主样态定位为“方案比较的验证性实践”，同时呈现“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85B7D74"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3E051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案例片段｜主案例二｜数学案例（按既定分工保留）</w:t>
            </w:r>
          </w:p>
          <w:p w14:paraId="7F9B6AC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前期案例分工，数学案例承担第二个“方案比较的验证性实践”主案例。正式纳入时应以现有真实材料为准，重点呈现两种以上解法或模型、明确比较标准，并依据计算、数据、图形或模型检验作出判断；本稿不增造尚未提供的具体情节。</w:t>
            </w:r>
          </w:p>
        </w:tc>
      </w:tr>
    </w:tbl>
    <w:p w14:paraId="38E891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这一样态突出观点怎样被证据支持、质疑和修正。学生需要区分观点与事实，判断证据是否相关、可靠、充分，并在新的证据出现时调整原有结论。其关键是形成“观点—证据—解释—修订”的完整链条。</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Kuhn et al., 2000）。论证性实践要求学生说明依据、回应质疑并修正判断，为学生认识论理解的发展提供了课堂条件。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2643476"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F665E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案例片段｜主案例一｜胡志禹《拿来主义》第二课时</w:t>
            </w:r>
          </w:p>
          <w:p w14:paraId="053236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堂围绕“观点—证据—解释”展开。学生基于文本和现实材料形成初始判断，在质疑、回应和教师追问中补充证据、修正解释，并通过反馈迭代形成更有依据的观点。主样态定位为“证据支撑的论证性实践”，同时呈现“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34A88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6E6B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案例片段｜主案例二｜李静英语写作：从“有条理”到“有新意”</w:t>
            </w:r>
          </w:p>
          <w:p w14:paraId="02257D7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开放性写作问题回应外国友人Jim的困惑，需要提出建议并说明理由。评价标准前置、过程性作品分析以及“教师—同伴—自我”三级反馈使论证链、证据和修改过程持续可见。主样态定位为“证据支撑的论证性实践”，同时呈现“真实情境的任务性实践”和“综合迁移的创新性实践”特征。</w:t>
            </w:r>
          </w:p>
        </w:tc>
      </w:tr>
    </w:tbl>
    <w:p w14:paraId="0D5274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F40018A"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0C636A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案例片段｜主案例一｜姜惠轶《光的折射》</w:t>
            </w:r>
          </w:p>
          <w:p w14:paraId="3F2BD2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小组实验、多路径数据、异常数据讨论、投屏答辩和同伴纠错共同构成学习过程。学生在比较数据和回应质疑中共同归纳规律、修正解释并逐步建构模型。主样态定位为“协同探究的建构性实践”，同时呈现“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8E14E3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65126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案例片段｜主案例二｜董丹《秋天的怀念》第二课时</w:t>
            </w:r>
          </w:p>
          <w:p w14:paraId="0E2E7F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既定样态分工，本案例重点呈现不同生命感悟在倾听、质疑、回应和共同深化中的认识建构，同时保留文本解读向现实生命情境迁移的特征。主样态定位为“协同探究的建构性实践”，伴生“综合迁移的创新性实践”和“证据支撑的论证性实践”。正式表述以案例中已经形成的个体初始理解、小组交流和共同成果为证据，不把一般小组活动直接等同于协同建构。</w:t>
            </w:r>
          </w:p>
        </w:tc>
      </w:tr>
    </w:tbl>
    <w:p w14:paraId="6681B0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能否把已经形成的知识、方法和策略带入新的问题，并根据新条件重新组合、调整和创造。真正的创新不是简单更换作品名称，而是能够说明原有方法如何迁移、条件发生了什么变化，以及为什么需要重新设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325F10"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C35F8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案例片段｜主案例一｜王尤迪“物件类具象化写作”</w:t>
            </w:r>
          </w:p>
          <w:p w14:paraId="0D9C10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从课前“凳子”概念化表达出发，经历由材质细节到场景、人事和情感落点的写作进阶，再把方法迁移到家庭旧物写作，并依据量表进行二次修改。主样态定位为“综合迁移的创新性实践”，同时呈现“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A19902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245B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案例片段｜主案例二｜杨冬冬《内能》单元</w:t>
            </w:r>
          </w:p>
          <w:p w14:paraId="68DAB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热机模型经历V1—V2—V3持续迭代：根据漏气、散热、热源等问题基于物理原理进行修正；随后又把比热容、热传递等知识迁移到校园热岛治理，形成校园热地图和“微降温”方案。主样态定位为“综合迁移的创新性实践”，同时呈现“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714C2A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基于实践证据的模型迭代与优化</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建构并不是本研究的终点。我们更关注的是，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是依托学科研究课、课例研讨、科创项目等持续开展行动研究，按照“实践—证据采集—问题诊断—方案改进—再次实践—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研究不断深入，我们对模型的认识也经历了由“建构一个可操作的学习路径”向“形成学习、教学、实践与评价相互贯通的育人系统”的变化。最终形成的2.0版并不是对原有模型的简单增加和重新命名，而是实践证据推动下的进</w:t>
      </w:r>
      <w:r>
        <w:rPr>
          <w:rFonts w:ascii="宋体" w:eastAsia="宋体" w:hAnsi="宋体" w:cs="宋体" w:hint="eastAsia"/>
          <w:sz w:val="24"/>
        </w:rPr>
        <w:lastRenderedPageBreak/>
        <w:t>一步整合。从迭代结果看，总模型主要发生了结构性迭代，学习模型和教学模型则主要发生了内涵与运行机制上的迭代。</w:t>
      </w:r>
    </w:p>
    <w:p w14:paraId="6B80FB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最终形成的2.0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持续迭代优化。</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2.0版把迁移列为高阶思维的核心目标之一，强调能力在新情境中的运用；学生问卷沿用研究设计阶段确定的创造维度进行测量，因此本报告的统计结果仍以创造呈现。</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这种变化不是模型要素的简单增加，而是不同研究成果之间关系的重新建立，使模型从一条实践路径逐渐发展为具有目标、过程、支持、场域、表现和反馈机制的完整育人系统。</w:t>
      </w:r>
    </w:p>
    <w:p w14:paraId="724CF63F" w14:textId="77777777" w:rsidR="000B1CCE" w:rsidRDefault="00000000">
      <w:pPr>
        <w:spacing w:after="160"/>
        <w:jc w:val="center"/>
      </w:pPr>
      <w:r>
        <w:rPr>
          <w:rFonts w:ascii="宋体" w:eastAsia="宋体" w:hAnsi="宋体"/>
          <w:noProof/>
        </w:rPr>
        <w:lastRenderedPageBreak/>
        <w:drawing>
          <wp:inline distT="0" distB="0" distL="114300" distR="114300" wp14:anchorId="5C10EF54" wp14:editId="10BA5950">
            <wp:extent cx="5200650" cy="3467735"/>
            <wp:effectExtent l="0" t="0" r="0" b="8890"/>
            <wp:docPr id="38" name="图片 38" descr="29c4aad0-cbf1-486b-a1bc-a40546330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9c4aad0-cbf1-486b-a1bc-a405463302fe"/>
                    <pic:cNvPicPr>
                      <a:picLocks noChangeAspect="1"/>
                    </pic:cNvPicPr>
                  </pic:nvPicPr>
                  <pic:blipFill>
                    <a:blip r:embed="rId20"/>
                    <a:stretch>
                      <a:fillRect/>
                    </a:stretch>
                  </pic:blipFill>
                  <pic:spPr>
                    <a:xfrm>
                      <a:off x="0" y="0"/>
                      <a:ext cx="5200650" cy="3467735"/>
                    </a:xfrm>
                    <a:prstGeom prst="rect">
                      <a:avLst/>
                    </a:prstGeom>
                  </pic:spPr>
                </pic:pic>
              </a:graphicData>
            </a:graphic>
          </wp:inline>
        </w:drawing>
      </w:r>
      <w:r>
        <w:rPr>
          <w:rFonts w:ascii="宋体" w:eastAsia="宋体" w:hAnsi="宋体"/>
        </w:rPr>
        <w:t>图3-12  可见的学习视域下中学生高阶能力培育模型（2.0版）</w:t>
      </w:r>
    </w:p>
    <w:p w14:paraId="0D8FBC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（2）学习模型内涵进阶迭代</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五环的基本结构在多轮实践中保持了相对稳定。真正发生变化的，不是五个环节的名称，而是我们对每一环节“为什么存在、怎样发挥作用、依据什么判断有效”的理解不断深化。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研究初期，“目标引领—任务驱动—探究展学—反馈迭代—反思迁移”更多解决教学实践中“高阶学习怎样组织”的问题。随着课例研究的深入，我们越来越关注五环内部的学习质量。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例如，目标引领不再只是教师呈现教学目标，而是要求学生真正理解学习方向、成功标准以及本次学习需要达到的表现水平；任务驱动不再等同于设计活动，而是要求任务能够形成真实的认知挑战；探究展学也不以学生是否发言、讨论作为判断，而是关注分析、证据、观点及协商过程是否真正外显；反馈迭代不仅意味着教师给出评价，更要求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w:t>
      </w:r>
      <w:r>
        <w:rPr>
          <w:rFonts w:ascii="宋体" w:eastAsia="宋体" w:hAnsi="宋体" w:cs="宋体" w:hint="eastAsia"/>
          <w:sz w:val="24"/>
        </w:rPr>
        <w:lastRenderedPageBreak/>
        <w:t>习的关键并不是“经历了多少活动”，而是学生是否经历了思考—表达—证据—反馈—修订—迁移的实质变化。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层六阶和两境四维进一步提供了观察学生认知复杂度和情境复杂度变化的参照，五见则使这些原本较为隐性的学习过程逐步转化为教师和学生能够识别、比较和使用的学习证据。由此，五环不再只是课堂流程，而成为指向高阶能力发展的学习模型。</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需要指出的是，三层六阶和两境四维属于本研究在实践中形成的进阶假设。学业进阶研究表明，初高中阶段的进阶序列多依据学科逻辑推演而来，需要一线教师对照课堂实际进行检验和校准（McDonnell &amp; Weatherford, 2013）。本研究在多轮课例研讨中依据学生作品和课堂表现修订进阶描述，正是这种校准过程的体现，后续仍需积累更多学科的表现样例。</w:t>
      </w:r>
    </w:p>
    <w:p w14:paraId="63A65D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（3）教学模型的机制的循证迭代</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与学习模型相对应，教师教学模型的四个基本环节——“诊断发现—干预设计—实施推进—评估改进”同样没有在实践中频繁更换，其迭代主要发生在运行方式上。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使诊断发现不再只是课前了解学情，而贯穿学习全过程；干预设计不再只是预设某一种教学策略，而是根据学生当前状态选择任务、支架和反馈方式；实施推进不再意味着按照教案顺序完成教学，而是根据学生实际表现及时追问、补充、调整甚至暂缓原有设计；评估改进也不再是课堂结束后的结果判断，而是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教学模型真正的迭代不在于增加第五步、第六步，而在于使四步之间形成循环，使教师专业行动从“按设计推进”逐步转向“依据学习调节”。这也是本研究对可见的学习教师侧含义的进一步落实，教师不仅要看见学生在做什么，更要依据学生真实学习证据判断自己的教学产生了什么影响。</w:t>
      </w:r>
    </w:p>
    <w:p w14:paraId="4B1F0D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（4）双模型运行机制的互动迭代</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随着两个子模型逐步清晰，我们进一步认识到，学习模型和教学模型不能被</w:t>
      </w:r>
      <w:r>
        <w:rPr>
          <w:rFonts w:ascii="宋体" w:eastAsia="宋体" w:hAnsi="宋体" w:cs="宋体" w:hint="eastAsia"/>
          <w:sz w:val="24"/>
        </w:rPr>
        <w:lastRenderedPageBreak/>
        <w:t>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进入探究展学时，教师可能正在进行新的诊断，也可能依据现场表现提供干预；学生处于反馈迭代时，教师既需要实施评价，又可能立即重新调整任务和支架。因此，学生五环与教师“四步”真正形成的不是对应关系，而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 → 教师依据证据进行调节 → 教学调节改变学生后续学习 → 新的学习表现再次形成证据。</w:t>
      </w:r>
    </w:p>
    <w:p w14:paraId="1D3CFD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由此，可见的学习真正从一个理论理念转化为总模型的运行机制。学生使学习对教师可见，教师使学习目标、反馈和教学影响对学生可见，教与学之间不再只是“教了—学了”的单向关系，而形成了以证据为媒介的持续互动。</w:t>
      </w:r>
    </w:p>
    <w:p w14:paraId="47E8A1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（5）实践转化的调整迭代</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模型进入学科课堂和科创教育以后，我们没有要求两个场域采用完全相同的实施形式，而是在保持核心逻辑一致的基础上进行场域化转化。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域实践也使我们进一步发现，高阶学习虽然发生在不同学科和不同任务中，但其发生方式具有一定的共性。由此，课题组没有再增加新的“教学步骤”，而是从已有实践中归纳出五种典型样态，（1）真实情境的任务性实践；（2）方案比较的验证性实践；（3）证据支撑的论证性实践；（4）协同探究的建构性实践（5）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这也使课题组能够反过来审视实践质量，课堂有真实任务，但学生是否真正承担了问题解决；有多个方案，但是否进行了比较和验证；有观点表达，但是否</w:t>
      </w:r>
      <w:r>
        <w:rPr>
          <w:rFonts w:ascii="宋体" w:eastAsia="宋体" w:hAnsi="宋体" w:cs="宋体" w:hint="eastAsia"/>
          <w:sz w:val="24"/>
        </w:rPr>
        <w:lastRenderedPageBreak/>
        <w:t>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因此，典型样态不是总模型之外新增的模型，而是实践反哺模型后形成的重要研究成果。</w:t>
      </w:r>
    </w:p>
    <w:p w14:paraId="368C0A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（6）迭代方式的持续深化</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模型能够迭代，关键不在于研究者认为哪里“应该改”，而在于是否有足够证据说明哪里存在问题、调整以后是否发生了变化。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具体迭代中，我们尤其强调保留调整前—调整依据—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 → 证据采集 → 问题发现 → 优化调整 → 再次实践 → 比较反思。</w:t>
      </w:r>
    </w:p>
    <w:p w14:paraId="069EC8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（7）小结</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经过多轮学科课堂与科创教育实践，本研究最终形成了可见的学习视域下中学生高阶能力培育模型2.0版。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迭代并不是对前期模型的否定。相反，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w:t>
      </w:r>
      <w:r>
        <w:rPr>
          <w:rFonts w:ascii="宋体" w:eastAsia="宋体" w:hAnsi="宋体" w:cs="宋体" w:hint="eastAsia"/>
          <w:sz w:val="24"/>
        </w:rPr>
        <w:lastRenderedPageBreak/>
        <w:t>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2.0版模型的“新”，并不主要体现在增加了多少新概念，而在于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最终形成的模型既具有相对稳定的基本结构，也保留了面向不同学科、不同项目和不同学生群体进行适切调整的开放空间。它不要求教师机械复制一种固定流程，而是提供一套共同的专业判断框架，</w:t>
      </w:r>
    </w:p>
    <w:p w14:paraId="741DDC50" w14:textId="77777777" w:rsidR="000B1CCE" w:rsidRDefault="00000000">
      <w:pPr>
        <w:pStyle w:val="aa"/>
        <w:jc w:val="center"/>
      </w:pPr>
      <w: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这也是本研究从“建构模型”走向“用模型解释和改进真实学习”的核心进展。</w:t>
      </w:r>
    </w:p>
    <w:p w14:paraId="43D8ECDA" w14:textId="77777777" w:rsidR="000B1CCE" w:rsidRDefault="00000000">
      <w:pPr>
        <w:adjustRightInd w:val="0"/>
        <w:snapToGrid w:val="0"/>
        <w:spacing w:line="360" w:lineRule="auto"/>
        <w:ind w:firstLineChars="200" w:firstLine="489"/>
        <w:rPr>
          <w:rFonts w:ascii="宋体" w:eastAsia="宋体" w:hAnsi="宋体" w:cs="宋体"/>
          <w:b/>
          <w:bCs/>
          <w:color w:val="C00000"/>
          <w:sz w:val="24"/>
        </w:rPr>
      </w:pPr>
      <w:r>
        <w:rPr>
          <w:rFonts w:ascii="宋体" w:eastAsia="宋体" w:hAnsi="宋体" w:cs="宋体" w:hint="eastAsia"/>
          <w:b/>
          <w:bCs/>
          <w:color w:val="C00000"/>
          <w:sz w:val="24"/>
        </w:rPr>
        <w:t>（六）高阶能力培育评价体系与多源证据构建</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没有另外建立一套独立于实践之外的评价体系，而是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不是增加数据，而是让学习变化有据可查，让教学调整有据可依。</w:t>
      </w:r>
    </w:p>
    <w:p w14:paraId="5D1486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评价维度与指标</w:t>
      </w:r>
    </w:p>
    <w:p w14:paraId="7780D5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（1）评价体系的基本依据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其次，以三层六阶和两境四维把握能力发展的进阶程度。高阶思维由“学习理解—应用实践—迁移创新”逐步深入，并体现出“记忆—理解—应用—分析—评价—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再次，以五环作为观察高阶能力发生的主要学习过程。目标引领、任务驱动、探究展学、反馈迭代、反思迁移不是新的评价维度，而是学生高阶能力得以发生和表现的主要过程。教师需要在这些真实学习环节中观察学生怎样进入任</w:t>
      </w:r>
      <w:r>
        <w:rPr>
          <w:rFonts w:ascii="宋体" w:eastAsia="宋体" w:hAnsi="宋体" w:cs="宋体" w:hint="eastAsia"/>
          <w:sz w:val="24"/>
        </w:rPr>
        <w:lastRenderedPageBreak/>
        <w:t>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七维高阶能力明确“评什么”；三层六阶和两境四维帮助判断“发展到什么程度”；五环回答“在哪里观察”；五见回答“依据什么作出判断”。</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评价体系的设计还考虑了高阶能力评价的两类风险。其一是以术语代替思维，当评价标准只关注学生是否使用了特定的分析术语时，学生可能通过套用术语获得较高评价（Zemplén, 2007），因此本研究的评价指标描述的是学生的具体表现，例如能否说明判断依据、比较不同方案、依据反馈修订观点。其二是过早评分抑制探索，低利害的多轮修订和描述性反馈更有利于批判性思维和创造力的发展（Bouckaert, 2023），因此课堂中的评价以形成性反馈为主，分数主要用于研究层面的前后比较。在思维层次判断上，评价指标与研究设计中的表2-1相衔接，以布卢姆分类界定任务要求，以SOLO分类判断学生回答和作品的结构水平。</w:t>
      </w:r>
    </w:p>
    <w:p w14:paraId="33545D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（2）高阶能力评价维度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不再另外增加新的能力维度，而是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（3）高阶能力评价指标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auto"/>
              <w:left w:val="nil"/>
              <w:bottom w:val="nil"/>
              <w:right w:val="nil"/>
            </w:tcBorders>
            <w:tcMar>
              <w:top w:w="-1" w:type="dxa"/>
              <w:left w:w="-1" w:type="dxa"/>
              <w:bottom w:w="-1" w:type="dxa"/>
              <w:right w:w="-1" w:type="dxa"/>
            </w:tcMar>
            <w:vAlign w:val="center"/>
          </w:tcPr>
          <w:p w14:paraId="0E54003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7254" w:type="dxa"/>
            <w:tcBorders>
              <w:top w:val="single" w:sz="12" w:space="0" w:color="auto"/>
              <w:left w:val="nil"/>
              <w:bottom w:val="nil"/>
              <w:right w:val="nil"/>
            </w:tcBorders>
            <w:tcMar>
              <w:top w:w="-1" w:type="dxa"/>
              <w:left w:w="-1" w:type="dxa"/>
              <w:bottom w:w="-1" w:type="dxa"/>
              <w:right w:w="-1" w:type="dxa"/>
            </w:tcMar>
            <w:vAlign w:val="center"/>
          </w:tcPr>
          <w:p w14:paraId="4797E88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主要评价表现</w:t>
            </w:r>
          </w:p>
        </w:tc>
      </w:tr>
      <w:tr w:rsidR="000B1CCE" w14:paraId="70D8B972" w14:textId="77777777">
        <w:trPr>
          <w:jc w:val="center"/>
        </w:trPr>
        <w:tc>
          <w:tcPr>
            <w:tcW w:w="1265" w:type="dxa"/>
            <w:tcBorders>
              <w:top w:val="single" w:sz="4" w:space="0" w:color="auto"/>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7254" w:type="dxa"/>
            <w:tcBorders>
              <w:top w:val="single" w:sz="4" w:space="0" w:color="auto"/>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auto"/>
              <w:right w:val="nil"/>
            </w:tcBorders>
            <w:tcMar>
              <w:top w:w="-1" w:type="dxa"/>
              <w:left w:w="-1" w:type="dxa"/>
              <w:bottom w:w="-1" w:type="dxa"/>
              <w:right w:w="-1" w:type="dxa"/>
            </w:tcMar>
            <w:vAlign w:val="center"/>
          </w:tcPr>
          <w:p w14:paraId="2BFFAB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包容创新</w:t>
            </w:r>
          </w:p>
        </w:tc>
        <w:tc>
          <w:tcPr>
            <w:tcW w:w="7254" w:type="dxa"/>
            <w:tcBorders>
              <w:top w:val="nil"/>
              <w:left w:val="nil"/>
              <w:bottom w:val="single" w:sz="12" w:space="0" w:color="auto"/>
              <w:right w:val="nil"/>
            </w:tcBorders>
            <w:tcMar>
              <w:top w:w="-1" w:type="dxa"/>
              <w:left w:w="-1" w:type="dxa"/>
              <w:bottom w:w="-1" w:type="dxa"/>
              <w:right w:w="-1" w:type="dxa"/>
            </w:tcMar>
            <w:vAlign w:val="center"/>
          </w:tcPr>
          <w:p w14:paraId="0A5DBBA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能够接纳不同观点和新的信息，在开放和不确定情境中持续尝试、调整并形成新</w:t>
            </w:r>
            <w:r>
              <w:rPr>
                <w:rFonts w:ascii="宋体" w:eastAsia="宋体" w:hAnsi="宋体" w:cs="宋体" w:hint="eastAsia"/>
                <w:szCs w:val="21"/>
              </w:rPr>
              <w:lastRenderedPageBreak/>
              <w:t>想法。</w:t>
            </w:r>
          </w:p>
        </w:tc>
      </w:tr>
    </w:tbl>
    <w:p w14:paraId="08A624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基于可见的学习的数据采集系统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为尽可能真实、客观地反映学生高阶能力的发展变化，我们在研究过程中没有把判断建立在单一问卷或单次课堂评价上，而是围绕学生、教师和课堂三个层面持续收集不同类型的数据。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是通过不同来源证据的相互参照，提高对研究成效判断的可靠性。</w:t>
      </w:r>
    </w:p>
    <w:p w14:paraId="5E7E63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表3-33  高阶能力培育评价工具与证据采集</w:t>
      </w:r>
    </w:p>
    <w:tbl>
      <w:tblPr>
        <w:tblStyle w:val="a6"/>
        <w:tblW w:w="882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auto"/>
              <w:left w:val="nil"/>
              <w:bottom w:val="nil"/>
              <w:right w:val="nil"/>
            </w:tcBorders>
            <w:tcMar>
              <w:top w:w="-1" w:type="dxa"/>
              <w:left w:w="-1" w:type="dxa"/>
              <w:bottom w:w="-1" w:type="dxa"/>
              <w:right w:w="-1" w:type="dxa"/>
            </w:tcMar>
            <w:vAlign w:val="center"/>
          </w:tcPr>
          <w:p w14:paraId="31B058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考察维度</w:t>
            </w:r>
          </w:p>
        </w:tc>
        <w:tc>
          <w:tcPr>
            <w:tcW w:w="1506" w:type="dxa"/>
            <w:tcBorders>
              <w:top w:val="single" w:sz="12" w:space="0" w:color="auto"/>
              <w:left w:val="nil"/>
              <w:bottom w:val="nil"/>
              <w:right w:val="nil"/>
            </w:tcBorders>
            <w:tcMar>
              <w:top w:w="-1" w:type="dxa"/>
              <w:left w:w="-1" w:type="dxa"/>
              <w:bottom w:w="-1" w:type="dxa"/>
              <w:right w:w="-1" w:type="dxa"/>
            </w:tcMar>
            <w:vAlign w:val="center"/>
          </w:tcPr>
          <w:p w14:paraId="55495A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工具/方法</w:t>
            </w:r>
          </w:p>
        </w:tc>
        <w:tc>
          <w:tcPr>
            <w:tcW w:w="1386" w:type="dxa"/>
            <w:tcBorders>
              <w:top w:val="single" w:sz="12" w:space="0" w:color="auto"/>
              <w:left w:val="nil"/>
              <w:bottom w:val="nil"/>
              <w:right w:val="nil"/>
            </w:tcBorders>
            <w:tcMar>
              <w:top w:w="-1" w:type="dxa"/>
              <w:left w:w="-1" w:type="dxa"/>
              <w:bottom w:w="-1" w:type="dxa"/>
              <w:right w:w="-1" w:type="dxa"/>
            </w:tcMar>
            <w:vAlign w:val="center"/>
          </w:tcPr>
          <w:p w14:paraId="7A17177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数据类型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EB48F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采集频次</w:t>
            </w:r>
          </w:p>
        </w:tc>
        <w:tc>
          <w:tcPr>
            <w:tcW w:w="3216" w:type="dxa"/>
            <w:tcBorders>
              <w:top w:val="single" w:sz="12" w:space="0" w:color="auto"/>
              <w:left w:val="nil"/>
              <w:bottom w:val="nil"/>
              <w:right w:val="nil"/>
            </w:tcBorders>
            <w:tcMar>
              <w:top w:w="-1" w:type="dxa"/>
              <w:left w:w="-1" w:type="dxa"/>
              <w:bottom w:w="-1" w:type="dxa"/>
              <w:right w:w="-1" w:type="dxa"/>
            </w:tcMar>
            <w:vAlign w:val="center"/>
          </w:tcPr>
          <w:p w14:paraId="775B937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论证支持</w:t>
            </w:r>
          </w:p>
        </w:tc>
      </w:tr>
      <w:tr w:rsidR="000B1CCE" w14:paraId="3C190CBE" w14:textId="77777777">
        <w:trPr>
          <w:jc w:val="center"/>
        </w:trPr>
        <w:tc>
          <w:tcPr>
            <w:tcW w:w="1596" w:type="dxa"/>
            <w:vMerge w:val="restart"/>
            <w:tcBorders>
              <w:top w:val="single" w:sz="4" w:space="0" w:color="auto"/>
              <w:left w:val="nil"/>
              <w:right w:val="nil"/>
            </w:tcBorders>
            <w:tcMar>
              <w:top w:w="-1" w:type="dxa"/>
              <w:left w:w="-1" w:type="dxa"/>
              <w:bottom w:w="-1" w:type="dxa"/>
              <w:right w:w="-1" w:type="dxa"/>
            </w:tcMar>
            <w:vAlign w:val="center"/>
          </w:tcPr>
          <w:p w14:paraId="1E4A23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学生能力变化</w:t>
            </w:r>
          </w:p>
        </w:tc>
        <w:tc>
          <w:tcPr>
            <w:tcW w:w="1506" w:type="dxa"/>
            <w:tcBorders>
              <w:top w:val="single" w:sz="4" w:space="0" w:color="auto"/>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single" w:sz="4" w:space="0" w:color="auto"/>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single" w:sz="4" w:space="0" w:color="auto"/>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支持判断学生分析、评价、创造三个维度是否发生变化。</w:t>
            </w:r>
          </w:p>
        </w:tc>
      </w:tr>
      <w:tr w:rsidR="000B1CCE" w14:paraId="416C8750" w14:textId="77777777">
        <w:trPr>
          <w:jc w:val="center"/>
        </w:trPr>
        <w:tc>
          <w:tcPr>
            <w:tcW w:w="1596" w:type="dxa"/>
            <w:vMerge/>
            <w:tcBorders>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auto"/>
              <w:right w:val="nil"/>
            </w:tcBorders>
            <w:tcMar>
              <w:top w:w="-1" w:type="dxa"/>
              <w:left w:w="-1" w:type="dxa"/>
              <w:bottom w:w="-1" w:type="dxa"/>
              <w:right w:w="-1" w:type="dxa"/>
            </w:tcMar>
            <w:vAlign w:val="center"/>
          </w:tcPr>
          <w:p w14:paraId="41F444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课堂行为变化</w:t>
            </w:r>
          </w:p>
        </w:tc>
        <w:tc>
          <w:tcPr>
            <w:tcW w:w="1506" w:type="dxa"/>
            <w:tcBorders>
              <w:top w:val="nil"/>
              <w:left w:val="nil"/>
              <w:bottom w:val="single" w:sz="12" w:space="0" w:color="auto"/>
              <w:right w:val="nil"/>
            </w:tcBorders>
            <w:tcMar>
              <w:top w:w="-1" w:type="dxa"/>
              <w:left w:w="-1" w:type="dxa"/>
              <w:bottom w:w="-1" w:type="dxa"/>
              <w:right w:w="-1" w:type="dxa"/>
            </w:tcMar>
            <w:vAlign w:val="center"/>
          </w:tcPr>
          <w:p w14:paraId="52F7399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希沃AI课堂智能反馈系统</w:t>
            </w:r>
          </w:p>
        </w:tc>
        <w:tc>
          <w:tcPr>
            <w:tcW w:w="1386" w:type="dxa"/>
            <w:tcBorders>
              <w:top w:val="nil"/>
              <w:left w:val="nil"/>
              <w:bottom w:val="single" w:sz="12" w:space="0" w:color="auto"/>
              <w:right w:val="nil"/>
            </w:tcBorders>
            <w:tcMar>
              <w:top w:w="-1" w:type="dxa"/>
              <w:left w:w="-1" w:type="dxa"/>
              <w:bottom w:w="-1" w:type="dxa"/>
              <w:right w:w="-1" w:type="dxa"/>
            </w:tcMar>
            <w:vAlign w:val="center"/>
          </w:tcPr>
          <w:p w14:paraId="7169BB5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1120" w:type="dxa"/>
            <w:tcBorders>
              <w:top w:val="nil"/>
              <w:left w:val="nil"/>
              <w:bottom w:val="single" w:sz="12" w:space="0" w:color="auto"/>
              <w:right w:val="nil"/>
            </w:tcBorders>
            <w:tcMar>
              <w:top w:w="-1" w:type="dxa"/>
              <w:left w:w="-1" w:type="dxa"/>
              <w:bottom w:w="-1" w:type="dxa"/>
              <w:right w:w="-1" w:type="dxa"/>
            </w:tcMar>
            <w:vAlign w:val="center"/>
          </w:tcPr>
          <w:p w14:paraId="0045A0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single" w:sz="12" w:space="0" w:color="auto"/>
              <w:right w:val="nil"/>
            </w:tcBorders>
            <w:tcMar>
              <w:top w:w="-1" w:type="dxa"/>
              <w:left w:w="-1" w:type="dxa"/>
              <w:bottom w:w="-1" w:type="dxa"/>
              <w:right w:w="-1" w:type="dxa"/>
            </w:tcMar>
            <w:vAlign w:val="center"/>
          </w:tcPr>
          <w:p w14:paraId="0A226D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说明的是，教师五维评课和希沃AI评课都不是对学生高阶能力的直接测量。五维评课更多体现教师基于专业标准对课堂学习状态和教学支持的判断，希沃AI评课更多呈现课堂中实际发生的行为过程。二者与学生、教师前后测相</w:t>
      </w:r>
      <w:r>
        <w:rPr>
          <w:rFonts w:ascii="宋体" w:eastAsia="宋体" w:hAnsi="宋体" w:cs="宋体" w:hint="eastAsia"/>
          <w:sz w:val="24"/>
        </w:rPr>
        <w:lastRenderedPageBreak/>
        <w:t>互补充，从不同角度呈现研究实践中发生的变化。</w:t>
      </w:r>
    </w:p>
    <w:p w14:paraId="627E89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多源证据链设计</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多源数据只有建立起相互联系，才能真正成为研究证据。为此，我们主要从纵向变化、学习过程和多元评价三个方面组织研究证据。</w:t>
      </w:r>
    </w:p>
    <w:p w14:paraId="01E452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（1）“前测—过程—后测”的纵向证据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纵向证据不是简单比较两个时间点，而是形成“前测确定起点—实践产生变化—过程留下证据—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（2）“起点—过程—变化—迁移”的横向证据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不能仅通过最终结果判断。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在已有典型案例中，我们重点关注“学生原来怎样理解—学习过程中怎样思考和调整—前后发生了什么变化—能否在新的情境中继续运用”。这一证据链使进步可见和能力可见落实到具体学习过程，而不是只停留在最终成绩或一次性结果上。</w:t>
      </w:r>
    </w:p>
    <w:p w14:paraId="108793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（3）“自评—互评—师评—智评”的多元互证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不同评价信息不是简单叠加，也不要求彼此完全一致。恰恰是不同证据之间的一致与差异，为我们进一步理解学生学习提供了依据。例如，学生参与讨论的时间较长，并不能直接说明讨论已经进入高阶思考，还需要结合教师专业评价以</w:t>
      </w:r>
      <w:r>
        <w:rPr>
          <w:rFonts w:ascii="宋体" w:eastAsia="宋体" w:hAnsi="宋体" w:cs="宋体" w:hint="eastAsia"/>
          <w:sz w:val="24"/>
        </w:rPr>
        <w:lastRenderedPageBreak/>
        <w:t>及具体课堂表现，判断讨论是否真正包含分析、评价、证据使用和观点修正。多元互证的目的不是增加评价主体，而是避免依据单一证据作出过度判断，使研究结论更加接近真实课堂。</w:t>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来看，本研究所建立的评价体系不是独立于教学之外的一套测评程序，而是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评估”，判断学生当前在哪里、教学支持是否有效、下一步需要怎样调整。由此，评价不再只是研究结束后的成效说明，而成为我们看见学习、判断学习并改进教学的重要依据。</w:t>
      </w:r>
    </w:p>
    <w:p w14:paraId="3E29C5E4"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color w:val="C00000"/>
          <w:sz w:val="24"/>
        </w:rPr>
        <w:t>（七）高阶能力培育模型实施成效的结果分析</w:t>
      </w:r>
    </w:p>
    <w:p w14:paraId="6399966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宋体" w:eastAsia="宋体" w:hAnsi="宋体" w:cs="宋体" w:hint="eastAsia"/>
          <w:b/>
          <w:bCs/>
          <w:sz w:val="24"/>
        </w:rPr>
        <w:t>1.学生问卷前后测结果分析</w:t>
      </w:r>
      <w:r>
        <w:rPr>
          <w:rFonts w:ascii="宋体" w:eastAsia="宋体" w:hAnsi="宋体" w:cs="宋体" w:hint="eastAsia"/>
          <w:sz w:val="24"/>
        </w:rPr>
        <w:br/>
        <w:t>学生高阶能力发展成效分析报告</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3D3F72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（1）研究对象与分析方法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1117B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表3-34  研究样本基本情况</w:t>
      </w:r>
    </w:p>
    <w:tbl>
      <w:tblPr>
        <w:tblW w:w="8519" w:type="dxa"/>
        <w:jc w:val="center"/>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55ADB56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变量</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14177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类别</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1D5FAA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人数</w:t>
            </w:r>
          </w:p>
        </w:tc>
        <w:tc>
          <w:tcPr>
            <w:tcW w:w="2275" w:type="dxa"/>
            <w:tcBorders>
              <w:top w:val="single" w:sz="12" w:space="0" w:color="000000"/>
              <w:left w:val="nil"/>
              <w:bottom w:val="nil"/>
              <w:right w:val="nil"/>
            </w:tcBorders>
            <w:tcMar>
              <w:top w:w="-1" w:type="dxa"/>
              <w:left w:w="-1" w:type="dxa"/>
              <w:bottom w:w="-1" w:type="dxa"/>
              <w:right w:w="-1" w:type="dxa"/>
            </w:tcMar>
            <w:vAlign w:val="center"/>
          </w:tcPr>
          <w:p w14:paraId="58FE26F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比例</w:t>
            </w:r>
          </w:p>
        </w:tc>
      </w:tr>
      <w:tr w:rsidR="000B1CCE" w14:paraId="772386F7"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single" w:sz="4" w:space="0" w:color="auto"/>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男</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671</w:t>
            </w:r>
          </w:p>
        </w:tc>
        <w:tc>
          <w:tcPr>
            <w:tcW w:w="2275" w:type="dxa"/>
            <w:tcBorders>
              <w:top w:val="single" w:sz="4" w:space="0" w:color="auto"/>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bl>
    <w:p w14:paraId="528D10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补充分析包括，剔除任一测次32题同选项作答记录后的敏感性分析，以及按年级初始水平和平均增分开展的探索性聚类。所有统计由题项重算；表中增分及检验基于未四舍五入数据。</w:t>
      </w:r>
    </w:p>
    <w:p w14:paraId="579581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（2）学生高阶能力的总体变化</w:t>
      </w:r>
    </w:p>
    <w:p w14:paraId="1D9AE4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w:t>
      </w:r>
    </w:p>
    <w:p w14:paraId="5A3A8C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表3-35  高阶思维总体前后测配对比较（n=1346）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132F04B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DD3E3B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14D41FD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28D6BA6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50B9AA7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7DCDF8D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61D026D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05CC058"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3.934</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0.786</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0.095</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0.038～0.153</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3.254</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jc w:val="center"/>
              <w:rPr>
                <w:rFonts w:ascii="宋体" w:eastAsia="宋体" w:hAnsi="宋体" w:cs="宋体"/>
                <w:sz w:val="24"/>
              </w:rPr>
            </w:pPr>
          </w:p>
        </w:tc>
      </w:tr>
    </w:tbl>
    <w:p w14:paraId="6CCC56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均值差为后测减前测；df=1345；Holm校正后p=0.004；配对效应量dz=0.089。</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高阶思维总体均分由3.934分提高至4.030分，平均增加0.095分。高阶思维总体自评得分呈小幅提升。统计检验支持前后测均值存在差异，但配对效应量较小，不能将其表述为大幅提升。</w:t>
      </w:r>
    </w:p>
    <w:p w14:paraId="3F5771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w:t>
      </w:r>
    </w:p>
    <w:p w14:paraId="18AC21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表3-36  高阶社会情感总体前后测配对比较（n=1346）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1E83F40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735AC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712F280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391FFFB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1BA2FC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6BBE59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016326C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5B778F0"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0.761</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0.368</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0.350～0.386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40.326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jc w:val="center"/>
              <w:rPr>
                <w:rFonts w:ascii="宋体" w:eastAsia="宋体" w:hAnsi="宋体" w:cs="宋体"/>
                <w:sz w:val="24"/>
              </w:rPr>
            </w:pPr>
          </w:p>
        </w:tc>
      </w:tr>
    </w:tbl>
    <w:p w14:paraId="2FA895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w:t>
      </w:r>
      <w:r>
        <w:rPr>
          <w:rFonts w:ascii="宋体" w:eastAsia="宋体" w:hAnsi="宋体" w:cs="宋体" w:hint="eastAsia"/>
          <w:sz w:val="24"/>
        </w:rPr>
        <w:lastRenderedPageBreak/>
        <w:t>dz=1.099。</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均分由4.032分提高至4.400分，平均增加0.368分。高阶社会情感总体自评得分明显提高，配对效应量为1.099。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个总体指标的均值均有所提高，但改善幅度不同。高阶思维总体增分为0.095分，高阶社会情感总体增分为0.368分。该结果提示，在问卷自评层面，责任承担、情绪调节及合作等方面的改善更为突出；对两类增分的数值比较不等同于正式检验其差异。</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7B18E7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（3）初中与高中学生的发展成效</w:t>
      </w:r>
    </w:p>
    <w:p w14:paraId="056860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表3-37  两个学段的高阶思维总体前后测比较</w:t>
      </w:r>
    </w:p>
    <w:tbl>
      <w:tblPr>
        <w:tblW w:w="8894" w:type="dxa"/>
        <w:jc w:val="center"/>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05DAEF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50EFB0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AC0EA3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35E66CD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63EA4FA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2EFF2B9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998" w:type="dxa"/>
            <w:tcBorders>
              <w:top w:val="single" w:sz="12" w:space="0" w:color="000000"/>
              <w:left w:val="nil"/>
              <w:bottom w:val="nil"/>
              <w:right w:val="nil"/>
            </w:tcBorders>
            <w:tcMar>
              <w:top w:w="-1" w:type="dxa"/>
              <w:left w:w="-1" w:type="dxa"/>
              <w:bottom w:w="-1" w:type="dxa"/>
              <w:right w:w="-1" w:type="dxa"/>
            </w:tcMar>
            <w:vAlign w:val="center"/>
          </w:tcPr>
          <w:p w14:paraId="0E38ED5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6DD43E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3.932±0.805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4.024±0.826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0.092</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0.020～0.163</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2.513</w:t>
            </w:r>
          </w:p>
        </w:tc>
        <w:tc>
          <w:tcPr>
            <w:tcW w:w="998" w:type="dxa"/>
            <w:tcBorders>
              <w:top w:val="single" w:sz="4" w:space="0" w:color="auto"/>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0.007～0.198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0.035</w:t>
            </w:r>
          </w:p>
        </w:tc>
      </w:tr>
    </w:tbl>
    <w:p w14:paraId="1CF6C6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初中配对检验df=912，高中df=432；校正p为本节4项学段内检验的Holm校正结果。</w:t>
      </w:r>
    </w:p>
    <w:p w14:paraId="42177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表3-38  两个学段的高阶社会情感总体前后测比较</w:t>
      </w:r>
    </w:p>
    <w:tbl>
      <w:tblPr>
        <w:tblW w:w="9012" w:type="dxa"/>
        <w:jc w:val="center"/>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E49EE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2B141B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532C0A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5714AE5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4F710EE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3F54AE5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2EB05EC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0DC11014"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4.026±0.779</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4.374±0.802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0.347</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0.326～0.369</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32.325</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0.379～0.446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2B39B8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初中配对检验df=912，高中df=432；校正p为本节4项学段内检验的Holm校正结果。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和高中学生的高阶思维分别提高0.092分和0.103分，校正后p分别为0.024和0.035，均达到统计显著，但配对效应量分别为0.083和0.102，提升幅度较小。高阶社会情感分别提高0.347分和0.412分，校正后p均小于0.001，配对效应量分别为1.070和1.171。两个学段均呈现社会情感改善较明显的特点。</w:t>
      </w:r>
    </w:p>
    <w:p w14:paraId="5B617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表3-39  高中与初中学生平均增分的比较</w:t>
      </w:r>
    </w:p>
    <w:tbl>
      <w:tblPr>
        <w:tblW w:w="8519" w:type="dxa"/>
        <w:jc w:val="center"/>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nil"/>
              <w:right w:val="nil"/>
            </w:tcBorders>
            <w:tcMar>
              <w:top w:w="-1" w:type="dxa"/>
              <w:left w:w="-1" w:type="dxa"/>
              <w:bottom w:w="-1" w:type="dxa"/>
              <w:right w:w="-1" w:type="dxa"/>
            </w:tcMar>
            <w:vAlign w:val="center"/>
          </w:tcPr>
          <w:p w14:paraId="44DDA00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1131" w:type="dxa"/>
            <w:tcBorders>
              <w:top w:val="single" w:sz="12" w:space="0" w:color="000000"/>
              <w:left w:val="nil"/>
              <w:bottom w:val="nil"/>
              <w:right w:val="nil"/>
            </w:tcBorders>
            <w:tcMar>
              <w:top w:w="-1" w:type="dxa"/>
              <w:left w:w="-1" w:type="dxa"/>
              <w:bottom w:w="-1" w:type="dxa"/>
              <w:right w:w="-1" w:type="dxa"/>
            </w:tcMar>
            <w:vAlign w:val="center"/>
          </w:tcPr>
          <w:p w14:paraId="055107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增分差</w:t>
            </w:r>
          </w:p>
        </w:tc>
        <w:tc>
          <w:tcPr>
            <w:tcW w:w="2133" w:type="dxa"/>
            <w:tcBorders>
              <w:top w:val="single" w:sz="12" w:space="0" w:color="000000"/>
              <w:left w:val="nil"/>
              <w:bottom w:val="nil"/>
              <w:right w:val="nil"/>
            </w:tcBorders>
            <w:tcMar>
              <w:top w:w="-1" w:type="dxa"/>
              <w:left w:w="-1" w:type="dxa"/>
              <w:bottom w:w="-1" w:type="dxa"/>
              <w:right w:w="-1" w:type="dxa"/>
            </w:tcMar>
            <w:vAlign w:val="center"/>
          </w:tcPr>
          <w:p w14:paraId="10AB0C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43" w:type="dxa"/>
            <w:tcBorders>
              <w:top w:val="single" w:sz="12" w:space="0" w:color="000000"/>
              <w:left w:val="nil"/>
              <w:bottom w:val="nil"/>
              <w:right w:val="nil"/>
            </w:tcBorders>
            <w:tcMar>
              <w:top w:w="-1" w:type="dxa"/>
              <w:left w:w="-1" w:type="dxa"/>
              <w:bottom w:w="-1" w:type="dxa"/>
              <w:right w:w="-1" w:type="dxa"/>
            </w:tcMar>
            <w:vAlign w:val="center"/>
          </w:tcPr>
          <w:p w14:paraId="0D0D998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63" w:type="dxa"/>
            <w:tcBorders>
              <w:top w:val="single" w:sz="12" w:space="0" w:color="000000"/>
              <w:left w:val="nil"/>
              <w:bottom w:val="nil"/>
              <w:right w:val="nil"/>
            </w:tcBorders>
            <w:tcMar>
              <w:top w:w="-1" w:type="dxa"/>
              <w:left w:w="-1" w:type="dxa"/>
              <w:bottom w:w="-1" w:type="dxa"/>
              <w:right w:w="-1" w:type="dxa"/>
            </w:tcMar>
            <w:vAlign w:val="center"/>
          </w:tcPr>
          <w:p w14:paraId="5DC77F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df</w:t>
            </w:r>
          </w:p>
        </w:tc>
        <w:tc>
          <w:tcPr>
            <w:tcW w:w="1060" w:type="dxa"/>
            <w:tcBorders>
              <w:top w:val="single" w:sz="12" w:space="0" w:color="000000"/>
              <w:left w:val="nil"/>
              <w:bottom w:val="nil"/>
              <w:right w:val="nil"/>
            </w:tcBorders>
            <w:tcMar>
              <w:top w:w="-1" w:type="dxa"/>
              <w:left w:w="-1" w:type="dxa"/>
              <w:bottom w:w="-1" w:type="dxa"/>
              <w:right w:w="-1" w:type="dxa"/>
            </w:tcMar>
            <w:vAlign w:val="center"/>
          </w:tcPr>
          <w:p w14:paraId="497D9D7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552994D9" w14:textId="77777777">
        <w:trPr>
          <w:jc w:val="center"/>
        </w:trPr>
        <w:tc>
          <w:tcPr>
            <w:tcW w:w="1989" w:type="dxa"/>
            <w:tcBorders>
              <w:top w:val="single" w:sz="4" w:space="0" w:color="auto"/>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高阶思维</w:t>
            </w:r>
          </w:p>
        </w:tc>
        <w:tc>
          <w:tcPr>
            <w:tcW w:w="1131" w:type="dxa"/>
            <w:tcBorders>
              <w:top w:val="single" w:sz="4" w:space="0" w:color="auto"/>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0.011</w:t>
            </w:r>
          </w:p>
        </w:tc>
        <w:tc>
          <w:tcPr>
            <w:tcW w:w="2133" w:type="dxa"/>
            <w:tcBorders>
              <w:top w:val="single" w:sz="4" w:space="0" w:color="auto"/>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-0.108～0.130</w:t>
            </w:r>
          </w:p>
        </w:tc>
        <w:tc>
          <w:tcPr>
            <w:tcW w:w="1043" w:type="dxa"/>
            <w:tcBorders>
              <w:top w:val="single" w:sz="4" w:space="0" w:color="auto"/>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0.180</w:t>
            </w:r>
          </w:p>
        </w:tc>
        <w:tc>
          <w:tcPr>
            <w:tcW w:w="1163" w:type="dxa"/>
            <w:tcBorders>
              <w:top w:val="single" w:sz="4" w:space="0" w:color="auto"/>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918.19</w:t>
            </w:r>
          </w:p>
        </w:tc>
        <w:tc>
          <w:tcPr>
            <w:tcW w:w="1060" w:type="dxa"/>
            <w:tcBorders>
              <w:top w:val="single" w:sz="4" w:space="0" w:color="auto"/>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0.025～0.104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0ADEE2B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增分差＝高中平均增分－初中平均增分；采用Welch检验，对两项比较</w:t>
      </w:r>
      <w:r>
        <w:rPr>
          <w:rFonts w:ascii="宋体" w:eastAsia="宋体" w:hAnsi="宋体" w:cs="宋体" w:hint="eastAsia"/>
          <w:sz w:val="24"/>
        </w:rPr>
        <w:lastRenderedPageBreak/>
        <w:t>进行Holm校正。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直接比较两个学段的增分，高阶思维差异为0.011分，校正后p=0.857，未发现增幅不同的统计证据；高阶社会情感差异为0.065分，95%置信区间为［0.025，0.104］，校正后p=0.003，说明本批高中学生的社会情感自评增分高于初中学生。不过，差异幅度为0.065分，不宜仅因显著就夸大其教育意义。</w:t>
      </w:r>
    </w:p>
    <w:p w14:paraId="0BAC15D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（4）各年级学生的发展成效</w:t>
      </w:r>
    </w:p>
    <w:p w14:paraId="63CF2B0D"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1）各年级高阶能力发展成效</w:t>
      </w:r>
    </w:p>
    <w:p w14:paraId="1DB390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表3-40  各年级高阶思维总体的前后变化</w:t>
      </w:r>
    </w:p>
    <w:tbl>
      <w:tblPr>
        <w:tblW w:w="8519" w:type="dxa"/>
        <w:jc w:val="center"/>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nil"/>
              <w:right w:val="nil"/>
            </w:tcBorders>
            <w:tcMar>
              <w:top w:w="-1" w:type="dxa"/>
              <w:left w:w="-1" w:type="dxa"/>
              <w:bottom w:w="-1" w:type="dxa"/>
              <w:right w:w="-1" w:type="dxa"/>
            </w:tcMar>
            <w:vAlign w:val="center"/>
          </w:tcPr>
          <w:p w14:paraId="0CB2C59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73" w:type="dxa"/>
            <w:tcBorders>
              <w:top w:val="single" w:sz="12" w:space="0" w:color="000000"/>
              <w:left w:val="nil"/>
              <w:bottom w:val="nil"/>
              <w:right w:val="nil"/>
            </w:tcBorders>
            <w:tcMar>
              <w:top w:w="-1" w:type="dxa"/>
              <w:left w:w="-1" w:type="dxa"/>
              <w:bottom w:w="-1" w:type="dxa"/>
              <w:right w:w="-1" w:type="dxa"/>
            </w:tcMar>
            <w:vAlign w:val="center"/>
          </w:tcPr>
          <w:p w14:paraId="4153FF5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4E7858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79F24A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5F10597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2037" w:type="dxa"/>
            <w:tcBorders>
              <w:top w:val="single" w:sz="12" w:space="0" w:color="000000"/>
              <w:left w:val="nil"/>
              <w:bottom w:val="nil"/>
              <w:right w:val="nil"/>
            </w:tcBorders>
            <w:tcMar>
              <w:top w:w="-1" w:type="dxa"/>
              <w:left w:w="-1" w:type="dxa"/>
              <w:bottom w:w="-1" w:type="dxa"/>
              <w:right w:w="-1" w:type="dxa"/>
            </w:tcMar>
            <w:vAlign w:val="center"/>
          </w:tcPr>
          <w:p w14:paraId="114554F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2BDA6C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1E1E8ADB" w14:textId="77777777">
        <w:trPr>
          <w:jc w:val="center"/>
        </w:trPr>
        <w:tc>
          <w:tcPr>
            <w:tcW w:w="1373" w:type="dxa"/>
            <w:tcBorders>
              <w:top w:val="single" w:sz="4" w:space="0" w:color="auto"/>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73" w:type="dxa"/>
            <w:tcBorders>
              <w:top w:val="single" w:sz="4" w:space="0" w:color="auto"/>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4.312</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4.264</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-0.047</w:t>
            </w:r>
          </w:p>
        </w:tc>
        <w:tc>
          <w:tcPr>
            <w:tcW w:w="2037" w:type="dxa"/>
            <w:tcBorders>
              <w:top w:val="single" w:sz="4" w:space="0" w:color="auto"/>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-0.175～0.081</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0.182～0.461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-0.109～0.204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-0.101～0.190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-0.157～0.153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-0.160～0.196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0.130～0.454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339392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表3-41  各年级高阶社会情感总体的前后变化</w:t>
      </w:r>
    </w:p>
    <w:tbl>
      <w:tblPr>
        <w:tblW w:w="8519" w:type="dxa"/>
        <w:jc w:val="center"/>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nil"/>
              <w:right w:val="nil"/>
            </w:tcBorders>
            <w:tcMar>
              <w:top w:w="-1" w:type="dxa"/>
              <w:left w:w="-1" w:type="dxa"/>
              <w:bottom w:w="-1" w:type="dxa"/>
              <w:right w:w="-1" w:type="dxa"/>
            </w:tcMar>
            <w:vAlign w:val="center"/>
          </w:tcPr>
          <w:p w14:paraId="3F55F69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93" w:type="dxa"/>
            <w:tcBorders>
              <w:top w:val="single" w:sz="12" w:space="0" w:color="000000"/>
              <w:left w:val="nil"/>
              <w:bottom w:val="nil"/>
              <w:right w:val="nil"/>
            </w:tcBorders>
            <w:tcMar>
              <w:top w:w="-1" w:type="dxa"/>
              <w:left w:w="-1" w:type="dxa"/>
              <w:bottom w:w="-1" w:type="dxa"/>
              <w:right w:w="-1" w:type="dxa"/>
            </w:tcMar>
            <w:vAlign w:val="center"/>
          </w:tcPr>
          <w:p w14:paraId="5FE246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6B8F8B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12B7E5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033" w:type="dxa"/>
            <w:tcBorders>
              <w:top w:val="single" w:sz="12" w:space="0" w:color="000000"/>
              <w:left w:val="nil"/>
              <w:bottom w:val="nil"/>
              <w:right w:val="nil"/>
            </w:tcBorders>
            <w:tcMar>
              <w:top w:w="-1" w:type="dxa"/>
              <w:left w:w="-1" w:type="dxa"/>
              <w:bottom w:w="-1" w:type="dxa"/>
              <w:right w:w="-1" w:type="dxa"/>
            </w:tcMar>
            <w:vAlign w:val="center"/>
          </w:tcPr>
          <w:p w14:paraId="7C9AD05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992" w:type="dxa"/>
            <w:tcBorders>
              <w:top w:val="single" w:sz="12" w:space="0" w:color="000000"/>
              <w:left w:val="nil"/>
              <w:bottom w:val="nil"/>
              <w:right w:val="nil"/>
            </w:tcBorders>
            <w:tcMar>
              <w:top w:w="-1" w:type="dxa"/>
              <w:left w:w="-1" w:type="dxa"/>
              <w:bottom w:w="-1" w:type="dxa"/>
              <w:right w:w="-1" w:type="dxa"/>
            </w:tcMar>
            <w:vAlign w:val="center"/>
          </w:tcPr>
          <w:p w14:paraId="5A3728F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53" w:type="dxa"/>
            <w:tcBorders>
              <w:top w:val="single" w:sz="12" w:space="0" w:color="000000"/>
              <w:left w:val="nil"/>
              <w:bottom w:val="nil"/>
              <w:right w:val="nil"/>
            </w:tcBorders>
            <w:tcMar>
              <w:top w:w="-1" w:type="dxa"/>
              <w:left w:w="-1" w:type="dxa"/>
              <w:bottom w:w="-1" w:type="dxa"/>
              <w:right w:w="-1" w:type="dxa"/>
            </w:tcMar>
            <w:vAlign w:val="center"/>
          </w:tcPr>
          <w:p w14:paraId="112B7A1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42A4773A" w14:textId="77777777">
        <w:trPr>
          <w:jc w:val="center"/>
        </w:trPr>
        <w:tc>
          <w:tcPr>
            <w:tcW w:w="1420" w:type="dxa"/>
            <w:tcBorders>
              <w:top w:val="single" w:sz="4" w:space="0" w:color="auto"/>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93" w:type="dxa"/>
            <w:tcBorders>
              <w:top w:val="single" w:sz="4" w:space="0" w:color="auto"/>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4.395</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4.699</w:t>
            </w:r>
          </w:p>
        </w:tc>
        <w:tc>
          <w:tcPr>
            <w:tcW w:w="1033" w:type="dxa"/>
            <w:tcBorders>
              <w:top w:val="single" w:sz="4" w:space="0" w:color="auto"/>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0.304</w:t>
            </w:r>
          </w:p>
        </w:tc>
        <w:tc>
          <w:tcPr>
            <w:tcW w:w="1992" w:type="dxa"/>
            <w:tcBorders>
              <w:top w:val="single" w:sz="4" w:space="0" w:color="auto"/>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0.260～0.349</w:t>
            </w:r>
          </w:p>
        </w:tc>
        <w:tc>
          <w:tcPr>
            <w:tcW w:w="1153" w:type="dxa"/>
            <w:tcBorders>
              <w:top w:val="single" w:sz="4" w:space="0" w:color="auto"/>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0.299～0.376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0.300～0.390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0.364～0.444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0.346～0.421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0.352～0.478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0.370～0.507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667F55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两表共14项配对检验统一进行Holm校正；置信区间为各项未作多重比较校正的95%置信区间。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的改善具有年级差异。七年级、十二年级分别提高0.321分和0.292分，校正后均达到统计显著；其他年级未达到显著水平。六年级和十年级的平均变化略为负值，分别约为－0.047分和－0.002分，差异均不显著。因此，不能把总体高阶思维改善写成所有年级均显著提升。</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七个年级均显著提高，平均增分为0.304—0.439分，校正后p均小于0.001。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分年级结果基础上，以32题合计分的前测均值和平均增分为两个指标，经Z标准化后采用Ward层次聚类。合计分仅用于辅助归纳年级特点，不替代高阶思维、高阶社会情感分别进行的成效检验。七个年级各作为一个聚类对象，不纳入全体汇总行。三类方案的轮廓系数为0.445，略高于两类方案的0.411，故呈现三类结果。</w:t>
      </w:r>
    </w:p>
    <w:p w14:paraId="2BD7F2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表3-42  年级发展特点的探索性分组</w:t>
      </w:r>
    </w:p>
    <w:tbl>
      <w:tblPr>
        <w:tblW w:w="8519" w:type="dxa"/>
        <w:jc w:val="center"/>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78BFA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类型</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15D77E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所含年级</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9CCE97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平均前测分</w:t>
            </w:r>
          </w:p>
        </w:tc>
        <w:tc>
          <w:tcPr>
            <w:tcW w:w="1205" w:type="dxa"/>
            <w:tcBorders>
              <w:top w:val="single" w:sz="12" w:space="0" w:color="000000"/>
              <w:left w:val="nil"/>
              <w:bottom w:val="nil"/>
              <w:right w:val="nil"/>
            </w:tcBorders>
            <w:tcMar>
              <w:top w:w="-1" w:type="dxa"/>
              <w:left w:w="-1" w:type="dxa"/>
              <w:bottom w:w="-1" w:type="dxa"/>
              <w:right w:w="-1" w:type="dxa"/>
            </w:tcMar>
            <w:vAlign w:val="center"/>
          </w:tcPr>
          <w:p w14:paraId="7526A98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平均增分</w:t>
            </w:r>
          </w:p>
        </w:tc>
      </w:tr>
      <w:tr w:rsidR="000B1CCE" w14:paraId="6D22353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起点较高、持续提高</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六年级、十一年级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136.89</w:t>
            </w:r>
          </w:p>
        </w:tc>
        <w:tc>
          <w:tcPr>
            <w:tcW w:w="1205" w:type="dxa"/>
            <w:tcBorders>
              <w:top w:val="single" w:sz="4" w:space="0" w:color="auto"/>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7.91</w:t>
            </w:r>
          </w:p>
        </w:tc>
      </w:tr>
    </w:tbl>
    <w:p w14:paraId="4E267C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合计分为32—160分，类型均值按年级等权平均，非按学生人数加权；各类高低仅相对于本批年级。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3）补充检验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任一测次32题全部选择同一选项的记录为448对，剔除后保留898对。重新分析后，七个维度和两个总体指标均显著提高，9项Holm校正后p均小于0.001。该结果支持改善方向的一致性，但高阶思维增幅受筛选影响较大。主要成效仍依据全部1346对记录。</w:t>
      </w:r>
    </w:p>
    <w:p w14:paraId="2391FED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表3-43  两个总体指标的敏感性分析</w:t>
      </w:r>
    </w:p>
    <w:tbl>
      <w:tblPr>
        <w:tblW w:w="8519" w:type="dxa"/>
        <w:jc w:val="center"/>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2E9A6D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8B1625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全部1346对增分</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8156E5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筛选898对增分</w:t>
            </w:r>
          </w:p>
        </w:tc>
        <w:tc>
          <w:tcPr>
            <w:tcW w:w="1984" w:type="dxa"/>
            <w:tcBorders>
              <w:top w:val="single" w:sz="12" w:space="0" w:color="000000"/>
              <w:left w:val="nil"/>
              <w:bottom w:val="nil"/>
              <w:right w:val="nil"/>
            </w:tcBorders>
            <w:tcMar>
              <w:top w:w="-1" w:type="dxa"/>
              <w:left w:w="-1" w:type="dxa"/>
              <w:bottom w:w="-1" w:type="dxa"/>
              <w:right w:w="-1" w:type="dxa"/>
            </w:tcMar>
            <w:vAlign w:val="center"/>
          </w:tcPr>
          <w:p w14:paraId="493763F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筛选样本95%CI</w:t>
            </w:r>
          </w:p>
        </w:tc>
      </w:tr>
      <w:tr w:rsidR="000B1CCE" w14:paraId="2BF4CD6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高阶思维总体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0.204</w:t>
            </w:r>
          </w:p>
        </w:tc>
        <w:tc>
          <w:tcPr>
            <w:tcW w:w="1984" w:type="dxa"/>
            <w:tcBorders>
              <w:top w:val="single" w:sz="4" w:space="0" w:color="auto"/>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0.134～0.273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0.390～0.425</w:t>
            </w:r>
          </w:p>
        </w:tc>
      </w:tr>
    </w:tbl>
    <w:p w14:paraId="75DB76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同选项作答筛选用于敏感性分析，并不意味着这些记录必然无效。</w:t>
      </w:r>
    </w:p>
    <w:p w14:paraId="7F5858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（5）高阶思维能力各维度的发展成效</w:t>
      </w:r>
    </w:p>
    <w:p w14:paraId="7B4AD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1）分析</w:t>
      </w:r>
    </w:p>
    <w:p w14:paraId="0262E6E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表3-44  分析前后测配对比较（n=1346）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2741DBC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249843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06DBA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CA923C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4FCEC2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4A03682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7FBF73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0B096786"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3.941</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0.815</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0.027～0.147</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2.833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jc w:val="center"/>
              <w:rPr>
                <w:rFonts w:ascii="宋体" w:eastAsia="宋体" w:hAnsi="宋体" w:cs="宋体"/>
                <w:sz w:val="24"/>
              </w:rPr>
            </w:pPr>
          </w:p>
        </w:tc>
      </w:tr>
    </w:tbl>
    <w:p w14:paraId="29DBBC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均值差为后测减前测；df=1345；Holm校正后p=0.008；配对效应量dz=0.077。</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分析均分由3.941分提高至4.028分，平均增加0.087分。分析维度得分的提高，反映学生对分解问题、联系已有知识、筛选信息和探究原因等学习行为的自我评价有所改善。</w:t>
      </w:r>
    </w:p>
    <w:p w14:paraId="213C6E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2）评价</w:t>
      </w:r>
    </w:p>
    <w:p w14:paraId="2659AD7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表3-45  评价前后测配对比较（n=1346）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595FD6D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4CC2BE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66026D9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633046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6E3CFFB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352B0BF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4F75C4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36743EB"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3.986</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0.800</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0.028～0.146</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2.903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jc w:val="center"/>
              <w:rPr>
                <w:rFonts w:ascii="宋体" w:eastAsia="宋体" w:hAnsi="宋体" w:cs="宋体"/>
                <w:sz w:val="24"/>
              </w:rPr>
            </w:pPr>
          </w:p>
        </w:tc>
      </w:tr>
    </w:tbl>
    <w:p w14:paraId="541B86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均值差为后测减前测；df=1345；Holm校正后p=0.008；配对效应量dz=0.079。</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评价均分由3.986分提高至4.072分，平均增加0.087分。评价维度得分有所提高，反映学生对检视依据、反思学习方法、比较方案和独立判断等行为的自评改善。</w:t>
      </w:r>
    </w:p>
    <w:p w14:paraId="4273EF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3）创造</w:t>
      </w:r>
    </w:p>
    <w:p w14:paraId="74CA3B4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表3-46  创造前后测配对比较（n=1346）</w:t>
      </w:r>
    </w:p>
    <w:tbl>
      <w:tblPr>
        <w:tblW w:w="8519" w:type="dxa"/>
        <w:jc w:val="center"/>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nil"/>
              <w:right w:val="nil"/>
            </w:tcBorders>
            <w:tcMar>
              <w:top w:w="-1" w:type="dxa"/>
              <w:left w:w="-1" w:type="dxa"/>
              <w:bottom w:w="-1" w:type="dxa"/>
              <w:right w:w="-1" w:type="dxa"/>
            </w:tcMar>
            <w:vAlign w:val="center"/>
          </w:tcPr>
          <w:p w14:paraId="0D50535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5D999D3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693085A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7" w:type="dxa"/>
            <w:tcBorders>
              <w:top w:val="single" w:sz="12" w:space="0" w:color="000000"/>
              <w:left w:val="nil"/>
              <w:bottom w:val="nil"/>
              <w:right w:val="nil"/>
            </w:tcBorders>
            <w:tcMar>
              <w:top w:w="-1" w:type="dxa"/>
              <w:left w:w="-1" w:type="dxa"/>
              <w:bottom w:w="-1" w:type="dxa"/>
              <w:right w:w="-1" w:type="dxa"/>
            </w:tcMar>
            <w:vAlign w:val="center"/>
          </w:tcPr>
          <w:p w14:paraId="0583D5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42" w:type="dxa"/>
            <w:tcBorders>
              <w:top w:val="single" w:sz="12" w:space="0" w:color="000000"/>
              <w:left w:val="nil"/>
              <w:bottom w:val="nil"/>
              <w:right w:val="nil"/>
            </w:tcBorders>
            <w:tcMar>
              <w:top w:w="-1" w:type="dxa"/>
              <w:left w:w="-1" w:type="dxa"/>
              <w:bottom w:w="-1" w:type="dxa"/>
              <w:right w:w="-1" w:type="dxa"/>
            </w:tcMar>
            <w:vAlign w:val="center"/>
          </w:tcPr>
          <w:p w14:paraId="2DADB83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13" w:type="dxa"/>
            <w:tcBorders>
              <w:top w:val="single" w:sz="12" w:space="0" w:color="000000"/>
              <w:left w:val="nil"/>
              <w:bottom w:val="nil"/>
              <w:right w:val="nil"/>
            </w:tcBorders>
            <w:tcMar>
              <w:top w:w="-1" w:type="dxa"/>
              <w:left w:w="-1" w:type="dxa"/>
              <w:bottom w:w="-1" w:type="dxa"/>
              <w:right w:w="-1" w:type="dxa"/>
            </w:tcMar>
            <w:vAlign w:val="center"/>
          </w:tcPr>
          <w:p w14:paraId="7C801B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01" w:type="dxa"/>
            <w:tcBorders>
              <w:top w:val="single" w:sz="12" w:space="0" w:color="000000"/>
              <w:left w:val="nil"/>
              <w:bottom w:val="nil"/>
              <w:right w:val="nil"/>
            </w:tcBorders>
            <w:tcMar>
              <w:top w:w="-1" w:type="dxa"/>
              <w:left w:w="-1" w:type="dxa"/>
              <w:bottom w:w="-1" w:type="dxa"/>
              <w:right w:w="-1" w:type="dxa"/>
            </w:tcMar>
            <w:vAlign w:val="center"/>
          </w:tcPr>
          <w:p w14:paraId="59B64AF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A380E96" w14:textId="77777777">
        <w:trPr>
          <w:jc w:val="center"/>
        </w:trPr>
        <w:tc>
          <w:tcPr>
            <w:tcW w:w="902" w:type="dxa"/>
            <w:tcBorders>
              <w:top w:val="single" w:sz="4" w:space="0" w:color="auto"/>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3.877</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0.865</w:t>
            </w:r>
          </w:p>
        </w:tc>
        <w:tc>
          <w:tcPr>
            <w:tcW w:w="1217" w:type="dxa"/>
            <w:vMerge w:val="restart"/>
            <w:tcBorders>
              <w:top w:val="single" w:sz="4" w:space="0" w:color="auto"/>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0.112</w:t>
            </w:r>
          </w:p>
        </w:tc>
        <w:tc>
          <w:tcPr>
            <w:tcW w:w="2042" w:type="dxa"/>
            <w:vMerge w:val="restart"/>
            <w:tcBorders>
              <w:top w:val="single" w:sz="4" w:space="0" w:color="auto"/>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0.050～0.173</w:t>
            </w:r>
          </w:p>
        </w:tc>
        <w:tc>
          <w:tcPr>
            <w:tcW w:w="1113" w:type="dxa"/>
            <w:vMerge w:val="restart"/>
            <w:tcBorders>
              <w:top w:val="single" w:sz="4" w:space="0" w:color="auto"/>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3.569</w:t>
            </w:r>
          </w:p>
        </w:tc>
        <w:tc>
          <w:tcPr>
            <w:tcW w:w="1201" w:type="dxa"/>
            <w:vMerge w:val="restart"/>
            <w:tcBorders>
              <w:top w:val="single" w:sz="4" w:space="0" w:color="auto"/>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jc w:val="center"/>
              <w:rPr>
                <w:rFonts w:ascii="宋体" w:eastAsia="宋体" w:hAnsi="宋体" w:cs="宋体"/>
                <w:sz w:val="24"/>
              </w:rPr>
            </w:pPr>
          </w:p>
        </w:tc>
      </w:tr>
    </w:tbl>
    <w:p w14:paraId="54CF0B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均值差为后测减前测；df=1345；Holm校正后p=0.001；配对效应量dz=0.097。</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创造均分由3.877分提高至3.989分，平均增加0.112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（6）高阶社会情感能力各维度的发展成效</w:t>
      </w:r>
    </w:p>
    <w:p w14:paraId="1001C1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1）责任担当</w:t>
      </w:r>
    </w:p>
    <w:p w14:paraId="2E68612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表3-47  责任担当前后测配对比较（n=1346）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64DED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9C6336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3AFBB8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07BA2F9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0CBF9B6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2DB8999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1DE8853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6217B06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4.049</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0.797</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0.354</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0.335～0.374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35.409</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jc w:val="center"/>
              <w:rPr>
                <w:rFonts w:ascii="宋体" w:eastAsia="宋体" w:hAnsi="宋体" w:cs="宋体"/>
                <w:sz w:val="24"/>
              </w:rPr>
            </w:pPr>
          </w:p>
        </w:tc>
      </w:tr>
    </w:tbl>
    <w:p w14:paraId="449084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均值差为后测减前测；df=1345；Holm校正后p&lt;0.001；配对效应量dz=0.965。</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责任担当均分由4.049分提高至4.404分，平均增加0.354分。责任担当得分提高，反映学生对任务目标、合作责任、困难坚持与学习反思等行为的自评改善。</w:t>
      </w:r>
    </w:p>
    <w:p w14:paraId="7BCED1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2）情绪调节</w:t>
      </w:r>
    </w:p>
    <w:p w14:paraId="48539258"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表3-48  情绪调节前后测配对比较（n=1346）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492210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AF182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5E33358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D9A6E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589ECB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EF8614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79B881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5D34DDB"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3.938</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0.845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0.389</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0.370～0.408</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40.240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jc w:val="center"/>
              <w:rPr>
                <w:rFonts w:ascii="宋体" w:eastAsia="宋体" w:hAnsi="宋体" w:cs="宋体"/>
                <w:sz w:val="24"/>
              </w:rPr>
            </w:pPr>
          </w:p>
        </w:tc>
      </w:tr>
    </w:tbl>
    <w:p w14:paraId="4B9F197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均值差为后测减前测；df=1345；Holm校正后p&lt;0.001；配对效应量dz=1.097。</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情绪调节均分由3.938分提高至4.328分，平均增加0.389分。情绪调节的平均增分在四个社会情感维度中数值最大，学生对面对困难、意见分歧、紧张情境及学习失误时调节自身状态的评价有所改善。</w:t>
      </w:r>
    </w:p>
    <w:p w14:paraId="26AD7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3）合作共情</w:t>
      </w:r>
    </w:p>
    <w:p w14:paraId="6786E41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表3-49  合作共情前后测配对比较（n=1346）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3CE8A26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3AAA8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5213FB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795E82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7CF730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321EAB6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DA189D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65DC9E2"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4.117</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0.344～0.385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34.520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jc w:val="center"/>
              <w:rPr>
                <w:rFonts w:ascii="宋体" w:eastAsia="宋体" w:hAnsi="宋体" w:cs="宋体"/>
                <w:sz w:val="24"/>
              </w:rPr>
            </w:pPr>
          </w:p>
        </w:tc>
      </w:tr>
    </w:tbl>
    <w:p w14:paraId="6A4C3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均值差为后测减前测；df=1345；Holm校正后p&lt;0.001；配对效应量dz=0.941。</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合作共情均分由4.117分提高至4.482分，平均增加0.365分。合作共情后测均分达到4.482分，在四个社会情感维度中最高，反映学生对倾听、理解不同观点、协商及帮助同伴等行为的积极评价。</w:t>
      </w:r>
    </w:p>
    <w:p w14:paraId="7C5C74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4）包容创新</w:t>
      </w:r>
    </w:p>
    <w:p w14:paraId="01E2CE21"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表3-50  包容创新前后测配对比较（n=1346）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0A76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2D6BDE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1E4B4E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4A15E7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4561594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42ABBE9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1BB2B4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9B7B78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0.812</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0.345～0.385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35.144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jc w:val="center"/>
              <w:rPr>
                <w:rFonts w:ascii="宋体" w:eastAsia="宋体" w:hAnsi="宋体" w:cs="宋体"/>
                <w:sz w:val="24"/>
              </w:rPr>
            </w:pPr>
          </w:p>
        </w:tc>
      </w:tr>
    </w:tbl>
    <w:p w14:paraId="484B11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均值差为后测减前测；df=1345；Holm校正后p&lt;0.001；配对效应量dz=0.958。</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包容创新均分由4.022分提高至4.387分，平均增加0.365分。包容创新得分提高，反映学生对尝试陌生方法、接纳不同想法、持续探究和探索多种可能等行为的自评改善。</w:t>
      </w:r>
    </w:p>
    <w:p w14:paraId="7986EFB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（7）学生问卷开放性回答质性分析</w:t>
      </w:r>
    </w:p>
    <w:p w14:paraId="48A6729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 前测学习困难诊断质性分析</w:t>
      </w:r>
    </w:p>
    <w:p w14:paraId="348787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表3-51  学生前测开放性回答三级编码表</w:t>
      </w:r>
    </w:p>
    <w:tbl>
      <w:tblPr>
        <w:tblW w:w="8522" w:type="dxa"/>
        <w:jc w:val="center"/>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nil"/>
              <w:right w:val="nil"/>
            </w:tcBorders>
            <w:tcMar>
              <w:top w:w="-1" w:type="dxa"/>
              <w:left w:w="-1" w:type="dxa"/>
              <w:bottom w:w="-1" w:type="dxa"/>
              <w:right w:w="-1" w:type="dxa"/>
            </w:tcMar>
            <w:vAlign w:val="center"/>
          </w:tcPr>
          <w:p w14:paraId="4E5839F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570" w:type="dxa"/>
            <w:tcBorders>
              <w:top w:val="single" w:sz="12" w:space="0" w:color="000000"/>
              <w:left w:val="nil"/>
              <w:bottom w:val="nil"/>
              <w:right w:val="nil"/>
            </w:tcBorders>
            <w:tcMar>
              <w:top w:w="-1" w:type="dxa"/>
              <w:left w:w="-1" w:type="dxa"/>
              <w:bottom w:w="-1" w:type="dxa"/>
              <w:right w:w="-1" w:type="dxa"/>
            </w:tcMar>
            <w:vAlign w:val="center"/>
          </w:tcPr>
          <w:p w14:paraId="29B4499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77FAA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93" w:type="dxa"/>
            <w:tcBorders>
              <w:top w:val="single" w:sz="12" w:space="0" w:color="000000"/>
              <w:left w:val="nil"/>
              <w:bottom w:val="nil"/>
              <w:right w:val="nil"/>
            </w:tcBorders>
            <w:tcMar>
              <w:top w:w="-1" w:type="dxa"/>
              <w:left w:w="-1" w:type="dxa"/>
              <w:bottom w:w="-1" w:type="dxa"/>
              <w:right w:w="-1" w:type="dxa"/>
            </w:tcMar>
            <w:vAlign w:val="center"/>
          </w:tcPr>
          <w:p w14:paraId="09D88A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7595D328" w14:textId="77777777">
        <w:trPr>
          <w:jc w:val="center"/>
        </w:trPr>
        <w:tc>
          <w:tcPr>
            <w:tcW w:w="2501" w:type="dxa"/>
            <w:tcBorders>
              <w:top w:val="single" w:sz="4" w:space="0" w:color="auto"/>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不会、想不出、看不懂、难题、新题型</w:t>
            </w:r>
          </w:p>
        </w:tc>
        <w:tc>
          <w:tcPr>
            <w:tcW w:w="2570" w:type="dxa"/>
            <w:tcBorders>
              <w:top w:val="single" w:sz="4" w:space="0" w:color="auto"/>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问题理解、思路生成、陌生任务适应</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复杂问题与认知加工困难</w:t>
            </w:r>
          </w:p>
        </w:tc>
        <w:tc>
          <w:tcPr>
            <w:tcW w:w="1593" w:type="dxa"/>
            <w:tcBorders>
              <w:top w:val="single" w:sz="4" w:space="0" w:color="auto"/>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379</w:t>
            </w:r>
          </w:p>
        </w:tc>
      </w:tr>
    </w:tbl>
    <w:p w14:paraId="0DD174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而不是能力水平的直接测量。</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2）后测学习变化感知质性分析</w:t>
      </w:r>
    </w:p>
    <w:p w14:paraId="2B9757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表3-52  学生后测开放性回答三级编码表</w:t>
      </w:r>
    </w:p>
    <w:tbl>
      <w:tblPr>
        <w:tblW w:w="8870" w:type="dxa"/>
        <w:jc w:val="center"/>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nil"/>
              <w:right w:val="nil"/>
            </w:tcBorders>
            <w:tcMar>
              <w:top w:w="-1" w:type="dxa"/>
              <w:left w:w="-1" w:type="dxa"/>
              <w:bottom w:w="-1" w:type="dxa"/>
              <w:right w:w="-1" w:type="dxa"/>
            </w:tcMar>
            <w:vAlign w:val="center"/>
          </w:tcPr>
          <w:p w14:paraId="6803588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496" w:type="dxa"/>
            <w:tcBorders>
              <w:top w:val="single" w:sz="12" w:space="0" w:color="000000"/>
              <w:left w:val="nil"/>
              <w:bottom w:val="nil"/>
              <w:right w:val="nil"/>
            </w:tcBorders>
            <w:tcMar>
              <w:top w:w="-1" w:type="dxa"/>
              <w:left w:w="-1" w:type="dxa"/>
              <w:bottom w:w="-1" w:type="dxa"/>
              <w:right w:w="-1" w:type="dxa"/>
            </w:tcMar>
            <w:vAlign w:val="center"/>
          </w:tcPr>
          <w:p w14:paraId="63682D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E9CD3E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40" w:type="dxa"/>
            <w:tcBorders>
              <w:top w:val="single" w:sz="12" w:space="0" w:color="000000"/>
              <w:left w:val="nil"/>
              <w:bottom w:val="nil"/>
              <w:right w:val="nil"/>
            </w:tcBorders>
            <w:tcMar>
              <w:top w:w="-1" w:type="dxa"/>
              <w:left w:w="-1" w:type="dxa"/>
              <w:bottom w:w="-1" w:type="dxa"/>
              <w:right w:w="-1" w:type="dxa"/>
            </w:tcMar>
            <w:vAlign w:val="center"/>
          </w:tcPr>
          <w:p w14:paraId="517A351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32AF5738" w14:textId="77777777">
        <w:trPr>
          <w:jc w:val="center"/>
        </w:trPr>
        <w:tc>
          <w:tcPr>
            <w:tcW w:w="2976" w:type="dxa"/>
            <w:tcBorders>
              <w:top w:val="single" w:sz="4" w:space="0" w:color="auto"/>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思考更全面、多角度、更深入、逻辑更清晰</w:t>
            </w:r>
          </w:p>
        </w:tc>
        <w:tc>
          <w:tcPr>
            <w:tcW w:w="2496" w:type="dxa"/>
            <w:tcBorders>
              <w:top w:val="single" w:sz="4" w:space="0" w:color="auto"/>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多角度分析、信息整合、深度加工</w:t>
            </w:r>
          </w:p>
        </w:tc>
        <w:tc>
          <w:tcPr>
            <w:tcW w:w="0" w:type="auto"/>
            <w:tcBorders>
              <w:top w:val="single" w:sz="4" w:space="0" w:color="auto"/>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分析深化与多角度思考</w:t>
            </w:r>
          </w:p>
        </w:tc>
        <w:tc>
          <w:tcPr>
            <w:tcW w:w="1540" w:type="dxa"/>
            <w:tcBorders>
              <w:top w:val="single" w:sz="4" w:space="0" w:color="auto"/>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429</w:t>
            </w:r>
          </w:p>
        </w:tc>
      </w:tr>
    </w:tbl>
    <w:p w14:paraId="5A219B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中，学生最常使用的不是“能力提高了”这样的抽象语言，而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w:t>
      </w:r>
    </w:p>
    <w:p w14:paraId="5653DF7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3）前后测开放性文本的主题对应</w:t>
      </w:r>
    </w:p>
    <w:p w14:paraId="6AAFB2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表3-53  学生前后测开放性文本主题对应表</w:t>
      </w:r>
    </w:p>
    <w:tbl>
      <w:tblPr>
        <w:tblW w:w="8519" w:type="dxa"/>
        <w:jc w:val="center"/>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16AC6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前测困难领域</w:t>
            </w:r>
          </w:p>
        </w:tc>
        <w:tc>
          <w:tcPr>
            <w:tcW w:w="2610" w:type="dxa"/>
            <w:tcBorders>
              <w:top w:val="single" w:sz="12" w:space="0" w:color="000000"/>
              <w:left w:val="nil"/>
              <w:bottom w:val="nil"/>
              <w:right w:val="nil"/>
            </w:tcBorders>
            <w:tcMar>
              <w:top w:w="-1" w:type="dxa"/>
              <w:left w:w="-1" w:type="dxa"/>
              <w:bottom w:w="-1" w:type="dxa"/>
              <w:right w:w="-1" w:type="dxa"/>
            </w:tcMar>
            <w:vAlign w:val="center"/>
          </w:tcPr>
          <w:p w14:paraId="285A658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后测相关主题</w:t>
            </w:r>
          </w:p>
        </w:tc>
        <w:tc>
          <w:tcPr>
            <w:tcW w:w="4044" w:type="dxa"/>
            <w:tcBorders>
              <w:top w:val="single" w:sz="12" w:space="0" w:color="000000"/>
              <w:left w:val="nil"/>
              <w:bottom w:val="nil"/>
              <w:right w:val="nil"/>
            </w:tcBorders>
            <w:tcMar>
              <w:top w:w="-1" w:type="dxa"/>
              <w:left w:w="-1" w:type="dxa"/>
              <w:bottom w:w="-1" w:type="dxa"/>
              <w:right w:w="-1" w:type="dxa"/>
            </w:tcMar>
            <w:vAlign w:val="center"/>
          </w:tcPr>
          <w:p w14:paraId="2EF5632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对应关系</w:t>
            </w:r>
          </w:p>
        </w:tc>
      </w:tr>
      <w:tr w:rsidR="000B1CCE" w14:paraId="7755A89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复杂问题理解、思路生成困难</w:t>
            </w:r>
          </w:p>
        </w:tc>
        <w:tc>
          <w:tcPr>
            <w:tcW w:w="2610" w:type="dxa"/>
            <w:tcBorders>
              <w:top w:val="single" w:sz="4" w:space="0" w:color="auto"/>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分析深化、多角度思考、迁移创新、自主解决</w:t>
            </w:r>
          </w:p>
        </w:tc>
        <w:tc>
          <w:tcPr>
            <w:tcW w:w="4044" w:type="dxa"/>
            <w:tcBorders>
              <w:top w:val="single" w:sz="4" w:space="0" w:color="auto"/>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从“不会、想不出”到“换角度、想多种方法、先自己思考”</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从具体学科困难到“联系知识点”“主动请教”“总结思路”</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后测出现“更认真”“更有计划”“愿意投入时间”等过程性表达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后测出现“冷静”“耐心”“不轻易放弃”等情境化表达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合作沟通、倾听共情、包容开放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后测出现“主动交流”“听取意见”“理解他人”“共同解决”等表达</w:t>
            </w:r>
          </w:p>
        </w:tc>
      </w:tr>
    </w:tbl>
    <w:p w14:paraId="212A60BD" w14:textId="77777777" w:rsidR="000B1CCE" w:rsidRDefault="00000000">
      <w:pPr>
        <w:adjustRightInd w:val="0"/>
        <w:snapToGrid w:val="0"/>
        <w:spacing w:line="360" w:lineRule="auto"/>
        <w:ind w:firstLineChars="200" w:firstLine="480"/>
        <w:rPr>
          <w:b/>
          <w:bCs/>
          <w:color w:val="C00000"/>
          <w:sz w:val="24"/>
          <w:szCs w:val="32"/>
        </w:rPr>
      </w:pPr>
      <w:r>
        <w:rPr>
          <w:rFonts w:ascii="宋体" w:eastAsia="宋体" w:hAnsi="宋体" w:cs="宋体" w:hint="eastAsia"/>
          <w:sz w:val="24"/>
        </w:rPr>
        <w:t>需要强调的是，这种对应属于质性意义上的“问题—回应”关系，而不是严</w:t>
      </w:r>
      <w:r>
        <w:rPr>
          <w:rFonts w:ascii="宋体" w:eastAsia="宋体" w:hAnsi="宋体" w:cs="宋体" w:hint="eastAsia"/>
          <w:sz w:val="24"/>
        </w:rPr>
        <w:lastRenderedPageBreak/>
        <w:t>格的同题前后比较。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br/>
      </w:r>
      <w:r>
        <w:rPr>
          <w:rFonts w:ascii="宋体" w:eastAsia="宋体" w:hAnsi="宋体" w:cs="宋体" w:hint="eastAsia"/>
          <w:sz w:val="24"/>
        </w:rPr>
        <w:t>2.教师问卷前后测结果分析</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2.教师问卷前后测结果分析</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（1）数据来源与研究对象</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前测问卷共163份，后测共172份。匹配表包含129组不重复的前后测对应记录，前测34份、后测43份未纳入该表。纳入记录分别占前测的79.14%和后测的75.00%。因此，编号相同的129组应视为待核实的对应记录，以下配对检验属于探索性分析。</w:t>
      </w:r>
    </w:p>
    <w:p w14:paraId="34DF000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表3-54  纳入匹配表的教师背景分布（n＝129）</w:t>
      </w:r>
    </w:p>
    <w:tbl>
      <w:tblPr>
        <w:tblW w:w="8522"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auto"/>
              <w:left w:val="nil"/>
              <w:bottom w:val="nil"/>
              <w:right w:val="nil"/>
            </w:tcBorders>
            <w:tcMar>
              <w:top w:w="-1" w:type="dxa"/>
              <w:left w:w="-1" w:type="dxa"/>
              <w:bottom w:w="-1" w:type="dxa"/>
              <w:right w:w="-1" w:type="dxa"/>
            </w:tcMar>
            <w:vAlign w:val="center"/>
          </w:tcPr>
          <w:p w14:paraId="6A113401" w14:textId="77777777" w:rsidR="000B1CCE" w:rsidRDefault="00000000">
            <w:pPr>
              <w:keepNext/>
              <w:snapToGrid w:val="0"/>
              <w:spacing w:before="60" w:after="60"/>
              <w:jc w:val="center"/>
              <w:rPr>
                <w:b/>
                <w:sz w:val="18"/>
                <w:szCs w:val="21"/>
              </w:rPr>
            </w:pPr>
            <w:r>
              <w:rPr>
                <w:b/>
                <w:sz w:val="18"/>
                <w:szCs w:val="21"/>
              </w:rPr>
              <w:t>背景特征</w:t>
            </w:r>
          </w:p>
        </w:tc>
        <w:tc>
          <w:tcPr>
            <w:tcW w:w="2349" w:type="dxa"/>
            <w:tcBorders>
              <w:top w:val="single" w:sz="12" w:space="0" w:color="auto"/>
              <w:left w:val="nil"/>
              <w:bottom w:val="nil"/>
              <w:right w:val="nil"/>
            </w:tcBorders>
            <w:tcMar>
              <w:top w:w="-1" w:type="dxa"/>
              <w:left w:w="-1" w:type="dxa"/>
              <w:bottom w:w="-1" w:type="dxa"/>
              <w:right w:w="-1" w:type="dxa"/>
            </w:tcMar>
            <w:vAlign w:val="center"/>
          </w:tcPr>
          <w:p w14:paraId="3105094B" w14:textId="77777777" w:rsidR="000B1CCE" w:rsidRDefault="00000000">
            <w:pPr>
              <w:keepNext/>
              <w:snapToGrid w:val="0"/>
              <w:spacing w:before="60" w:after="60"/>
              <w:jc w:val="center"/>
              <w:rPr>
                <w:b/>
                <w:sz w:val="18"/>
                <w:szCs w:val="21"/>
              </w:rPr>
            </w:pPr>
            <w:r>
              <w:rPr>
                <w:b/>
                <w:sz w:val="18"/>
                <w:szCs w:val="21"/>
              </w:rPr>
              <w:t>类别</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2942508C" w14:textId="77777777" w:rsidR="000B1CCE" w:rsidRDefault="00000000">
            <w:pPr>
              <w:keepNext/>
              <w:snapToGrid w:val="0"/>
              <w:spacing w:before="60" w:after="60"/>
              <w:jc w:val="center"/>
              <w:rPr>
                <w:b/>
                <w:sz w:val="18"/>
                <w:szCs w:val="21"/>
              </w:rPr>
            </w:pPr>
            <w:r>
              <w:rPr>
                <w:b/>
                <w:sz w:val="18"/>
                <w:szCs w:val="21"/>
              </w:rPr>
              <w:t>人数</w:t>
            </w:r>
          </w:p>
        </w:tc>
        <w:tc>
          <w:tcPr>
            <w:tcW w:w="2250" w:type="dxa"/>
            <w:tcBorders>
              <w:top w:val="single" w:sz="12" w:space="0" w:color="auto"/>
              <w:left w:val="nil"/>
              <w:bottom w:val="nil"/>
              <w:right w:val="nil"/>
            </w:tcBorders>
            <w:tcMar>
              <w:top w:w="-1" w:type="dxa"/>
              <w:left w:w="-1" w:type="dxa"/>
              <w:bottom w:w="-1" w:type="dxa"/>
              <w:right w:w="-1" w:type="dxa"/>
            </w:tcMar>
            <w:vAlign w:val="center"/>
          </w:tcPr>
          <w:p w14:paraId="7018DD94" w14:textId="77777777" w:rsidR="000B1CCE" w:rsidRDefault="00000000">
            <w:pPr>
              <w:keepNext/>
              <w:snapToGrid w:val="0"/>
              <w:spacing w:before="60" w:after="60"/>
              <w:jc w:val="center"/>
              <w:rPr>
                <w:b/>
                <w:sz w:val="18"/>
                <w:szCs w:val="21"/>
              </w:rPr>
            </w:pPr>
            <w:r>
              <w:rPr>
                <w:b/>
                <w:sz w:val="18"/>
                <w:szCs w:val="21"/>
              </w:rPr>
              <w:t>比例（</w:t>
            </w:r>
            <w:r>
              <w:rPr>
                <w:b/>
                <w:sz w:val="18"/>
                <w:szCs w:val="21"/>
              </w:rPr>
              <w:t>%</w:t>
            </w:r>
            <w:r>
              <w:rPr>
                <w:b/>
                <w:sz w:val="18"/>
                <w:szCs w:val="21"/>
              </w:rPr>
              <w:t>）</w:t>
            </w:r>
          </w:p>
        </w:tc>
      </w:tr>
      <w:tr w:rsidR="000B1CCE" w14:paraId="26FF566C" w14:textId="77777777">
        <w:trPr>
          <w:jc w:val="center"/>
        </w:trPr>
        <w:tc>
          <w:tcPr>
            <w:tcW w:w="2736" w:type="dxa"/>
            <w:tcBorders>
              <w:top w:val="single" w:sz="4" w:space="0" w:color="auto"/>
              <w:left w:val="nil"/>
              <w:bottom w:val="nil"/>
              <w:right w:val="nil"/>
            </w:tcBorders>
            <w:tcMar>
              <w:top w:w="-1" w:type="dxa"/>
              <w:left w:w="-1" w:type="dxa"/>
              <w:bottom w:w="-1" w:type="dxa"/>
              <w:right w:w="-1" w:type="dxa"/>
            </w:tcMar>
            <w:vAlign w:val="center"/>
          </w:tcPr>
          <w:p w14:paraId="6EA3F8E0"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single" w:sz="4" w:space="0" w:color="auto"/>
              <w:left w:val="nil"/>
              <w:bottom w:val="nil"/>
              <w:right w:val="nil"/>
            </w:tcBorders>
            <w:tcMar>
              <w:top w:w="-1" w:type="dxa"/>
              <w:left w:w="-1" w:type="dxa"/>
              <w:bottom w:w="-1" w:type="dxa"/>
              <w:right w:w="-1" w:type="dxa"/>
            </w:tcMar>
            <w:vAlign w:val="center"/>
          </w:tcPr>
          <w:p w14:paraId="238FA7B5" w14:textId="77777777" w:rsidR="000B1CCE" w:rsidRDefault="00000000">
            <w:pPr>
              <w:keepNext/>
              <w:snapToGrid w:val="0"/>
              <w:spacing w:before="60" w:after="60"/>
              <w:jc w:val="center"/>
              <w:rPr>
                <w:sz w:val="18"/>
                <w:szCs w:val="21"/>
              </w:rPr>
            </w:pPr>
            <w:r>
              <w:rPr>
                <w:sz w:val="18"/>
                <w:szCs w:val="21"/>
              </w:rPr>
              <w:t>3</w:t>
            </w:r>
            <w:r>
              <w:rPr>
                <w:sz w:val="18"/>
                <w:szCs w:val="21"/>
              </w:rPr>
              <w:t>年以下</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592187AB" w14:textId="77777777" w:rsidR="000B1CCE" w:rsidRDefault="00000000">
            <w:pPr>
              <w:keepNext/>
              <w:snapToGrid w:val="0"/>
              <w:spacing w:before="60" w:after="60"/>
              <w:jc w:val="center"/>
              <w:rPr>
                <w:sz w:val="18"/>
                <w:szCs w:val="21"/>
              </w:rPr>
            </w:pPr>
            <w:r>
              <w:rPr>
                <w:sz w:val="18"/>
                <w:szCs w:val="21"/>
              </w:rPr>
              <w:t>26</w:t>
            </w:r>
          </w:p>
        </w:tc>
        <w:tc>
          <w:tcPr>
            <w:tcW w:w="2250" w:type="dxa"/>
            <w:tcBorders>
              <w:top w:val="single" w:sz="4" w:space="0" w:color="auto"/>
              <w:left w:val="nil"/>
              <w:bottom w:val="nil"/>
              <w:right w:val="nil"/>
            </w:tcBorders>
            <w:tcMar>
              <w:top w:w="-1" w:type="dxa"/>
              <w:left w:w="-1" w:type="dxa"/>
              <w:bottom w:w="-1" w:type="dxa"/>
              <w:right w:w="-1" w:type="dxa"/>
            </w:tcMar>
            <w:vAlign w:val="center"/>
          </w:tcPr>
          <w:p w14:paraId="765E9ECF" w14:textId="77777777" w:rsidR="000B1CCE" w:rsidRDefault="00000000">
            <w:pPr>
              <w:keepNext/>
              <w:snapToGrid w:val="0"/>
              <w:spacing w:before="60" w:after="60"/>
              <w:jc w:val="center"/>
              <w:rPr>
                <w:sz w:val="18"/>
                <w:szCs w:val="21"/>
              </w:rPr>
            </w:pPr>
            <w:r>
              <w:rPr>
                <w:sz w:val="18"/>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keepNext/>
              <w:snapToGrid w:val="0"/>
              <w:spacing w:before="60" w:after="60"/>
              <w:jc w:val="center"/>
              <w:rPr>
                <w:sz w:val="18"/>
                <w:szCs w:val="21"/>
              </w:rPr>
            </w:pPr>
            <w:r>
              <w:rPr>
                <w:sz w:val="18"/>
                <w:szCs w:val="21"/>
              </w:rPr>
              <w:t>3-5</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keepNext/>
              <w:snapToGrid w:val="0"/>
              <w:spacing w:before="60" w:after="60"/>
              <w:jc w:val="center"/>
              <w:rPr>
                <w:sz w:val="18"/>
                <w:szCs w:val="21"/>
              </w:rPr>
            </w:pPr>
            <w:r>
              <w:rPr>
                <w:sz w:val="18"/>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keepNext/>
              <w:snapToGrid w:val="0"/>
              <w:spacing w:before="60" w:after="60"/>
              <w:jc w:val="center"/>
              <w:rPr>
                <w:sz w:val="18"/>
                <w:szCs w:val="21"/>
              </w:rPr>
            </w:pPr>
            <w:r>
              <w:rPr>
                <w:sz w:val="18"/>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keepNext/>
              <w:snapToGrid w:val="0"/>
              <w:spacing w:before="60" w:after="60"/>
              <w:jc w:val="center"/>
              <w:rPr>
                <w:sz w:val="18"/>
                <w:szCs w:val="21"/>
              </w:rPr>
            </w:pPr>
            <w:r>
              <w:rPr>
                <w:sz w:val="18"/>
                <w:szCs w:val="21"/>
              </w:rPr>
              <w:t>6-10</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keepNext/>
              <w:snapToGrid w:val="0"/>
              <w:spacing w:before="60" w:after="60"/>
              <w:jc w:val="center"/>
              <w:rPr>
                <w:sz w:val="18"/>
                <w:szCs w:val="21"/>
              </w:rPr>
            </w:pPr>
            <w:r>
              <w:rPr>
                <w:sz w:val="18"/>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keepNext/>
              <w:snapToGrid w:val="0"/>
              <w:spacing w:before="60" w:after="60"/>
              <w:jc w:val="center"/>
              <w:rPr>
                <w:sz w:val="18"/>
                <w:szCs w:val="21"/>
              </w:rPr>
            </w:pPr>
            <w:r>
              <w:rPr>
                <w:sz w:val="18"/>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keepNext/>
              <w:snapToGrid w:val="0"/>
              <w:spacing w:before="60" w:after="60"/>
              <w:jc w:val="center"/>
              <w:rPr>
                <w:sz w:val="18"/>
                <w:szCs w:val="21"/>
              </w:rPr>
            </w:pPr>
            <w:r>
              <w:rPr>
                <w:sz w:val="18"/>
                <w:szCs w:val="21"/>
              </w:rPr>
              <w:t>10</w:t>
            </w:r>
            <w:r>
              <w:rPr>
                <w:sz w:val="18"/>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keepNext/>
              <w:snapToGrid w:val="0"/>
              <w:spacing w:before="60" w:after="60"/>
              <w:jc w:val="center"/>
              <w:rPr>
                <w:sz w:val="18"/>
                <w:szCs w:val="21"/>
              </w:rPr>
            </w:pPr>
            <w:r>
              <w:rPr>
                <w:sz w:val="18"/>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keepNext/>
              <w:snapToGrid w:val="0"/>
              <w:spacing w:before="60" w:after="60"/>
              <w:jc w:val="center"/>
              <w:rPr>
                <w:sz w:val="18"/>
                <w:szCs w:val="21"/>
              </w:rPr>
            </w:pPr>
            <w:r>
              <w:rPr>
                <w:sz w:val="18"/>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keepNext/>
              <w:snapToGrid w:val="0"/>
              <w:spacing w:before="60" w:after="60"/>
              <w:jc w:val="center"/>
              <w:rPr>
                <w:sz w:val="18"/>
                <w:szCs w:val="21"/>
              </w:rPr>
            </w:pPr>
            <w:r>
              <w:rPr>
                <w:sz w:val="18"/>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keepNext/>
              <w:snapToGrid w:val="0"/>
              <w:spacing w:before="60" w:after="60"/>
              <w:jc w:val="center"/>
              <w:rPr>
                <w:sz w:val="18"/>
                <w:szCs w:val="21"/>
              </w:rPr>
            </w:pPr>
            <w:r>
              <w:rPr>
                <w:sz w:val="18"/>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keepNext/>
              <w:snapToGrid w:val="0"/>
              <w:spacing w:before="60" w:after="60"/>
              <w:jc w:val="center"/>
              <w:rPr>
                <w:sz w:val="18"/>
                <w:szCs w:val="21"/>
              </w:rPr>
            </w:pPr>
            <w:r>
              <w:rPr>
                <w:sz w:val="18"/>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keepNext/>
              <w:snapToGrid w:val="0"/>
              <w:spacing w:before="60" w:after="60"/>
              <w:jc w:val="center"/>
              <w:rPr>
                <w:sz w:val="18"/>
                <w:szCs w:val="21"/>
              </w:rPr>
            </w:pPr>
            <w:r>
              <w:rPr>
                <w:sz w:val="18"/>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keepNext/>
              <w:snapToGrid w:val="0"/>
              <w:spacing w:before="60" w:after="60"/>
              <w:jc w:val="center"/>
              <w:rPr>
                <w:sz w:val="18"/>
                <w:szCs w:val="21"/>
              </w:rPr>
            </w:pPr>
            <w:r>
              <w:rPr>
                <w:sz w:val="18"/>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keepNext/>
              <w:snapToGrid w:val="0"/>
              <w:spacing w:before="60" w:after="60"/>
              <w:jc w:val="center"/>
              <w:rPr>
                <w:sz w:val="18"/>
                <w:szCs w:val="21"/>
              </w:rPr>
            </w:pPr>
            <w:r>
              <w:rPr>
                <w:sz w:val="18"/>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keepNext/>
              <w:snapToGrid w:val="0"/>
              <w:spacing w:before="60" w:after="60"/>
              <w:jc w:val="center"/>
              <w:rPr>
                <w:sz w:val="18"/>
                <w:szCs w:val="21"/>
              </w:rPr>
            </w:pPr>
            <w:r>
              <w:rPr>
                <w:sz w:val="18"/>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keepNext/>
              <w:snapToGrid w:val="0"/>
              <w:spacing w:before="60" w:after="60"/>
              <w:jc w:val="center"/>
              <w:rPr>
                <w:sz w:val="18"/>
                <w:szCs w:val="21"/>
              </w:rPr>
            </w:pPr>
            <w:r>
              <w:rPr>
                <w:sz w:val="18"/>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keepNext/>
              <w:snapToGrid w:val="0"/>
              <w:spacing w:before="60" w:after="60"/>
              <w:jc w:val="center"/>
              <w:rPr>
                <w:sz w:val="18"/>
                <w:szCs w:val="21"/>
              </w:rPr>
            </w:pPr>
            <w:r>
              <w:rPr>
                <w:sz w:val="18"/>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keepNext/>
              <w:snapToGrid w:val="0"/>
              <w:spacing w:before="60" w:after="60"/>
              <w:jc w:val="center"/>
              <w:rPr>
                <w:sz w:val="18"/>
                <w:szCs w:val="21"/>
              </w:rPr>
            </w:pPr>
            <w:r>
              <w:rPr>
                <w:sz w:val="18"/>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keepNext/>
              <w:snapToGrid w:val="0"/>
              <w:spacing w:before="60" w:after="60"/>
              <w:jc w:val="center"/>
              <w:rPr>
                <w:sz w:val="18"/>
                <w:szCs w:val="21"/>
              </w:rPr>
            </w:pPr>
            <w:r>
              <w:rPr>
                <w:sz w:val="18"/>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keepNext/>
              <w:snapToGrid w:val="0"/>
              <w:spacing w:before="60" w:after="60"/>
              <w:jc w:val="center"/>
              <w:rPr>
                <w:sz w:val="18"/>
                <w:szCs w:val="21"/>
              </w:rPr>
            </w:pPr>
            <w:r>
              <w:rPr>
                <w:sz w:val="18"/>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keepNext/>
              <w:snapToGrid w:val="0"/>
              <w:spacing w:before="60" w:after="60"/>
              <w:jc w:val="center"/>
              <w:rPr>
                <w:sz w:val="18"/>
                <w:szCs w:val="21"/>
              </w:rPr>
            </w:pPr>
            <w:r>
              <w:rPr>
                <w:sz w:val="18"/>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keepNext/>
              <w:snapToGrid w:val="0"/>
              <w:spacing w:before="60" w:after="60"/>
              <w:jc w:val="center"/>
              <w:rPr>
                <w:sz w:val="18"/>
                <w:szCs w:val="21"/>
              </w:rPr>
            </w:pPr>
            <w:r>
              <w:rPr>
                <w:sz w:val="18"/>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keepNext/>
              <w:snapToGrid w:val="0"/>
              <w:spacing w:before="60" w:after="60"/>
              <w:jc w:val="center"/>
              <w:rPr>
                <w:sz w:val="18"/>
                <w:szCs w:val="21"/>
              </w:rPr>
            </w:pPr>
            <w:r>
              <w:rPr>
                <w:sz w:val="18"/>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keepNext/>
              <w:snapToGrid w:val="0"/>
              <w:spacing w:before="60" w:after="60"/>
              <w:jc w:val="center"/>
              <w:rPr>
                <w:sz w:val="18"/>
                <w:szCs w:val="21"/>
              </w:rPr>
            </w:pPr>
            <w:r>
              <w:rPr>
                <w:sz w:val="18"/>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keepNext/>
              <w:snapToGrid w:val="0"/>
              <w:spacing w:before="60" w:after="60"/>
              <w:jc w:val="center"/>
              <w:rPr>
                <w:sz w:val="18"/>
                <w:szCs w:val="21"/>
              </w:rPr>
            </w:pPr>
            <w:r>
              <w:rPr>
                <w:sz w:val="18"/>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keepNext/>
              <w:snapToGrid w:val="0"/>
              <w:spacing w:before="60" w:after="60"/>
              <w:jc w:val="center"/>
              <w:rPr>
                <w:sz w:val="18"/>
                <w:szCs w:val="21"/>
              </w:rPr>
            </w:pPr>
            <w:r>
              <w:rPr>
                <w:sz w:val="18"/>
                <w:szCs w:val="21"/>
              </w:rPr>
              <w:t>79.84</w:t>
            </w:r>
          </w:p>
        </w:tc>
      </w:tr>
      <w:tr w:rsidR="000B1CCE" w14:paraId="6FB37E16" w14:textId="77777777">
        <w:trPr>
          <w:jc w:val="center"/>
        </w:trPr>
        <w:tc>
          <w:tcPr>
            <w:tcW w:w="2736" w:type="dxa"/>
            <w:tcBorders>
              <w:top w:val="nil"/>
              <w:left w:val="nil"/>
              <w:bottom w:val="single" w:sz="12" w:space="0" w:color="auto"/>
              <w:right w:val="nil"/>
            </w:tcBorders>
            <w:tcMar>
              <w:top w:w="-1" w:type="dxa"/>
              <w:left w:w="-1" w:type="dxa"/>
              <w:bottom w:w="-1" w:type="dxa"/>
              <w:right w:w="-1" w:type="dxa"/>
            </w:tcMar>
            <w:vAlign w:val="center"/>
          </w:tcPr>
          <w:p w14:paraId="5906ABE6"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single" w:sz="12" w:space="0" w:color="auto"/>
              <w:right w:val="nil"/>
            </w:tcBorders>
            <w:tcMar>
              <w:top w:w="-1" w:type="dxa"/>
              <w:left w:w="-1" w:type="dxa"/>
              <w:bottom w:w="-1" w:type="dxa"/>
              <w:right w:w="-1" w:type="dxa"/>
            </w:tcMar>
            <w:vAlign w:val="center"/>
          </w:tcPr>
          <w:p w14:paraId="6FFD738A" w14:textId="77777777" w:rsidR="000B1CCE" w:rsidRDefault="00000000">
            <w:pPr>
              <w:keepNext/>
              <w:snapToGrid w:val="0"/>
              <w:spacing w:before="60" w:after="60"/>
              <w:jc w:val="center"/>
              <w:rPr>
                <w:sz w:val="18"/>
                <w:szCs w:val="21"/>
              </w:rPr>
            </w:pPr>
            <w:r>
              <w:rPr>
                <w:sz w:val="18"/>
                <w:szCs w:val="21"/>
              </w:rPr>
              <w:t>否</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69465EEE" w14:textId="77777777" w:rsidR="000B1CCE" w:rsidRDefault="00000000">
            <w:pPr>
              <w:keepNext/>
              <w:snapToGrid w:val="0"/>
              <w:spacing w:before="60" w:after="60"/>
              <w:jc w:val="center"/>
              <w:rPr>
                <w:sz w:val="18"/>
                <w:szCs w:val="21"/>
              </w:rPr>
            </w:pPr>
            <w:r>
              <w:rPr>
                <w:sz w:val="18"/>
                <w:szCs w:val="21"/>
              </w:rPr>
              <w:t>26</w:t>
            </w:r>
          </w:p>
        </w:tc>
        <w:tc>
          <w:tcPr>
            <w:tcW w:w="2250" w:type="dxa"/>
            <w:tcBorders>
              <w:top w:val="nil"/>
              <w:left w:val="nil"/>
              <w:bottom w:val="single" w:sz="12" w:space="0" w:color="auto"/>
              <w:right w:val="nil"/>
            </w:tcBorders>
            <w:tcMar>
              <w:top w:w="-1" w:type="dxa"/>
              <w:left w:w="-1" w:type="dxa"/>
              <w:bottom w:w="-1" w:type="dxa"/>
              <w:right w:w="-1" w:type="dxa"/>
            </w:tcMar>
            <w:vAlign w:val="center"/>
          </w:tcPr>
          <w:p w14:paraId="4BB4BC95" w14:textId="77777777" w:rsidR="000B1CCE" w:rsidRDefault="00000000">
            <w:pPr>
              <w:keepNext/>
              <w:snapToGrid w:val="0"/>
              <w:spacing w:before="60" w:after="60"/>
              <w:jc w:val="center"/>
              <w:rPr>
                <w:sz w:val="18"/>
                <w:szCs w:val="21"/>
              </w:rPr>
            </w:pPr>
            <w:r>
              <w:rPr>
                <w:sz w:val="18"/>
                <w:szCs w:val="21"/>
              </w:rPr>
              <w:t>20.16</w:t>
            </w:r>
          </w:p>
        </w:tc>
      </w:tr>
    </w:tbl>
    <w:p w14:paraId="53F909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中，教龄10年以上教师61人（47.29%），中级职称教师62人（48.06%）；初中教师86人（66.67%），高中教师43人（33.33%）。前测已有相关培训经历者103人（79.84%），说明参与教师多数在研究实施前已接触相关培训或教研活动。</w:t>
      </w:r>
    </w:p>
    <w:p w14:paraId="13F428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（2）教师学科分布与维度计分方法</w:t>
      </w:r>
    </w:p>
    <w:p w14:paraId="18C87878" w14:textId="77777777" w:rsidR="000B1CCE" w:rsidRDefault="00000000">
      <w:pPr>
        <w:keepNext/>
        <w:snapToGrid w:val="0"/>
      </w:pPr>
      <w:r>
        <w:t>表3-55  纳入匹配表的教师学科分布（n＝129）</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auto"/>
              <w:left w:val="nil"/>
              <w:bottom w:val="nil"/>
              <w:right w:val="nil"/>
            </w:tcBorders>
            <w:tcMar>
              <w:top w:w="-1" w:type="dxa"/>
              <w:left w:w="-1" w:type="dxa"/>
              <w:bottom w:w="-1" w:type="dxa"/>
              <w:right w:w="-1" w:type="dxa"/>
            </w:tcMar>
            <w:vAlign w:val="center"/>
          </w:tcPr>
          <w:p w14:paraId="5DC2595A" w14:textId="77777777" w:rsidR="000B1CCE" w:rsidRDefault="00000000">
            <w:pPr>
              <w:snapToGrid w:val="0"/>
              <w:spacing w:before="60" w:after="60"/>
              <w:jc w:val="center"/>
              <w:rPr>
                <w:b/>
              </w:rPr>
            </w:pPr>
            <w:r>
              <w:rPr>
                <w:b/>
              </w:rPr>
              <w:t>学科</w:t>
            </w:r>
          </w:p>
        </w:tc>
        <w:tc>
          <w:tcPr>
            <w:tcW w:w="1745" w:type="dxa"/>
            <w:tcBorders>
              <w:top w:val="single" w:sz="12" w:space="0" w:color="auto"/>
              <w:left w:val="nil"/>
              <w:bottom w:val="nil"/>
              <w:right w:val="nil"/>
            </w:tcBorders>
            <w:tcMar>
              <w:top w:w="-1" w:type="dxa"/>
              <w:left w:w="-1" w:type="dxa"/>
              <w:bottom w:w="-1" w:type="dxa"/>
              <w:right w:w="-1" w:type="dxa"/>
            </w:tcMar>
            <w:vAlign w:val="center"/>
          </w:tcPr>
          <w:p w14:paraId="03EAAFA9" w14:textId="77777777" w:rsidR="000B1CCE" w:rsidRDefault="00000000">
            <w:pPr>
              <w:snapToGrid w:val="0"/>
              <w:spacing w:before="60" w:after="60"/>
              <w:jc w:val="center"/>
              <w:rPr>
                <w:b/>
              </w:rPr>
            </w:pPr>
            <w:r>
              <w:rPr>
                <w:b/>
              </w:rPr>
              <w:t>人数</w:t>
            </w:r>
          </w:p>
        </w:tc>
        <w:tc>
          <w:tcPr>
            <w:tcW w:w="3315" w:type="dxa"/>
            <w:tcBorders>
              <w:top w:val="single" w:sz="12" w:space="0" w:color="auto"/>
              <w:left w:val="nil"/>
              <w:bottom w:val="nil"/>
              <w:right w:val="nil"/>
            </w:tcBorders>
            <w:tcMar>
              <w:top w:w="-1" w:type="dxa"/>
              <w:left w:w="-1" w:type="dxa"/>
              <w:bottom w:w="-1" w:type="dxa"/>
              <w:right w:w="-1" w:type="dxa"/>
            </w:tcMar>
            <w:vAlign w:val="center"/>
          </w:tcPr>
          <w:p w14:paraId="5D619154" w14:textId="77777777" w:rsidR="000B1CCE" w:rsidRDefault="00000000">
            <w:pPr>
              <w:snapToGrid w:val="0"/>
              <w:spacing w:before="60" w:after="60"/>
              <w:jc w:val="center"/>
              <w:rPr>
                <w:b/>
              </w:rPr>
            </w:pPr>
            <w:r>
              <w:rPr>
                <w:b/>
              </w:rPr>
              <w:t>比例（</w:t>
            </w:r>
            <w:r>
              <w:rPr>
                <w:b/>
              </w:rPr>
              <w:t>%</w:t>
            </w:r>
            <w:r>
              <w:rPr>
                <w:b/>
              </w:rPr>
              <w:t>）</w:t>
            </w:r>
          </w:p>
        </w:tc>
      </w:tr>
      <w:tr w:rsidR="000B1CCE" w14:paraId="7831D96A" w14:textId="77777777">
        <w:trPr>
          <w:jc w:val="center"/>
        </w:trPr>
        <w:tc>
          <w:tcPr>
            <w:tcW w:w="3458" w:type="dxa"/>
            <w:tcBorders>
              <w:top w:val="single" w:sz="4" w:space="0" w:color="auto"/>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60" w:after="60"/>
              <w:jc w:val="center"/>
            </w:pPr>
            <w:r>
              <w:t>语文</w:t>
            </w:r>
          </w:p>
        </w:tc>
        <w:tc>
          <w:tcPr>
            <w:tcW w:w="1745" w:type="dxa"/>
            <w:tcBorders>
              <w:top w:val="single" w:sz="4" w:space="0" w:color="auto"/>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60" w:after="60"/>
              <w:jc w:val="center"/>
            </w:pPr>
            <w:r>
              <w:t>29</w:t>
            </w:r>
          </w:p>
        </w:tc>
        <w:tc>
          <w:tcPr>
            <w:tcW w:w="3315" w:type="dxa"/>
            <w:tcBorders>
              <w:top w:val="single" w:sz="4" w:space="0" w:color="auto"/>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60" w:after="60"/>
              <w:jc w:val="center"/>
            </w:pPr>
            <w: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60" w:after="60"/>
              <w:jc w:val="center"/>
            </w:pPr>
            <w: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60" w:after="60"/>
              <w:jc w:val="center"/>
            </w:pPr>
            <w: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60" w:after="60"/>
              <w:jc w:val="center"/>
            </w:pPr>
            <w: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60" w:after="60"/>
              <w:jc w:val="center"/>
            </w:pPr>
            <w: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60" w:after="60"/>
              <w:jc w:val="center"/>
            </w:pPr>
            <w: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60" w:after="60"/>
              <w:jc w:val="center"/>
            </w:pPr>
            <w: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60" w:after="60"/>
              <w:jc w:val="center"/>
            </w:pPr>
            <w: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60" w:after="60"/>
              <w:jc w:val="center"/>
            </w:pPr>
            <w: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60" w:after="60"/>
              <w:jc w:val="center"/>
            </w:pPr>
            <w: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60" w:after="60"/>
              <w:jc w:val="center"/>
            </w:pPr>
            <w: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60" w:after="60"/>
              <w:jc w:val="center"/>
            </w:pPr>
            <w: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60" w:after="60"/>
              <w:jc w:val="center"/>
            </w:pPr>
            <w: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60" w:after="60"/>
              <w:jc w:val="center"/>
            </w:pPr>
            <w: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60" w:after="60"/>
              <w:jc w:val="center"/>
            </w:pPr>
            <w:r>
              <w:t>道法</w:t>
            </w:r>
            <w:r>
              <w:t>/</w:t>
            </w:r>
            <w: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60" w:after="60"/>
              <w:jc w:val="center"/>
            </w:pPr>
            <w: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60" w:after="60"/>
              <w:jc w:val="center"/>
            </w:pPr>
            <w: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60" w:after="60"/>
              <w:jc w:val="center"/>
            </w:pPr>
            <w: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60" w:after="60"/>
              <w:jc w:val="center"/>
            </w:pPr>
            <w: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60" w:after="60"/>
              <w:jc w:val="center"/>
            </w:pPr>
            <w: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60" w:after="60"/>
              <w:jc w:val="center"/>
            </w:pPr>
            <w: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60" w:after="60"/>
              <w:jc w:val="center"/>
              <w:rPr>
                <w:rFonts w:eastAsia="宋体"/>
              </w:rPr>
            </w:pPr>
            <w:r>
              <w:rPr>
                <w:rFonts w:eastAsia="宋体" w:hint="eastAsia"/>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60" w:after="60"/>
              <w:jc w:val="center"/>
            </w:pPr>
            <w: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60" w:after="60"/>
              <w:jc w:val="center"/>
            </w:pPr>
            <w: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60" w:after="60"/>
              <w:jc w:val="center"/>
            </w:pPr>
            <w: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60" w:after="60"/>
              <w:jc w:val="center"/>
            </w:pPr>
            <w: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60" w:after="60"/>
              <w:jc w:val="center"/>
            </w:pPr>
            <w: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60" w:after="60"/>
              <w:jc w:val="center"/>
            </w:pPr>
            <w: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60" w:after="60"/>
              <w:jc w:val="center"/>
            </w:pPr>
            <w:r>
              <w:t>0.78</w:t>
            </w:r>
          </w:p>
        </w:tc>
      </w:tr>
      <w:tr w:rsidR="000B1CCE" w14:paraId="2D3D8F99" w14:textId="77777777">
        <w:trPr>
          <w:jc w:val="center"/>
        </w:trPr>
        <w:tc>
          <w:tcPr>
            <w:tcW w:w="3458" w:type="dxa"/>
            <w:tcBorders>
              <w:top w:val="nil"/>
              <w:left w:val="nil"/>
              <w:bottom w:val="single" w:sz="12" w:space="0" w:color="auto"/>
              <w:right w:val="nil"/>
            </w:tcBorders>
            <w:tcMar>
              <w:top w:w="-1" w:type="dxa"/>
              <w:left w:w="-1" w:type="dxa"/>
              <w:bottom w:w="-1" w:type="dxa"/>
              <w:right w:w="-1" w:type="dxa"/>
            </w:tcMar>
            <w:vAlign w:val="center"/>
          </w:tcPr>
          <w:p w14:paraId="5836C8D6" w14:textId="77777777" w:rsidR="000B1CCE" w:rsidRDefault="00000000">
            <w:pPr>
              <w:snapToGrid w:val="0"/>
              <w:spacing w:before="60" w:after="60"/>
              <w:jc w:val="center"/>
              <w:rPr>
                <w:b/>
              </w:rPr>
            </w:pPr>
            <w:r>
              <w:rPr>
                <w:b/>
              </w:rPr>
              <w:t>合计</w:t>
            </w:r>
          </w:p>
        </w:tc>
        <w:tc>
          <w:tcPr>
            <w:tcW w:w="1745" w:type="dxa"/>
            <w:tcBorders>
              <w:top w:val="nil"/>
              <w:left w:val="nil"/>
              <w:bottom w:val="single" w:sz="12" w:space="0" w:color="auto"/>
              <w:right w:val="nil"/>
            </w:tcBorders>
            <w:tcMar>
              <w:top w:w="-1" w:type="dxa"/>
              <w:left w:w="-1" w:type="dxa"/>
              <w:bottom w:w="-1" w:type="dxa"/>
              <w:right w:w="-1" w:type="dxa"/>
            </w:tcMar>
            <w:vAlign w:val="center"/>
          </w:tcPr>
          <w:p w14:paraId="48C39681" w14:textId="77777777" w:rsidR="000B1CCE" w:rsidRDefault="00000000">
            <w:pPr>
              <w:snapToGrid w:val="0"/>
              <w:spacing w:before="60" w:after="60"/>
              <w:jc w:val="center"/>
              <w:rPr>
                <w:b/>
              </w:rPr>
            </w:pPr>
            <w:r>
              <w:rPr>
                <w:b/>
              </w:rPr>
              <w:t>129</w:t>
            </w:r>
          </w:p>
        </w:tc>
        <w:tc>
          <w:tcPr>
            <w:tcW w:w="3315" w:type="dxa"/>
            <w:tcBorders>
              <w:top w:val="nil"/>
              <w:left w:val="nil"/>
              <w:bottom w:val="single" w:sz="12" w:space="0" w:color="auto"/>
              <w:right w:val="nil"/>
            </w:tcBorders>
            <w:tcMar>
              <w:top w:w="-1" w:type="dxa"/>
              <w:left w:w="-1" w:type="dxa"/>
              <w:bottom w:w="-1" w:type="dxa"/>
              <w:right w:w="-1" w:type="dxa"/>
            </w:tcMar>
            <w:vAlign w:val="center"/>
          </w:tcPr>
          <w:p w14:paraId="1271A7C3" w14:textId="77777777" w:rsidR="000B1CCE" w:rsidRDefault="00000000">
            <w:pPr>
              <w:snapToGrid w:val="0"/>
              <w:spacing w:before="60" w:after="60"/>
              <w:jc w:val="center"/>
              <w:rPr>
                <w:b/>
              </w:rPr>
            </w:pPr>
            <w:r>
              <w:rPr>
                <w:b/>
              </w:rPr>
              <w:t>100.00</w:t>
            </w:r>
          </w:p>
        </w:tc>
      </w:tr>
    </w:tbl>
    <w:p w14:paraId="2DBABD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涵盖13类学科，其中语文29人（22.48%）、英语19人（14.73%）、体育与健康15人（11.63%）、数学14人（10.85%）。样本具有多学科构成，但学科人数不均衡，部分学科仅1—3人，不能据此认定各学科教师均有相同程度的变化。</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保证前后测可比，本次仅保留两次问卷共有的22个题项，分别构成认知与价值认同（7题）、课堂教学实践（6题）、教学自我效能（3题）和现实阻碍（6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照“完全不符合”至“完全符合”依次赋值1—5分，以题项平均分作为维度得分；129组记录的共同题项均无缺失。前三个维度分数越高表示自评水平越高，现实阻碍分数越高表示困难感受越强，因此该维度下降才是有利方向。课堂实践首题后测使用“更有意识”，部分阻碍题使用“仍然”等表述，解释时需考虑措辞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统计采用双侧配对t检验，报告前后测均值、标准差、前测减后测的平均差值及其95%置信区间，并对四次检验采用Holm法校正。显著性水平为0.05。上述检验以前后记录属于同一教师、不同教师差值相互独立为前提；现有匹配身份</w:t>
      </w:r>
      <w:r>
        <w:rPr>
          <w:rFonts w:ascii="宋体" w:eastAsia="宋体" w:hAnsi="宋体" w:cs="宋体" w:hint="eastAsia"/>
          <w:sz w:val="24"/>
        </w:rPr>
        <w:lastRenderedPageBreak/>
        <w:t>尚待核实，故统计结果只作条件性解释。</w:t>
      </w:r>
    </w:p>
    <w:p w14:paraId="436C7B80"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（3）各维度前后测配对分析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以下每个维度单独列表示出前后测结果。为与样表保持一致，表中差值统一按“前测－后测”计算；文字说明则直接报告上升或下降的方向。</w:t>
      </w:r>
    </w:p>
    <w:p w14:paraId="032D53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1）认知与价值认同</w:t>
      </w:r>
    </w:p>
    <w:p w14:paraId="7CDCA88E" w14:textId="77777777" w:rsidR="000B1CCE" w:rsidRDefault="00000000">
      <w:pPr>
        <w:keepNext/>
        <w:snapToGrid w:val="0"/>
      </w:pPr>
      <w:r>
        <w:t>表3-56  教师认知与价值认同前后测配对分析（n＝129）</w:t>
      </w:r>
    </w:p>
    <w:tbl>
      <w:tblPr>
        <w:tblW w:w="8519" w:type="dxa"/>
        <w:jc w:val="center"/>
        <w:tblBorders>
          <w:bottom w:val="none" w:sz="12" w:space="0" w:color="auto"/>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auto"/>
              <w:left w:val="nil"/>
              <w:bottom w:val="nil"/>
              <w:right w:val="nil"/>
            </w:tcBorders>
            <w:tcMar>
              <w:top w:w="-1" w:type="dxa"/>
              <w:left w:w="-1" w:type="dxa"/>
              <w:bottom w:w="-1" w:type="dxa"/>
              <w:right w:w="-1" w:type="dxa"/>
            </w:tcMar>
            <w:vAlign w:val="center"/>
          </w:tcPr>
          <w:p w14:paraId="383B4D2B" w14:textId="77777777" w:rsidR="000B1CCE" w:rsidRDefault="00000000">
            <w:pPr>
              <w:snapToGrid w:val="0"/>
              <w:spacing w:before="60" w:after="60"/>
              <w:jc w:val="center"/>
              <w:rPr>
                <w:b/>
              </w:rPr>
            </w:pPr>
            <w:r>
              <w:rPr>
                <w:b/>
              </w:rPr>
              <w:t>配对</w:t>
            </w:r>
            <w:r>
              <w:rPr>
                <w:b/>
              </w:rPr>
              <w:t>1</w:t>
            </w:r>
          </w:p>
        </w:tc>
        <w:tc>
          <w:tcPr>
            <w:tcW w:w="1320" w:type="dxa"/>
            <w:vMerge w:val="restart"/>
            <w:tcBorders>
              <w:top w:val="single" w:sz="12" w:space="0" w:color="auto"/>
              <w:left w:val="nil"/>
              <w:bottom w:val="nil"/>
              <w:right w:val="nil"/>
            </w:tcBorders>
            <w:tcMar>
              <w:top w:w="-1" w:type="dxa"/>
              <w:left w:w="-1" w:type="dxa"/>
              <w:bottom w:w="-1" w:type="dxa"/>
              <w:right w:w="-1" w:type="dxa"/>
            </w:tcMar>
            <w:vAlign w:val="center"/>
          </w:tcPr>
          <w:p w14:paraId="560C4582" w14:textId="77777777" w:rsidR="000B1CCE" w:rsidRDefault="00000000">
            <w:pPr>
              <w:snapToGrid w:val="0"/>
              <w:spacing w:before="60" w:after="60"/>
              <w:jc w:val="center"/>
              <w:rPr>
                <w:b/>
              </w:rPr>
            </w:pPr>
            <w:r>
              <w:rPr>
                <w:b/>
              </w:rPr>
              <w:t>均值差异</w:t>
            </w:r>
          </w:p>
        </w:tc>
        <w:tc>
          <w:tcPr>
            <w:tcW w:w="1086" w:type="dxa"/>
            <w:gridSpan w:val="2"/>
            <w:tcBorders>
              <w:top w:val="single" w:sz="12" w:space="0" w:color="auto"/>
              <w:left w:val="nil"/>
              <w:bottom w:val="nil"/>
              <w:right w:val="nil"/>
            </w:tcBorders>
            <w:tcMar>
              <w:top w:w="-1" w:type="dxa"/>
              <w:left w:w="-1" w:type="dxa"/>
              <w:bottom w:w="-1" w:type="dxa"/>
              <w:right w:w="-1" w:type="dxa"/>
            </w:tcMar>
            <w:vAlign w:val="center"/>
          </w:tcPr>
          <w:p w14:paraId="2FD372BB" w14:textId="77777777" w:rsidR="000B1CCE" w:rsidRDefault="00000000">
            <w:pPr>
              <w:snapToGrid w:val="0"/>
              <w:spacing w:before="60" w:after="60"/>
              <w:jc w:val="center"/>
              <w:rPr>
                <w:b/>
              </w:rPr>
            </w:pPr>
            <w:r>
              <w:rPr>
                <w:b/>
              </w:rPr>
              <w:t>差值</w:t>
            </w:r>
            <w:r>
              <w:rPr>
                <w:b/>
              </w:rPr>
              <w:t>95%</w:t>
            </w:r>
            <w:r>
              <w:rPr>
                <w:b/>
              </w:rPr>
              <w:t>置信区间</w:t>
            </w:r>
          </w:p>
        </w:tc>
        <w:tc>
          <w:tcPr>
            <w:tcW w:w="748" w:type="dxa"/>
            <w:vMerge w:val="restart"/>
            <w:tcBorders>
              <w:top w:val="single" w:sz="12" w:space="0" w:color="auto"/>
              <w:left w:val="nil"/>
              <w:bottom w:val="nil"/>
              <w:right w:val="nil"/>
            </w:tcBorders>
            <w:tcMar>
              <w:top w:w="-1" w:type="dxa"/>
              <w:left w:w="-1" w:type="dxa"/>
              <w:bottom w:w="-1" w:type="dxa"/>
              <w:right w:w="-1" w:type="dxa"/>
            </w:tcMar>
            <w:vAlign w:val="center"/>
          </w:tcPr>
          <w:p w14:paraId="5DE535FD" w14:textId="77777777" w:rsidR="000B1CCE" w:rsidRDefault="00000000">
            <w:pPr>
              <w:snapToGrid w:val="0"/>
              <w:spacing w:before="60" w:after="60"/>
              <w:jc w:val="center"/>
              <w:rPr>
                <w:b/>
              </w:rPr>
            </w:pPr>
            <w:r>
              <w:rPr>
                <w:b/>
              </w:rPr>
              <w:t>t</w:t>
            </w:r>
          </w:p>
        </w:tc>
        <w:tc>
          <w:tcPr>
            <w:tcW w:w="877" w:type="dxa"/>
            <w:vMerge w:val="restart"/>
            <w:tcBorders>
              <w:top w:val="single" w:sz="12" w:space="0" w:color="auto"/>
              <w:left w:val="nil"/>
              <w:bottom w:val="nil"/>
              <w:right w:val="nil"/>
            </w:tcBorders>
            <w:tcMar>
              <w:top w:w="-1" w:type="dxa"/>
              <w:left w:w="-1" w:type="dxa"/>
              <w:bottom w:w="-1" w:type="dxa"/>
              <w:right w:w="-1" w:type="dxa"/>
            </w:tcMar>
            <w:vAlign w:val="center"/>
          </w:tcPr>
          <w:p w14:paraId="3D5524BE" w14:textId="77777777" w:rsidR="000B1CCE" w:rsidRDefault="00000000">
            <w:pPr>
              <w:snapToGrid w:val="0"/>
              <w:spacing w:before="60" w:after="60"/>
              <w:jc w:val="center"/>
              <w:rPr>
                <w:b/>
              </w:rPr>
            </w:pPr>
            <w:r>
              <w:rPr>
                <w:b/>
              </w:rPr>
              <w:t>Sig.</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066F7434" w14:textId="77777777" w:rsidR="000B1CCE" w:rsidRDefault="00000000">
            <w:pPr>
              <w:snapToGrid w:val="0"/>
              <w:spacing w:before="60" w:after="60"/>
              <w:jc w:val="center"/>
              <w:rPr>
                <w:b/>
              </w:rPr>
            </w:pPr>
            <w:r>
              <w:rPr>
                <w:b/>
              </w:rPr>
              <w:t>M</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7CC9A6EF" w14:textId="77777777" w:rsidR="000B1CCE" w:rsidRDefault="00000000">
            <w:pPr>
              <w:snapToGrid w:val="0"/>
              <w:spacing w:before="60" w:after="60"/>
              <w:jc w:val="center"/>
              <w:rPr>
                <w:b/>
              </w:rPr>
            </w:pPr>
            <w:r>
              <w:rPr>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60" w:after="60"/>
              <w:jc w:val="center"/>
              <w:rPr>
                <w:b/>
              </w:rPr>
            </w:pPr>
            <w:r>
              <w:rPr>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60" w:after="60"/>
              <w:jc w:val="center"/>
              <w:rPr>
                <w:b/>
              </w:rPr>
            </w:pPr>
            <w:r>
              <w:rPr>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60" w:after="60"/>
              <w:jc w:val="center"/>
            </w:pPr>
            <w: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60" w:after="60"/>
              <w:jc w:val="center"/>
            </w:pPr>
            <w: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60" w:after="60"/>
              <w:jc w:val="center"/>
            </w:pPr>
            <w: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60" w:after="60"/>
              <w:jc w:val="center"/>
            </w:pPr>
            <w: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60" w:after="60"/>
              <w:jc w:val="center"/>
            </w:pPr>
            <w: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60" w:after="60"/>
              <w:jc w:val="center"/>
            </w:pPr>
            <w: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60" w:after="60"/>
              <w:jc w:val="center"/>
            </w:pPr>
            <w: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60" w:after="60"/>
              <w:jc w:val="center"/>
            </w:pPr>
            <w:r>
              <w:t>0.74</w:t>
            </w:r>
          </w:p>
        </w:tc>
      </w:tr>
      <w:tr w:rsidR="000B1CCE" w14:paraId="6A809718" w14:textId="77777777">
        <w:trPr>
          <w:jc w:val="center"/>
        </w:trPr>
        <w:tc>
          <w:tcPr>
            <w:tcW w:w="1791" w:type="dxa"/>
            <w:tcBorders>
              <w:top w:val="nil"/>
              <w:left w:val="nil"/>
              <w:bottom w:val="single" w:sz="12" w:space="0" w:color="auto"/>
              <w:right w:val="nil"/>
            </w:tcBorders>
            <w:tcMar>
              <w:top w:w="-1" w:type="dxa"/>
              <w:left w:w="-1" w:type="dxa"/>
              <w:bottom w:w="-1" w:type="dxa"/>
              <w:right w:w="-1" w:type="dxa"/>
            </w:tcMar>
            <w:vAlign w:val="center"/>
          </w:tcPr>
          <w:p w14:paraId="5460880F" w14:textId="77777777" w:rsidR="000B1CCE" w:rsidRDefault="00000000">
            <w:pPr>
              <w:snapToGrid w:val="0"/>
              <w:spacing w:before="60" w:after="60"/>
              <w:jc w:val="center"/>
            </w:pPr>
            <w:r>
              <w:t>均分（后测）</w:t>
            </w:r>
          </w:p>
        </w:tc>
        <w:tc>
          <w:tcPr>
            <w:tcW w:w="1320" w:type="dxa"/>
            <w:vMerge/>
            <w:tcBorders>
              <w:top w:val="nil"/>
              <w:left w:val="nil"/>
              <w:bottom w:val="single" w:sz="12" w:space="0" w:color="auto"/>
              <w:right w:val="nil"/>
            </w:tcBorders>
            <w:tcMar>
              <w:top w:w="-1" w:type="dxa"/>
              <w:left w:w="-1" w:type="dxa"/>
              <w:bottom w:w="-1" w:type="dxa"/>
              <w:right w:w="-1" w:type="dxa"/>
            </w:tcMar>
            <w:vAlign w:val="center"/>
          </w:tcPr>
          <w:p w14:paraId="16508C61" w14:textId="77777777" w:rsidR="000B1CCE" w:rsidRDefault="000B1CCE">
            <w:pPr>
              <w:snapToGrid w:val="0"/>
              <w:jc w:val="center"/>
            </w:pPr>
          </w:p>
        </w:tc>
        <w:tc>
          <w:tcPr>
            <w:tcW w:w="1111" w:type="dxa"/>
            <w:vMerge/>
            <w:tcBorders>
              <w:top w:val="nil"/>
              <w:left w:val="nil"/>
              <w:bottom w:val="single" w:sz="12" w:space="0" w:color="auto"/>
              <w:right w:val="nil"/>
            </w:tcBorders>
            <w:tcMar>
              <w:top w:w="-1" w:type="dxa"/>
              <w:left w:w="-1" w:type="dxa"/>
              <w:bottom w:w="-1" w:type="dxa"/>
              <w:right w:w="-1" w:type="dxa"/>
            </w:tcMar>
            <w:vAlign w:val="center"/>
          </w:tcPr>
          <w:p w14:paraId="2B26326B" w14:textId="77777777" w:rsidR="000B1CCE" w:rsidRDefault="000B1CCE">
            <w:pPr>
              <w:snapToGrid w:val="0"/>
              <w:jc w:val="center"/>
            </w:pPr>
          </w:p>
        </w:tc>
        <w:tc>
          <w:tcPr>
            <w:tcW w:w="1086" w:type="dxa"/>
            <w:vMerge/>
            <w:tcBorders>
              <w:top w:val="nil"/>
              <w:left w:val="nil"/>
              <w:bottom w:val="single" w:sz="12" w:space="0" w:color="auto"/>
              <w:right w:val="nil"/>
            </w:tcBorders>
            <w:tcMar>
              <w:top w:w="-1" w:type="dxa"/>
              <w:left w:w="-1" w:type="dxa"/>
              <w:bottom w:w="-1" w:type="dxa"/>
              <w:right w:w="-1" w:type="dxa"/>
            </w:tcMar>
            <w:vAlign w:val="center"/>
          </w:tcPr>
          <w:p w14:paraId="7368E9CA" w14:textId="77777777" w:rsidR="000B1CCE" w:rsidRDefault="000B1CCE">
            <w:pPr>
              <w:snapToGrid w:val="0"/>
              <w:jc w:val="center"/>
            </w:pPr>
          </w:p>
        </w:tc>
        <w:tc>
          <w:tcPr>
            <w:tcW w:w="748" w:type="dxa"/>
            <w:vMerge/>
            <w:tcBorders>
              <w:top w:val="nil"/>
              <w:left w:val="nil"/>
              <w:bottom w:val="single" w:sz="12" w:space="0" w:color="auto"/>
              <w:right w:val="nil"/>
            </w:tcBorders>
            <w:tcMar>
              <w:top w:w="-1" w:type="dxa"/>
              <w:left w:w="-1" w:type="dxa"/>
              <w:bottom w:w="-1" w:type="dxa"/>
              <w:right w:w="-1" w:type="dxa"/>
            </w:tcMar>
            <w:vAlign w:val="center"/>
          </w:tcPr>
          <w:p w14:paraId="1ADDF00F" w14:textId="77777777" w:rsidR="000B1CCE" w:rsidRDefault="000B1CCE">
            <w:pPr>
              <w:snapToGrid w:val="0"/>
              <w:jc w:val="center"/>
            </w:pPr>
          </w:p>
        </w:tc>
        <w:tc>
          <w:tcPr>
            <w:tcW w:w="877" w:type="dxa"/>
            <w:vMerge/>
            <w:tcBorders>
              <w:top w:val="nil"/>
              <w:left w:val="nil"/>
              <w:bottom w:val="single" w:sz="12" w:space="0" w:color="auto"/>
              <w:right w:val="nil"/>
            </w:tcBorders>
            <w:tcMar>
              <w:top w:w="-1" w:type="dxa"/>
              <w:left w:w="-1" w:type="dxa"/>
              <w:bottom w:w="-1" w:type="dxa"/>
              <w:right w:w="-1" w:type="dxa"/>
            </w:tcMar>
            <w:vAlign w:val="center"/>
          </w:tcPr>
          <w:p w14:paraId="4F4F24B9" w14:textId="77777777" w:rsidR="000B1CCE" w:rsidRDefault="000B1CCE">
            <w:pPr>
              <w:snapToGrid w:val="0"/>
              <w:jc w:val="center"/>
            </w:pPr>
          </w:p>
        </w:tc>
        <w:tc>
          <w:tcPr>
            <w:tcW w:w="793" w:type="dxa"/>
            <w:tcBorders>
              <w:top w:val="nil"/>
              <w:left w:val="nil"/>
              <w:bottom w:val="single" w:sz="12" w:space="0" w:color="auto"/>
              <w:right w:val="nil"/>
            </w:tcBorders>
            <w:tcMar>
              <w:top w:w="-1" w:type="dxa"/>
              <w:left w:w="-1" w:type="dxa"/>
              <w:bottom w:w="-1" w:type="dxa"/>
              <w:right w:w="-1" w:type="dxa"/>
            </w:tcMar>
            <w:vAlign w:val="center"/>
          </w:tcPr>
          <w:p w14:paraId="2A40ACAB" w14:textId="77777777" w:rsidR="000B1CCE" w:rsidRDefault="00000000">
            <w:pPr>
              <w:snapToGrid w:val="0"/>
              <w:spacing w:before="60" w:after="60"/>
              <w:jc w:val="center"/>
            </w:pPr>
            <w:r>
              <w:t>4.35</w:t>
            </w:r>
          </w:p>
        </w:tc>
        <w:tc>
          <w:tcPr>
            <w:tcW w:w="793" w:type="dxa"/>
            <w:tcBorders>
              <w:top w:val="nil"/>
              <w:left w:val="nil"/>
              <w:bottom w:val="single" w:sz="12" w:space="0" w:color="auto"/>
              <w:right w:val="nil"/>
            </w:tcBorders>
            <w:tcMar>
              <w:top w:w="-1" w:type="dxa"/>
              <w:left w:w="-1" w:type="dxa"/>
              <w:bottom w:w="-1" w:type="dxa"/>
              <w:right w:w="-1" w:type="dxa"/>
            </w:tcMar>
            <w:vAlign w:val="center"/>
          </w:tcPr>
          <w:p w14:paraId="0E2CDF56" w14:textId="77777777" w:rsidR="000B1CCE" w:rsidRDefault="00000000">
            <w:pPr>
              <w:snapToGrid w:val="0"/>
              <w:spacing w:before="60" w:after="60"/>
              <w:jc w:val="center"/>
            </w:pPr>
            <w:r>
              <w:t>0.90</w:t>
            </w:r>
          </w:p>
        </w:tc>
      </w:tr>
    </w:tbl>
    <w:p w14:paraId="62315E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认知与价值认同前测均分为4.36，后测为4.35，按未四舍五入数计算下降约0.007分，整体基本稳定。差值95%置信区间包含0，原始p＝0.940，校正后p＝0.940，未显示显著变化。两次测评均值都较高，反映纳入记录的教师总体较为认同高阶能力培养，但现有结果不支持认知与价值认同进一步提升的判断。</w:t>
      </w:r>
    </w:p>
    <w:p w14:paraId="1AF19C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2）课堂教学实践</w:t>
      </w:r>
    </w:p>
    <w:p w14:paraId="4201051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表3-57  教师课堂教学实践前后测配对分析（n＝129）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3C2D6401" w14:textId="77777777" w:rsidR="000B1CCE" w:rsidRDefault="00000000">
            <w:pPr>
              <w:snapToGrid w:val="0"/>
              <w:spacing w:before="60" w:after="60"/>
              <w:jc w:val="center"/>
              <w:rPr>
                <w:b/>
              </w:rPr>
            </w:pPr>
            <w:r>
              <w:rPr>
                <w:b/>
              </w:rPr>
              <w:t>配对</w:t>
            </w:r>
            <w:r>
              <w:rPr>
                <w:b/>
              </w:rPr>
              <w:t>2</w:t>
            </w:r>
          </w:p>
        </w:tc>
        <w:tc>
          <w:tcPr>
            <w:tcW w:w="1300" w:type="dxa"/>
            <w:vMerge w:val="restart"/>
            <w:tcBorders>
              <w:tl2br w:val="nil"/>
              <w:tr2bl w:val="nil"/>
            </w:tcBorders>
            <w:tcMar>
              <w:top w:w="-1" w:type="dxa"/>
              <w:left w:w="-1" w:type="dxa"/>
              <w:bottom w:w="-1" w:type="dxa"/>
              <w:right w:w="-1" w:type="dxa"/>
            </w:tcMar>
            <w:vAlign w:val="center"/>
          </w:tcPr>
          <w:p w14:paraId="34623EA0"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380945CF"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56C7ED31"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4EE3463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009AEE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0E86D418" w14:textId="77777777" w:rsidR="000B1CCE" w:rsidRDefault="00000000">
            <w:pPr>
              <w:snapToGrid w:val="0"/>
              <w:spacing w:before="60" w:after="60"/>
              <w:jc w:val="center"/>
              <w:rPr>
                <w:b/>
              </w:rPr>
            </w:pPr>
            <w:r>
              <w:rPr>
                <w:b/>
              </w:rPr>
              <w:t>SD</w:t>
            </w:r>
          </w:p>
        </w:tc>
      </w:tr>
      <w:tr w:rsidR="000B1CCE" w14:paraId="37FCA645" w14:textId="77777777">
        <w:trPr>
          <w:tblHeader/>
          <w:jc w:val="center"/>
        </w:trPr>
        <w:tc>
          <w:tcPr>
            <w:tcW w:w="1756" w:type="dxa"/>
            <w:vMerge/>
            <w:tcBorders>
              <w:tl2br w:val="nil"/>
              <w:tr2bl w:val="nil"/>
            </w:tcBorders>
            <w:tcMar>
              <w:top w:w="-1" w:type="dxa"/>
              <w:left w:w="-1" w:type="dxa"/>
              <w:bottom w:w="-1" w:type="dxa"/>
              <w:right w:w="-1" w:type="dxa"/>
            </w:tcMar>
            <w:vAlign w:val="center"/>
          </w:tcPr>
          <w:p w14:paraId="7A5AA578"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028AF3C5"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27B673C1"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1D838CE2"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5AC07572"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24666ADC"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81E489A"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CD3E4C9" w14:textId="77777777" w:rsidR="000B1CCE" w:rsidRDefault="000B1CCE">
            <w:pPr>
              <w:snapToGrid w:val="0"/>
              <w:jc w:val="center"/>
              <w:rPr>
                <w:b/>
              </w:rPr>
            </w:pPr>
          </w:p>
        </w:tc>
      </w:tr>
      <w:tr w:rsidR="000B1CCE" w14:paraId="6978A342" w14:textId="77777777">
        <w:trPr>
          <w:jc w:val="center"/>
        </w:trPr>
        <w:tc>
          <w:tcPr>
            <w:tcW w:w="1756" w:type="dxa"/>
            <w:tcBorders>
              <w:tl2br w:val="nil"/>
              <w:tr2bl w:val="nil"/>
            </w:tcBorders>
            <w:tcMar>
              <w:top w:w="-1" w:type="dxa"/>
              <w:left w:w="-1" w:type="dxa"/>
              <w:bottom w:w="-1" w:type="dxa"/>
              <w:right w:w="-1" w:type="dxa"/>
            </w:tcMar>
            <w:vAlign w:val="center"/>
          </w:tcPr>
          <w:p w14:paraId="72838832"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3B0CCBEB" w14:textId="77777777" w:rsidR="000B1CCE" w:rsidRDefault="00000000">
            <w:pPr>
              <w:snapToGrid w:val="0"/>
              <w:spacing w:before="60" w:after="60"/>
              <w:jc w:val="center"/>
            </w:pPr>
            <w:r>
              <w:t>-0.10</w:t>
            </w:r>
          </w:p>
        </w:tc>
        <w:tc>
          <w:tcPr>
            <w:tcW w:w="1107" w:type="dxa"/>
            <w:vMerge w:val="restart"/>
            <w:tcBorders>
              <w:tl2br w:val="nil"/>
              <w:tr2bl w:val="nil"/>
            </w:tcBorders>
            <w:tcMar>
              <w:top w:w="-1" w:type="dxa"/>
              <w:left w:w="-1" w:type="dxa"/>
              <w:bottom w:w="-1" w:type="dxa"/>
              <w:right w:w="-1" w:type="dxa"/>
            </w:tcMar>
            <w:vAlign w:val="center"/>
          </w:tcPr>
          <w:p w14:paraId="74F7C378" w14:textId="77777777" w:rsidR="000B1CCE" w:rsidRDefault="00000000">
            <w:pPr>
              <w:snapToGrid w:val="0"/>
              <w:spacing w:before="60" w:after="60"/>
              <w:jc w:val="center"/>
            </w:pPr>
            <w:r>
              <w:t>-0.25</w:t>
            </w:r>
          </w:p>
        </w:tc>
        <w:tc>
          <w:tcPr>
            <w:tcW w:w="1082" w:type="dxa"/>
            <w:vMerge w:val="restart"/>
            <w:tcBorders>
              <w:tl2br w:val="nil"/>
              <w:tr2bl w:val="nil"/>
            </w:tcBorders>
            <w:tcMar>
              <w:top w:w="-1" w:type="dxa"/>
              <w:left w:w="-1" w:type="dxa"/>
              <w:bottom w:w="-1" w:type="dxa"/>
              <w:right w:w="-1" w:type="dxa"/>
            </w:tcMar>
            <w:vAlign w:val="center"/>
          </w:tcPr>
          <w:p w14:paraId="6012CF46" w14:textId="77777777" w:rsidR="000B1CCE" w:rsidRDefault="00000000">
            <w:pPr>
              <w:snapToGrid w:val="0"/>
              <w:spacing w:before="60" w:after="60"/>
              <w:jc w:val="center"/>
            </w:pPr>
            <w:r>
              <w:t>0.06</w:t>
            </w:r>
          </w:p>
        </w:tc>
        <w:tc>
          <w:tcPr>
            <w:tcW w:w="812" w:type="dxa"/>
            <w:vMerge w:val="restart"/>
            <w:tcBorders>
              <w:tl2br w:val="nil"/>
              <w:tr2bl w:val="nil"/>
            </w:tcBorders>
            <w:tcMar>
              <w:top w:w="-1" w:type="dxa"/>
              <w:left w:w="-1" w:type="dxa"/>
              <w:bottom w:w="-1" w:type="dxa"/>
              <w:right w:w="-1" w:type="dxa"/>
            </w:tcMar>
            <w:vAlign w:val="center"/>
          </w:tcPr>
          <w:p w14:paraId="4CA693DC" w14:textId="77777777" w:rsidR="000B1CCE" w:rsidRDefault="00000000">
            <w:pPr>
              <w:snapToGrid w:val="0"/>
              <w:spacing w:before="60" w:after="60"/>
              <w:jc w:val="center"/>
            </w:pPr>
            <w:r>
              <w:t>-1.25</w:t>
            </w:r>
          </w:p>
        </w:tc>
        <w:tc>
          <w:tcPr>
            <w:tcW w:w="863" w:type="dxa"/>
            <w:vMerge w:val="restart"/>
            <w:tcBorders>
              <w:tl2br w:val="nil"/>
              <w:tr2bl w:val="nil"/>
            </w:tcBorders>
            <w:tcMar>
              <w:top w:w="-1" w:type="dxa"/>
              <w:left w:w="-1" w:type="dxa"/>
              <w:bottom w:w="-1" w:type="dxa"/>
              <w:right w:w="-1" w:type="dxa"/>
            </w:tcMar>
            <w:vAlign w:val="center"/>
          </w:tcPr>
          <w:p w14:paraId="2D833A30" w14:textId="77777777" w:rsidR="000B1CCE" w:rsidRDefault="00000000">
            <w:pPr>
              <w:snapToGrid w:val="0"/>
              <w:spacing w:before="60" w:after="60"/>
              <w:jc w:val="center"/>
            </w:pPr>
            <w:r>
              <w:t>0.213</w:t>
            </w:r>
          </w:p>
        </w:tc>
        <w:tc>
          <w:tcPr>
            <w:tcW w:w="799" w:type="dxa"/>
            <w:tcBorders>
              <w:tl2br w:val="nil"/>
              <w:tr2bl w:val="nil"/>
            </w:tcBorders>
            <w:tcMar>
              <w:top w:w="-1" w:type="dxa"/>
              <w:left w:w="-1" w:type="dxa"/>
              <w:bottom w:w="-1" w:type="dxa"/>
              <w:right w:w="-1" w:type="dxa"/>
            </w:tcMar>
            <w:vAlign w:val="center"/>
          </w:tcPr>
          <w:p w14:paraId="1E5C000F" w14:textId="77777777" w:rsidR="000B1CCE" w:rsidRDefault="00000000">
            <w:pPr>
              <w:snapToGrid w:val="0"/>
              <w:spacing w:before="60" w:after="60"/>
              <w:jc w:val="center"/>
            </w:pPr>
            <w:r>
              <w:t>4.22</w:t>
            </w:r>
          </w:p>
        </w:tc>
        <w:tc>
          <w:tcPr>
            <w:tcW w:w="799" w:type="dxa"/>
            <w:tcBorders>
              <w:tl2br w:val="nil"/>
              <w:tr2bl w:val="nil"/>
            </w:tcBorders>
            <w:tcMar>
              <w:top w:w="-1" w:type="dxa"/>
              <w:left w:w="-1" w:type="dxa"/>
              <w:bottom w:w="-1" w:type="dxa"/>
              <w:right w:w="-1" w:type="dxa"/>
            </w:tcMar>
            <w:vAlign w:val="center"/>
          </w:tcPr>
          <w:p w14:paraId="4A7AF0E7" w14:textId="77777777" w:rsidR="000B1CCE" w:rsidRDefault="00000000">
            <w:pPr>
              <w:snapToGrid w:val="0"/>
              <w:spacing w:before="60" w:after="60"/>
              <w:jc w:val="center"/>
            </w:pPr>
            <w:r>
              <w:t>0.72</w:t>
            </w:r>
          </w:p>
        </w:tc>
      </w:tr>
      <w:tr w:rsidR="000B1CCE" w14:paraId="113BEBC6" w14:textId="77777777">
        <w:trPr>
          <w:jc w:val="center"/>
        </w:trPr>
        <w:tc>
          <w:tcPr>
            <w:tcW w:w="1756" w:type="dxa"/>
            <w:tcBorders>
              <w:tl2br w:val="nil"/>
              <w:tr2bl w:val="nil"/>
            </w:tcBorders>
            <w:tcMar>
              <w:top w:w="-1" w:type="dxa"/>
              <w:left w:w="-1" w:type="dxa"/>
              <w:bottom w:w="-1" w:type="dxa"/>
              <w:right w:w="-1" w:type="dxa"/>
            </w:tcMar>
            <w:vAlign w:val="center"/>
          </w:tcPr>
          <w:p w14:paraId="541C16E8"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54A7ACC1"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3F9B4639"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42E1D7F1"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6D260D38"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67D600EC"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17EE4703" w14:textId="77777777" w:rsidR="000B1CCE" w:rsidRDefault="00000000">
            <w:pPr>
              <w:snapToGrid w:val="0"/>
              <w:spacing w:before="60" w:after="60"/>
              <w:jc w:val="center"/>
            </w:pPr>
            <w:r>
              <w:t>4.32</w:t>
            </w:r>
          </w:p>
        </w:tc>
        <w:tc>
          <w:tcPr>
            <w:tcW w:w="799" w:type="dxa"/>
            <w:tcBorders>
              <w:tl2br w:val="nil"/>
              <w:tr2bl w:val="nil"/>
            </w:tcBorders>
            <w:tcMar>
              <w:top w:w="-1" w:type="dxa"/>
              <w:left w:w="-1" w:type="dxa"/>
              <w:bottom w:w="-1" w:type="dxa"/>
              <w:right w:w="-1" w:type="dxa"/>
            </w:tcMar>
            <w:vAlign w:val="center"/>
          </w:tcPr>
          <w:p w14:paraId="2B26F96F" w14:textId="77777777" w:rsidR="000B1CCE" w:rsidRDefault="00000000">
            <w:pPr>
              <w:snapToGrid w:val="0"/>
              <w:spacing w:before="60" w:after="60"/>
              <w:jc w:val="center"/>
            </w:pPr>
            <w:r>
              <w:t>0.75</w:t>
            </w:r>
          </w:p>
        </w:tc>
      </w:tr>
    </w:tbl>
    <w:p w14:paraId="42D0B3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教学实践前测均分为4.22，后测为4.32，提高约0.098分。该维度涉及高阶任务设计、项目或问题探究、真实情境、开放提问、数字资源使用以及思考研讨时间。均值方向提示后测记录的课堂实践自评略高，但差值95%置信区间包含0，原始p＝0.213，校正后p＝0.852，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3）教学自我效能</w:t>
      </w:r>
    </w:p>
    <w:p w14:paraId="1D4F856C" w14:textId="77777777" w:rsidR="000B1CCE" w:rsidRDefault="00000000">
      <w:pPr>
        <w:keepNext/>
        <w:snapToGrid w:val="0"/>
      </w:pPr>
      <w:r>
        <w:t>表3-58  教师教学自我效能前后测配对分析（n＝129）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0EBE3FA1" w14:textId="77777777" w:rsidR="000B1CCE" w:rsidRDefault="00000000">
            <w:pPr>
              <w:snapToGrid w:val="0"/>
              <w:spacing w:before="60" w:after="60"/>
              <w:jc w:val="center"/>
              <w:rPr>
                <w:b/>
              </w:rPr>
            </w:pPr>
            <w:r>
              <w:rPr>
                <w:b/>
              </w:rPr>
              <w:t>配对</w:t>
            </w:r>
            <w:r>
              <w:rPr>
                <w:b/>
              </w:rPr>
              <w:t>3</w:t>
            </w:r>
          </w:p>
        </w:tc>
        <w:tc>
          <w:tcPr>
            <w:tcW w:w="1300" w:type="dxa"/>
            <w:vMerge w:val="restart"/>
            <w:tcBorders>
              <w:tl2br w:val="nil"/>
              <w:tr2bl w:val="nil"/>
            </w:tcBorders>
            <w:tcMar>
              <w:top w:w="-1" w:type="dxa"/>
              <w:left w:w="-1" w:type="dxa"/>
              <w:bottom w:w="-1" w:type="dxa"/>
              <w:right w:w="-1" w:type="dxa"/>
            </w:tcMar>
            <w:vAlign w:val="center"/>
          </w:tcPr>
          <w:p w14:paraId="339BAA3A"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75DE4962"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6BB23E64"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3010840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4A5EA9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6C249756" w14:textId="77777777" w:rsidR="000B1CCE" w:rsidRDefault="00000000">
            <w:pPr>
              <w:snapToGrid w:val="0"/>
              <w:spacing w:before="60" w:after="60"/>
              <w:jc w:val="center"/>
              <w:rPr>
                <w:b/>
              </w:rPr>
            </w:pPr>
            <w:r>
              <w:rPr>
                <w:b/>
              </w:rPr>
              <w:t>SD</w:t>
            </w:r>
          </w:p>
        </w:tc>
      </w:tr>
      <w:tr w:rsidR="000B1CCE" w14:paraId="3CDC4EC0" w14:textId="77777777">
        <w:trPr>
          <w:tblHeader/>
          <w:jc w:val="center"/>
        </w:trPr>
        <w:tc>
          <w:tcPr>
            <w:tcW w:w="1756" w:type="dxa"/>
            <w:vMerge/>
            <w:tcBorders>
              <w:tl2br w:val="nil"/>
              <w:tr2bl w:val="nil"/>
            </w:tcBorders>
            <w:tcMar>
              <w:top w:w="-1" w:type="dxa"/>
              <w:left w:w="-1" w:type="dxa"/>
              <w:bottom w:w="-1" w:type="dxa"/>
              <w:right w:w="-1" w:type="dxa"/>
            </w:tcMar>
            <w:vAlign w:val="center"/>
          </w:tcPr>
          <w:p w14:paraId="5F30BB63"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6B919E47"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4C71F76A"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4B2D6D75"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28CCF414"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59BC5D2F"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2A4FBD93"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502880A6" w14:textId="77777777" w:rsidR="000B1CCE" w:rsidRDefault="000B1CCE">
            <w:pPr>
              <w:snapToGrid w:val="0"/>
              <w:jc w:val="center"/>
              <w:rPr>
                <w:b/>
              </w:rPr>
            </w:pPr>
          </w:p>
        </w:tc>
      </w:tr>
      <w:tr w:rsidR="000B1CCE" w14:paraId="05A3376E" w14:textId="77777777">
        <w:trPr>
          <w:jc w:val="center"/>
        </w:trPr>
        <w:tc>
          <w:tcPr>
            <w:tcW w:w="1756" w:type="dxa"/>
            <w:tcBorders>
              <w:tl2br w:val="nil"/>
              <w:tr2bl w:val="nil"/>
            </w:tcBorders>
            <w:tcMar>
              <w:top w:w="-1" w:type="dxa"/>
              <w:left w:w="-1" w:type="dxa"/>
              <w:bottom w:w="-1" w:type="dxa"/>
              <w:right w:w="-1" w:type="dxa"/>
            </w:tcMar>
            <w:vAlign w:val="center"/>
          </w:tcPr>
          <w:p w14:paraId="6AC5EB8C"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45EA44DB" w14:textId="77777777" w:rsidR="000B1CCE" w:rsidRDefault="00000000">
            <w:pPr>
              <w:snapToGrid w:val="0"/>
              <w:spacing w:before="60" w:after="60"/>
              <w:jc w:val="center"/>
            </w:pPr>
            <w:r>
              <w:t>-0.08</w:t>
            </w:r>
          </w:p>
        </w:tc>
        <w:tc>
          <w:tcPr>
            <w:tcW w:w="1107" w:type="dxa"/>
            <w:vMerge w:val="restart"/>
            <w:tcBorders>
              <w:tl2br w:val="nil"/>
              <w:tr2bl w:val="nil"/>
            </w:tcBorders>
            <w:tcMar>
              <w:top w:w="-1" w:type="dxa"/>
              <w:left w:w="-1" w:type="dxa"/>
              <w:bottom w:w="-1" w:type="dxa"/>
              <w:right w:w="-1" w:type="dxa"/>
            </w:tcMar>
            <w:vAlign w:val="center"/>
          </w:tcPr>
          <w:p w14:paraId="47606E15" w14:textId="77777777" w:rsidR="000B1CCE" w:rsidRDefault="00000000">
            <w:pPr>
              <w:snapToGrid w:val="0"/>
              <w:spacing w:before="60" w:after="60"/>
              <w:jc w:val="center"/>
            </w:pPr>
            <w:r>
              <w:t>-0.24</w:t>
            </w:r>
          </w:p>
        </w:tc>
        <w:tc>
          <w:tcPr>
            <w:tcW w:w="1082" w:type="dxa"/>
            <w:vMerge w:val="restart"/>
            <w:tcBorders>
              <w:tl2br w:val="nil"/>
              <w:tr2bl w:val="nil"/>
            </w:tcBorders>
            <w:tcMar>
              <w:top w:w="-1" w:type="dxa"/>
              <w:left w:w="-1" w:type="dxa"/>
              <w:bottom w:w="-1" w:type="dxa"/>
              <w:right w:w="-1" w:type="dxa"/>
            </w:tcMar>
            <w:vAlign w:val="center"/>
          </w:tcPr>
          <w:p w14:paraId="596C0461" w14:textId="77777777" w:rsidR="000B1CCE" w:rsidRDefault="00000000">
            <w:pPr>
              <w:snapToGrid w:val="0"/>
              <w:spacing w:before="60" w:after="60"/>
              <w:jc w:val="center"/>
            </w:pPr>
            <w:r>
              <w:t>0.08</w:t>
            </w:r>
          </w:p>
        </w:tc>
        <w:tc>
          <w:tcPr>
            <w:tcW w:w="812" w:type="dxa"/>
            <w:vMerge w:val="restart"/>
            <w:tcBorders>
              <w:tl2br w:val="nil"/>
              <w:tr2bl w:val="nil"/>
            </w:tcBorders>
            <w:tcMar>
              <w:top w:w="-1" w:type="dxa"/>
              <w:left w:w="-1" w:type="dxa"/>
              <w:bottom w:w="-1" w:type="dxa"/>
              <w:right w:w="-1" w:type="dxa"/>
            </w:tcMar>
            <w:vAlign w:val="center"/>
          </w:tcPr>
          <w:p w14:paraId="1FF0D488" w14:textId="77777777" w:rsidR="000B1CCE" w:rsidRDefault="00000000">
            <w:pPr>
              <w:snapToGrid w:val="0"/>
              <w:spacing w:before="60" w:after="60"/>
              <w:jc w:val="center"/>
            </w:pPr>
            <w:r>
              <w:t>-0.97</w:t>
            </w:r>
          </w:p>
        </w:tc>
        <w:tc>
          <w:tcPr>
            <w:tcW w:w="863" w:type="dxa"/>
            <w:vMerge w:val="restart"/>
            <w:tcBorders>
              <w:tl2br w:val="nil"/>
              <w:tr2bl w:val="nil"/>
            </w:tcBorders>
            <w:tcMar>
              <w:top w:w="-1" w:type="dxa"/>
              <w:left w:w="-1" w:type="dxa"/>
              <w:bottom w:w="-1" w:type="dxa"/>
              <w:right w:w="-1" w:type="dxa"/>
            </w:tcMar>
            <w:vAlign w:val="center"/>
          </w:tcPr>
          <w:p w14:paraId="75163055" w14:textId="77777777" w:rsidR="000B1CCE" w:rsidRDefault="00000000">
            <w:pPr>
              <w:snapToGrid w:val="0"/>
              <w:spacing w:before="60" w:after="60"/>
              <w:jc w:val="center"/>
            </w:pPr>
            <w:r>
              <w:t>0.336</w:t>
            </w:r>
          </w:p>
        </w:tc>
        <w:tc>
          <w:tcPr>
            <w:tcW w:w="799" w:type="dxa"/>
            <w:tcBorders>
              <w:tl2br w:val="nil"/>
              <w:tr2bl w:val="nil"/>
            </w:tcBorders>
            <w:tcMar>
              <w:top w:w="-1" w:type="dxa"/>
              <w:left w:w="-1" w:type="dxa"/>
              <w:bottom w:w="-1" w:type="dxa"/>
              <w:right w:w="-1" w:type="dxa"/>
            </w:tcMar>
            <w:vAlign w:val="center"/>
          </w:tcPr>
          <w:p w14:paraId="6F491F4B" w14:textId="77777777" w:rsidR="000B1CCE" w:rsidRDefault="00000000">
            <w:pPr>
              <w:snapToGrid w:val="0"/>
              <w:spacing w:before="60" w:after="60"/>
              <w:jc w:val="center"/>
            </w:pPr>
            <w:r>
              <w:t>4.08</w:t>
            </w:r>
          </w:p>
        </w:tc>
        <w:tc>
          <w:tcPr>
            <w:tcW w:w="799" w:type="dxa"/>
            <w:tcBorders>
              <w:tl2br w:val="nil"/>
              <w:tr2bl w:val="nil"/>
            </w:tcBorders>
            <w:tcMar>
              <w:top w:w="-1" w:type="dxa"/>
              <w:left w:w="-1" w:type="dxa"/>
              <w:bottom w:w="-1" w:type="dxa"/>
              <w:right w:w="-1" w:type="dxa"/>
            </w:tcMar>
            <w:vAlign w:val="center"/>
          </w:tcPr>
          <w:p w14:paraId="6342682B" w14:textId="77777777" w:rsidR="000B1CCE" w:rsidRDefault="00000000">
            <w:pPr>
              <w:snapToGrid w:val="0"/>
              <w:spacing w:before="60" w:after="60"/>
              <w:jc w:val="center"/>
            </w:pPr>
            <w:r>
              <w:t>0.73</w:t>
            </w:r>
          </w:p>
        </w:tc>
      </w:tr>
      <w:tr w:rsidR="000B1CCE" w14:paraId="32FE497E" w14:textId="77777777">
        <w:trPr>
          <w:jc w:val="center"/>
        </w:trPr>
        <w:tc>
          <w:tcPr>
            <w:tcW w:w="1756" w:type="dxa"/>
            <w:tcBorders>
              <w:tl2br w:val="nil"/>
              <w:tr2bl w:val="nil"/>
            </w:tcBorders>
            <w:tcMar>
              <w:top w:w="-1" w:type="dxa"/>
              <w:left w:w="-1" w:type="dxa"/>
              <w:bottom w:w="-1" w:type="dxa"/>
              <w:right w:w="-1" w:type="dxa"/>
            </w:tcMar>
            <w:vAlign w:val="center"/>
          </w:tcPr>
          <w:p w14:paraId="61922976"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3F4D7E0A"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1AE92E3C"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7E9F7D26"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47911457"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23C618E9"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01B66B2E" w14:textId="77777777" w:rsidR="000B1CCE" w:rsidRDefault="00000000">
            <w:pPr>
              <w:snapToGrid w:val="0"/>
              <w:spacing w:before="60" w:after="60"/>
              <w:jc w:val="center"/>
            </w:pPr>
            <w:r>
              <w:t>4.16</w:t>
            </w:r>
          </w:p>
        </w:tc>
        <w:tc>
          <w:tcPr>
            <w:tcW w:w="799" w:type="dxa"/>
            <w:tcBorders>
              <w:tl2br w:val="nil"/>
              <w:tr2bl w:val="nil"/>
            </w:tcBorders>
            <w:tcMar>
              <w:top w:w="-1" w:type="dxa"/>
              <w:left w:w="-1" w:type="dxa"/>
              <w:bottom w:w="-1" w:type="dxa"/>
              <w:right w:w="-1" w:type="dxa"/>
            </w:tcMar>
            <w:vAlign w:val="center"/>
          </w:tcPr>
          <w:p w14:paraId="4E3A7098" w14:textId="77777777" w:rsidR="000B1CCE" w:rsidRDefault="00000000">
            <w:pPr>
              <w:snapToGrid w:val="0"/>
              <w:spacing w:before="60" w:after="60"/>
              <w:jc w:val="center"/>
            </w:pPr>
            <w:r>
              <w:t>0.77</w:t>
            </w:r>
          </w:p>
        </w:tc>
      </w:tr>
    </w:tbl>
    <w:p w14:paraId="605642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学自我效能前测均分为4.08，后测为4.16，提高约0.080分。该维度反映教师设计高阶学习任务、通过提问点拨促进思考及识别学生高阶表现的自我把握程度。原始p＝0.336，校正后p＝0.852，差值95%置信区间包含0。因此，只能描述为自我效能均值略有上升，不能据此证明教师实际教学能力显著提高。</w:t>
      </w:r>
    </w:p>
    <w:p w14:paraId="6835F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4）现实阻碍</w:t>
      </w:r>
    </w:p>
    <w:p w14:paraId="792AE0D8" w14:textId="77777777" w:rsidR="000B1CCE" w:rsidRDefault="00000000">
      <w:pPr>
        <w:keepNext/>
        <w:snapToGrid w:val="0"/>
      </w:pPr>
      <w:r>
        <w:t>表3-59  教师现实阻碍前后测配对分析（n＝129）</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auto"/>
              <w:left w:val="nil"/>
              <w:bottom w:val="nil"/>
              <w:right w:val="nil"/>
            </w:tcBorders>
            <w:tcMar>
              <w:top w:w="-1" w:type="dxa"/>
              <w:left w:w="-1" w:type="dxa"/>
              <w:bottom w:w="-1" w:type="dxa"/>
              <w:right w:w="-1" w:type="dxa"/>
            </w:tcMar>
            <w:vAlign w:val="center"/>
          </w:tcPr>
          <w:p w14:paraId="7D00BAEC" w14:textId="77777777" w:rsidR="000B1CCE" w:rsidRDefault="00000000">
            <w:pPr>
              <w:snapToGrid w:val="0"/>
              <w:spacing w:before="60" w:after="60"/>
              <w:jc w:val="center"/>
              <w:rPr>
                <w:b/>
              </w:rPr>
            </w:pPr>
            <w:r>
              <w:rPr>
                <w:b/>
              </w:rPr>
              <w:t>配对</w:t>
            </w:r>
            <w:r>
              <w:rPr>
                <w:b/>
              </w:rPr>
              <w:t>4</w:t>
            </w:r>
          </w:p>
        </w:tc>
        <w:tc>
          <w:tcPr>
            <w:tcW w:w="1313" w:type="dxa"/>
            <w:vMerge w:val="restart"/>
            <w:tcBorders>
              <w:top w:val="single" w:sz="12" w:space="0" w:color="auto"/>
              <w:left w:val="nil"/>
              <w:bottom w:val="nil"/>
              <w:right w:val="nil"/>
            </w:tcBorders>
            <w:tcMar>
              <w:top w:w="-1" w:type="dxa"/>
              <w:left w:w="-1" w:type="dxa"/>
              <w:bottom w:w="-1" w:type="dxa"/>
              <w:right w:w="-1" w:type="dxa"/>
            </w:tcMar>
            <w:vAlign w:val="center"/>
          </w:tcPr>
          <w:p w14:paraId="200FE4B3" w14:textId="77777777" w:rsidR="000B1CCE" w:rsidRDefault="00000000">
            <w:pPr>
              <w:snapToGrid w:val="0"/>
              <w:spacing w:before="60" w:after="60"/>
              <w:jc w:val="center"/>
              <w:rPr>
                <w:b/>
              </w:rPr>
            </w:pPr>
            <w:r>
              <w:rPr>
                <w:b/>
              </w:rPr>
              <w:t>均值差异</w:t>
            </w:r>
          </w:p>
        </w:tc>
        <w:tc>
          <w:tcPr>
            <w:tcW w:w="1098" w:type="dxa"/>
            <w:gridSpan w:val="2"/>
            <w:tcBorders>
              <w:top w:val="single" w:sz="12" w:space="0" w:color="auto"/>
              <w:left w:val="nil"/>
              <w:bottom w:val="nil"/>
              <w:right w:val="nil"/>
            </w:tcBorders>
            <w:tcMar>
              <w:top w:w="-1" w:type="dxa"/>
              <w:left w:w="-1" w:type="dxa"/>
              <w:bottom w:w="-1" w:type="dxa"/>
              <w:right w:w="-1" w:type="dxa"/>
            </w:tcMar>
            <w:vAlign w:val="center"/>
          </w:tcPr>
          <w:p w14:paraId="1CC56F56" w14:textId="77777777" w:rsidR="000B1CCE" w:rsidRDefault="00000000">
            <w:pPr>
              <w:snapToGrid w:val="0"/>
              <w:spacing w:before="60" w:after="60"/>
              <w:jc w:val="center"/>
              <w:rPr>
                <w:b/>
              </w:rPr>
            </w:pPr>
            <w:r>
              <w:rPr>
                <w:b/>
              </w:rPr>
              <w:t>差值</w:t>
            </w:r>
            <w:r>
              <w:rPr>
                <w:b/>
              </w:rPr>
              <w:t>95%</w:t>
            </w:r>
            <w:r>
              <w:rPr>
                <w:b/>
              </w:rPr>
              <w:t>置信区间</w:t>
            </w:r>
          </w:p>
        </w:tc>
        <w:tc>
          <w:tcPr>
            <w:tcW w:w="741" w:type="dxa"/>
            <w:vMerge w:val="restart"/>
            <w:tcBorders>
              <w:top w:val="single" w:sz="12" w:space="0" w:color="auto"/>
              <w:left w:val="nil"/>
              <w:bottom w:val="nil"/>
              <w:right w:val="nil"/>
            </w:tcBorders>
            <w:tcMar>
              <w:top w:w="-1" w:type="dxa"/>
              <w:left w:w="-1" w:type="dxa"/>
              <w:bottom w:w="-1" w:type="dxa"/>
              <w:right w:w="-1" w:type="dxa"/>
            </w:tcMar>
            <w:vAlign w:val="center"/>
          </w:tcPr>
          <w:p w14:paraId="5D4CF495" w14:textId="77777777" w:rsidR="000B1CCE" w:rsidRDefault="00000000">
            <w:pPr>
              <w:snapToGrid w:val="0"/>
              <w:spacing w:before="60" w:after="60"/>
              <w:jc w:val="center"/>
              <w:rPr>
                <w:b/>
              </w:rPr>
            </w:pPr>
            <w:r>
              <w:rPr>
                <w:b/>
              </w:rPr>
              <w:t>t</w:t>
            </w:r>
          </w:p>
        </w:tc>
        <w:tc>
          <w:tcPr>
            <w:tcW w:w="870" w:type="dxa"/>
            <w:vMerge w:val="restart"/>
            <w:tcBorders>
              <w:top w:val="single" w:sz="12" w:space="0" w:color="auto"/>
              <w:left w:val="nil"/>
              <w:bottom w:val="nil"/>
              <w:right w:val="nil"/>
            </w:tcBorders>
            <w:tcMar>
              <w:top w:w="-1" w:type="dxa"/>
              <w:left w:w="-1" w:type="dxa"/>
              <w:bottom w:w="-1" w:type="dxa"/>
              <w:right w:w="-1" w:type="dxa"/>
            </w:tcMar>
            <w:vAlign w:val="center"/>
          </w:tcPr>
          <w:p w14:paraId="6C4FD6C3" w14:textId="77777777" w:rsidR="000B1CCE" w:rsidRDefault="00000000">
            <w:pPr>
              <w:snapToGrid w:val="0"/>
              <w:spacing w:before="60" w:after="60"/>
              <w:jc w:val="center"/>
              <w:rPr>
                <w:b/>
              </w:rPr>
            </w:pPr>
            <w:r>
              <w:rPr>
                <w:b/>
              </w:rPr>
              <w:t>Sig.</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4DEEE07D" w14:textId="77777777" w:rsidR="000B1CCE" w:rsidRDefault="00000000">
            <w:pPr>
              <w:snapToGrid w:val="0"/>
              <w:spacing w:before="60" w:after="60"/>
              <w:jc w:val="center"/>
              <w:rPr>
                <w:b/>
              </w:rPr>
            </w:pPr>
            <w:r>
              <w:rPr>
                <w:b/>
              </w:rPr>
              <w:t>M</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6026F998" w14:textId="77777777" w:rsidR="000B1CCE" w:rsidRDefault="00000000">
            <w:pPr>
              <w:snapToGrid w:val="0"/>
              <w:spacing w:before="60" w:after="60"/>
              <w:jc w:val="center"/>
              <w:rPr>
                <w:b/>
              </w:rPr>
            </w:pPr>
            <w:r>
              <w:rPr>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60" w:after="60"/>
              <w:jc w:val="center"/>
              <w:rPr>
                <w:b/>
              </w:rPr>
            </w:pPr>
            <w:r>
              <w:rPr>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60" w:after="60"/>
              <w:jc w:val="center"/>
              <w:rPr>
                <w:b/>
              </w:rPr>
            </w:pPr>
            <w:r>
              <w:rPr>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60" w:after="60"/>
              <w:jc w:val="center"/>
            </w:pPr>
            <w: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60" w:after="60"/>
              <w:jc w:val="center"/>
            </w:pPr>
            <w: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60" w:after="60"/>
              <w:jc w:val="center"/>
            </w:pPr>
            <w: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60" w:after="60"/>
              <w:jc w:val="center"/>
            </w:pPr>
            <w: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60" w:after="60"/>
              <w:jc w:val="center"/>
            </w:pPr>
            <w: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60" w:after="60"/>
              <w:jc w:val="center"/>
            </w:pPr>
            <w: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60" w:after="60"/>
              <w:jc w:val="center"/>
            </w:pPr>
            <w: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60" w:after="60"/>
              <w:jc w:val="center"/>
            </w:pPr>
            <w:r>
              <w:t>0.95</w:t>
            </w:r>
          </w:p>
        </w:tc>
      </w:tr>
      <w:tr w:rsidR="000B1CCE" w14:paraId="69309581" w14:textId="77777777">
        <w:trPr>
          <w:jc w:val="center"/>
        </w:trPr>
        <w:tc>
          <w:tcPr>
            <w:tcW w:w="1773" w:type="dxa"/>
            <w:tcBorders>
              <w:top w:val="nil"/>
              <w:left w:val="nil"/>
              <w:bottom w:val="single" w:sz="12" w:space="0" w:color="auto"/>
              <w:right w:val="nil"/>
            </w:tcBorders>
            <w:tcMar>
              <w:top w:w="-1" w:type="dxa"/>
              <w:left w:w="-1" w:type="dxa"/>
              <w:bottom w:w="-1" w:type="dxa"/>
              <w:right w:w="-1" w:type="dxa"/>
            </w:tcMar>
            <w:vAlign w:val="center"/>
          </w:tcPr>
          <w:p w14:paraId="657B1F12" w14:textId="77777777" w:rsidR="000B1CCE" w:rsidRDefault="00000000">
            <w:pPr>
              <w:snapToGrid w:val="0"/>
              <w:spacing w:before="60" w:after="60"/>
              <w:jc w:val="center"/>
            </w:pPr>
            <w:r>
              <w:t>均分（后测）</w:t>
            </w:r>
          </w:p>
        </w:tc>
        <w:tc>
          <w:tcPr>
            <w:tcW w:w="1313" w:type="dxa"/>
            <w:vMerge/>
            <w:tcBorders>
              <w:top w:val="nil"/>
              <w:left w:val="nil"/>
              <w:bottom w:val="single" w:sz="12" w:space="0" w:color="auto"/>
              <w:right w:val="nil"/>
            </w:tcBorders>
            <w:tcMar>
              <w:top w:w="-1" w:type="dxa"/>
              <w:left w:w="-1" w:type="dxa"/>
              <w:bottom w:w="-1" w:type="dxa"/>
              <w:right w:w="-1" w:type="dxa"/>
            </w:tcMar>
            <w:vAlign w:val="center"/>
          </w:tcPr>
          <w:p w14:paraId="3F63DA51" w14:textId="77777777" w:rsidR="000B1CCE" w:rsidRDefault="000B1CCE">
            <w:pPr>
              <w:snapToGrid w:val="0"/>
              <w:jc w:val="center"/>
            </w:pPr>
          </w:p>
        </w:tc>
        <w:tc>
          <w:tcPr>
            <w:tcW w:w="1123" w:type="dxa"/>
            <w:vMerge/>
            <w:tcBorders>
              <w:top w:val="nil"/>
              <w:left w:val="nil"/>
              <w:bottom w:val="single" w:sz="12" w:space="0" w:color="auto"/>
              <w:right w:val="nil"/>
            </w:tcBorders>
            <w:tcMar>
              <w:top w:w="-1" w:type="dxa"/>
              <w:left w:w="-1" w:type="dxa"/>
              <w:bottom w:w="-1" w:type="dxa"/>
              <w:right w:w="-1" w:type="dxa"/>
            </w:tcMar>
            <w:vAlign w:val="center"/>
          </w:tcPr>
          <w:p w14:paraId="74BB3B07" w14:textId="77777777" w:rsidR="000B1CCE" w:rsidRDefault="000B1CCE">
            <w:pPr>
              <w:snapToGrid w:val="0"/>
              <w:jc w:val="center"/>
            </w:pPr>
          </w:p>
        </w:tc>
        <w:tc>
          <w:tcPr>
            <w:tcW w:w="1098" w:type="dxa"/>
            <w:vMerge/>
            <w:tcBorders>
              <w:top w:val="nil"/>
              <w:left w:val="nil"/>
              <w:bottom w:val="single" w:sz="12" w:space="0" w:color="auto"/>
              <w:right w:val="nil"/>
            </w:tcBorders>
            <w:tcMar>
              <w:top w:w="-1" w:type="dxa"/>
              <w:left w:w="-1" w:type="dxa"/>
              <w:bottom w:w="-1" w:type="dxa"/>
              <w:right w:w="-1" w:type="dxa"/>
            </w:tcMar>
            <w:vAlign w:val="center"/>
          </w:tcPr>
          <w:p w14:paraId="4DD46112" w14:textId="77777777" w:rsidR="000B1CCE" w:rsidRDefault="000B1CCE">
            <w:pPr>
              <w:snapToGrid w:val="0"/>
              <w:jc w:val="center"/>
            </w:pPr>
          </w:p>
        </w:tc>
        <w:tc>
          <w:tcPr>
            <w:tcW w:w="741" w:type="dxa"/>
            <w:vMerge/>
            <w:tcBorders>
              <w:top w:val="nil"/>
              <w:left w:val="nil"/>
              <w:bottom w:val="single" w:sz="12" w:space="0" w:color="auto"/>
              <w:right w:val="nil"/>
            </w:tcBorders>
            <w:tcMar>
              <w:top w:w="-1" w:type="dxa"/>
              <w:left w:w="-1" w:type="dxa"/>
              <w:bottom w:w="-1" w:type="dxa"/>
              <w:right w:w="-1" w:type="dxa"/>
            </w:tcMar>
            <w:vAlign w:val="center"/>
          </w:tcPr>
          <w:p w14:paraId="679CCE2C" w14:textId="77777777" w:rsidR="000B1CCE" w:rsidRDefault="000B1CCE">
            <w:pPr>
              <w:snapToGrid w:val="0"/>
              <w:jc w:val="center"/>
            </w:pPr>
          </w:p>
        </w:tc>
        <w:tc>
          <w:tcPr>
            <w:tcW w:w="870" w:type="dxa"/>
            <w:vMerge/>
            <w:tcBorders>
              <w:top w:val="nil"/>
              <w:left w:val="nil"/>
              <w:bottom w:val="single" w:sz="12" w:space="0" w:color="auto"/>
              <w:right w:val="nil"/>
            </w:tcBorders>
            <w:tcMar>
              <w:top w:w="-1" w:type="dxa"/>
              <w:left w:w="-1" w:type="dxa"/>
              <w:bottom w:w="-1" w:type="dxa"/>
              <w:right w:w="-1" w:type="dxa"/>
            </w:tcMar>
            <w:vAlign w:val="center"/>
          </w:tcPr>
          <w:p w14:paraId="059E57A3" w14:textId="77777777" w:rsidR="000B1CCE" w:rsidRDefault="000B1CCE">
            <w:pPr>
              <w:snapToGrid w:val="0"/>
              <w:jc w:val="center"/>
            </w:pPr>
          </w:p>
        </w:tc>
        <w:tc>
          <w:tcPr>
            <w:tcW w:w="801" w:type="dxa"/>
            <w:tcBorders>
              <w:top w:val="nil"/>
              <w:left w:val="nil"/>
              <w:bottom w:val="single" w:sz="12" w:space="0" w:color="auto"/>
              <w:right w:val="nil"/>
            </w:tcBorders>
            <w:tcMar>
              <w:top w:w="-1" w:type="dxa"/>
              <w:left w:w="-1" w:type="dxa"/>
              <w:bottom w:w="-1" w:type="dxa"/>
              <w:right w:w="-1" w:type="dxa"/>
            </w:tcMar>
            <w:vAlign w:val="center"/>
          </w:tcPr>
          <w:p w14:paraId="2694C00A" w14:textId="77777777" w:rsidR="000B1CCE" w:rsidRDefault="00000000">
            <w:pPr>
              <w:snapToGrid w:val="0"/>
              <w:spacing w:before="60" w:after="60"/>
              <w:jc w:val="center"/>
            </w:pPr>
            <w:r>
              <w:t>3.51</w:t>
            </w:r>
          </w:p>
        </w:tc>
        <w:tc>
          <w:tcPr>
            <w:tcW w:w="801" w:type="dxa"/>
            <w:tcBorders>
              <w:top w:val="nil"/>
              <w:left w:val="nil"/>
              <w:bottom w:val="single" w:sz="12" w:space="0" w:color="auto"/>
              <w:right w:val="nil"/>
            </w:tcBorders>
            <w:tcMar>
              <w:top w:w="-1" w:type="dxa"/>
              <w:left w:w="-1" w:type="dxa"/>
              <w:bottom w:w="-1" w:type="dxa"/>
              <w:right w:w="-1" w:type="dxa"/>
            </w:tcMar>
            <w:vAlign w:val="center"/>
          </w:tcPr>
          <w:p w14:paraId="3397FF79" w14:textId="77777777" w:rsidR="000B1CCE" w:rsidRDefault="00000000">
            <w:pPr>
              <w:snapToGrid w:val="0"/>
              <w:spacing w:before="60" w:after="60"/>
              <w:jc w:val="center"/>
            </w:pPr>
            <w:r>
              <w:t>0.95</w:t>
            </w:r>
          </w:p>
        </w:tc>
      </w:tr>
    </w:tbl>
    <w:p w14:paraId="07E45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现实阻碍前测均分为3.64，后测为3.51，下降约0.125分，方向上表现为困难感受有所减轻。但原始p＝0.220，校正后p＝0.852，差值95%置信区间包含0，未达到统计显著。后测均值仍高于量表中点3分，说明时间、考试导向、资源、学生差异、实操指导与课堂管理等困难仍值得持续关注。</w:t>
      </w:r>
    </w:p>
    <w:p w14:paraId="5E568C9A"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3.教师问卷开放性回答质性分析</w:t>
      </w:r>
    </w:p>
    <w:p w14:paraId="395CDC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（1）编码对象与分析方法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编码以“意义单元”为基本单位。一段回答中如果同时涉及课时、学生差异、问题链设计和专业支持，则分别进入相应编码，而不是强行归入单一主题。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需要特别说明的是，前后测开放题的提问结构并不完全相同，前测主要询问</w:t>
      </w:r>
      <w:r>
        <w:rPr>
          <w:rFonts w:ascii="宋体" w:eastAsia="宋体" w:hAnsi="宋体" w:cs="宋体" w:hint="eastAsia"/>
          <w:sz w:val="24"/>
        </w:rPr>
        <w:lastRenderedPageBreak/>
        <w:t>“想法、顾虑和建议”，后测同时包含“实践感受、困难与建议”。因此，本研究只对前后文本进行主题对应和内容归纳，不直接用主题频次的增减解释教师发生了何种程度的变化，以避免将题目结构差异误判为研究成效。</w:t>
      </w:r>
    </w:p>
    <w:p w14:paraId="325665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（2）教师前测开放性回答三级编码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6271F3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表3-60  教师前测开放性回答三级编码表</w:t>
      </w:r>
    </w:p>
    <w:tbl>
      <w:tblPr>
        <w:tblW w:w="1069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90F3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BE3C77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201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69163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856BE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1788905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D16789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79D3B893"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2BE48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有必要；思辨能力；终身学习；中考改革；核心素养；教师转变观念</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2EB57D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育人价值认同；发展价值认同；教师观念转变</w:t>
            </w:r>
          </w:p>
        </w:tc>
        <w:tc>
          <w:tcPr>
            <w:tcW w:w="201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961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高阶能力培育的价值认同与理念</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2CD8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79342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“很有必要”；“培养学生思辩能力”；“希望每位教师转变观念接受高阶思维教育”</w:t>
            </w:r>
          </w:p>
        </w:tc>
      </w:tr>
      <w:tr w:rsidR="000B1CCE" w14:paraId="2EA905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A5CE6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设计相关问题；探究活动；项目式学习；真实情境；多学科融合；大思政</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11E26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问题设计；探究活动；项目学习；真实任务；课程融合</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6E28ABF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高阶课堂设计与真实任务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295A15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FEFD41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“在日常教学中就要注重设计相关问题培养高阶能力”；“需搭建探究、思辨类的学习活动”</w:t>
            </w:r>
          </w:p>
        </w:tc>
      </w:tr>
      <w:tr w:rsidR="000B1CCE" w14:paraId="0C4FB27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3D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学情差异大；基础薄弱学生跟不上；梯度问题；分层教学；小班化</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C2FD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学情差异；任务分层；参与差异；教学适切性</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52D516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D348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B8C9C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“学生学情差异大，高阶能力培养可能无法兼顾全体学生”；“如何能分不同层级开展高阶能力培育”</w:t>
            </w:r>
          </w:p>
        </w:tc>
      </w:tr>
      <w:tr w:rsidR="000B1CCE" w14:paraId="2358C48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7DD2A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课时紧；教学进度；成绩压力；高考压力；应试安排；纸笔考试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07013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课时压力；进度压力；升学压力；基础教学与高阶活动平衡</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DC6B6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课时与考试压力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46FD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D6C006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“课堂时间紧任务重”；“高考数据压力会让老师不舍得利用课堂时间细化和慢慢培养高阶能力”</w:t>
            </w:r>
          </w:p>
        </w:tc>
      </w:tr>
      <w:tr w:rsidR="000B1CCE" w14:paraId="66988DC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F77C5E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高阶能力难测量；评价方式主观；调整考核方式；标准答案局限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F039D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评价方式局限；能力测量困难；考核方式适配</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AE797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评价测量与考核机制</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A995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31DC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“时间不够，很难测量”；“如何客观评价一节课是否有培养学生的高阶能力”</w:t>
            </w:r>
          </w:p>
        </w:tc>
      </w:tr>
      <w:tr w:rsidR="000B1CCE" w14:paraId="14F7C36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3B8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课堂把控难；纪律管理；具体实践需摸索；落地困难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43285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课堂组织；实施把控；理念向实践转化</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10703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课堂组织与实施难度</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85EC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BBBF6C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“担心高阶任务脱离学情，课堂把控难度大”；“具体实践上还需要不断摸索”</w:t>
            </w:r>
          </w:p>
        </w:tc>
      </w:tr>
      <w:tr w:rsidR="000B1CCE" w14:paraId="2D5C2BA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11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系统学习；专题培训；专家指导；学科团队；优秀案例；成熟教案；实训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D9872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专业学习；课例资源；专家支持；团队研修</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0D23C3B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教师专业学习与资源支持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017CF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C84C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“除了理念灌输，更重要的是通过实训、具体指导提升教师相关教学设计能力”；“需要优秀案例学习”</w:t>
            </w:r>
          </w:p>
        </w:tc>
      </w:tr>
      <w:tr w:rsidR="000B1CCE" w14:paraId="752588B8" w14:textId="77777777">
        <w:trPr>
          <w:jc w:val="center"/>
        </w:trPr>
        <w:tc>
          <w:tcPr>
            <w:tcW w:w="24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402FBE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逐步推进；部分课例先行；拓展课、社团课；制度保障；合理规划时间</w:t>
            </w:r>
          </w:p>
        </w:tc>
        <w:tc>
          <w:tcPr>
            <w:tcW w:w="249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187D2F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渐进实施；试点推进；课程空间；制度保障</w:t>
            </w:r>
          </w:p>
        </w:tc>
        <w:tc>
          <w:tcPr>
            <w:tcW w:w="201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2B64B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校本推进与保障机制</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68C25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7769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“可以先在部分课例中开展高阶能力的培育”；“希望能在拓展课社团课多开展”</w:t>
            </w:r>
          </w:p>
        </w:tc>
      </w:tr>
    </w:tbl>
    <w:p w14:paraId="3BFAEC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关系看，前测中“课时与考试压力”“教师专业学习与资源支持”“学生差异与分层支持”覆盖的文本较多，但这里不把频次高低简单解释为问题的严重程度，而是将其视为教师在开放表达中较容易主动提及的议题。尤其值得保留的是，教师对高阶能力的讨论往往同时伴随具体条件判断，既谈价值，也谈</w:t>
      </w:r>
      <w:r>
        <w:rPr>
          <w:rFonts w:ascii="宋体" w:eastAsia="宋体" w:hAnsi="宋体" w:cs="宋体" w:hint="eastAsia"/>
          <w:sz w:val="24"/>
        </w:rPr>
        <w:lastRenderedPageBreak/>
        <w:t>课时；既谈探究，也谈学情；既谈改革，也谈评价。这种复合表达使前测文本具有较强的实践指向。</w:t>
      </w:r>
    </w:p>
    <w:p w14:paraId="2455E5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（3）教师后测开放性回答三级编码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表3-61  教师后测开放性回答三级编码表</w:t>
      </w:r>
    </w:p>
    <w:tbl>
      <w:tblPr>
        <w:tblW w:w="9807"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567E0D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D29D8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96171A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52884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2B441A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EC194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1912AB5A" w14:textId="77777777">
        <w:trPr>
          <w:jc w:val="center"/>
        </w:trPr>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3109C2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理论知识；有意识指向高阶能力；目标更清晰；更加重视思维；专业自觉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4443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理念理解；目标意识；专业自觉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8CD99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高阶能力培育的认知与目标意识</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27552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DF5D7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“会有意识地在教学设计中指向学生的高阶能力培育”；“更加了解高阶能力培养的方向和价值”</w:t>
            </w:r>
          </w:p>
        </w:tc>
      </w:tr>
      <w:tr w:rsidR="000B1CCE" w14:paraId="3CDA9B6F"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C4469D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问题链；开放性问题；分析评价创造任务；高阶思维问题；作业设计；引导话术</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9D6E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问题链设计；开放任务；认知层级设计；作业任务设计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A9738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高阶认知任务设计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8C0AF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31F24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“对于开放性问题及课堂问题链设计更熟悉”；“更注重问题链的思维梯度设计”</w:t>
            </w:r>
          </w:p>
        </w:tc>
      </w:tr>
      <w:tr w:rsidR="000B1CCE" w14:paraId="7AFDDDA8"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989BA8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问题探究；项目式任务；自主探究；合作探究；真实问题；实验探究；小组研讨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C5B8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探究学习；项目学习；合作学习；真实任务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3493F1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探究合作与真实学习</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C0776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5564E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“开展项目式任务”；“把部分知识点的讲授过程转化为学生的探索场”</w:t>
            </w:r>
          </w:p>
        </w:tc>
      </w:tr>
      <w:tr w:rsidR="000B1CCE" w14:paraId="0D0A3B7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82D5D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学生质疑；提问质量；思维活跃；表达；发现问题；合作解决问题；参与深度</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57D8F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质疑提问；思维表达；合作解决问题；学习参与</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82C92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学生学习行为观察</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037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BFEE7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“学生更加大胆地敢于质疑”；“学生的提问质量有明显提升，且学生会发现问题并彼此互相帮助解决问题”</w:t>
            </w:r>
          </w:p>
        </w:tc>
      </w:tr>
      <w:tr w:rsidR="000B1CCE" w14:paraId="04C4EEB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C978AA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过程性反馈；多元评价；生成性问题；高阶能力评价工具；量化方法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048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形成性评价；学习证据；评价工具；反馈调节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DDD4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形成性评价与学习证据</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461DA3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074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“课堂会更注重学生的生成性问题，过程性问题的设计和反馈”；“提供更多学科化的高阶思维评价工具”</w:t>
            </w:r>
          </w:p>
        </w:tc>
      </w:tr>
      <w:tr w:rsidR="000B1CCE" w14:paraId="7C4C15CA"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206284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课时紧；高三任务重；基础落实与高阶活动平衡；升学压力；刷题倾向</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4367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课时压力；升学压力；基础与高阶平衡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39B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教学时间与升学压力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DF9E8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5AAA8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“课时比较紧张”；“升学压力会向刷题和填鸭课堂倾斜，高阶思维培养渗透不够”</w:t>
            </w:r>
          </w:p>
        </w:tc>
      </w:tr>
      <w:tr w:rsidR="000B1CCE" w14:paraId="04142DA7"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DECDB0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学生水平差异；分层实施；少数学生主导；部分学生参与不足</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9C2E2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学情差异；分层任务；参与差异；适切性</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A3835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学生差异与分层实施</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7F317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3CDAA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“如何避免变成少部分同学的对话”；“面对不同程度的学生无法量化培养方法”</w:t>
            </w:r>
          </w:p>
        </w:tc>
      </w:tr>
      <w:tr w:rsidR="000B1CCE" w14:paraId="2BA1D72E"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528180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课堂把控；实践尚不成熟；落地尺度；效果不理想；教师能力不足；难坚持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2E1BB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教学实施能力；课堂调控；方法转化；教师能力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E9C8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教师实践能力与课堂把控</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68C9E0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3B681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“高阶思维落地、分层实施仍有挑战”；“实践尚不成熟”</w:t>
            </w:r>
          </w:p>
        </w:tc>
      </w:tr>
      <w:tr w:rsidR="000B1CCE" w14:paraId="2F39B4D2"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C8C0E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实操课例；学科化案例；示范课；专家进课堂；观摩课；课堂实录；磨课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29D12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课例资源；专家支持；同伴研修；学科化指导</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D95FA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学科化课例与专业支持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43670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875E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“建议多提供实操课例”；“校内组织观摩示范课，邀请专家进课堂进行专业指导”</w:t>
            </w:r>
          </w:p>
        </w:tc>
      </w:tr>
      <w:tr w:rsidR="000B1CCE" w14:paraId="5A043616"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3DAB80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数字技术；数字化工具；AI赋能；工具付费</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8D1BE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数字工具应用；AI支持；技术条件</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8341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数字化与AI支持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63675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77F4E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“后续数字技术还需提高”；“问题链设计更指向高阶思维，AI赋能不足”</w:t>
            </w:r>
          </w:p>
        </w:tc>
      </w:tr>
      <w:tr w:rsidR="000B1CCE" w14:paraId="53DE66F9" w14:textId="77777777">
        <w:trPr>
          <w:jc w:val="center"/>
        </w:trPr>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BCF3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教研共建；同主题磨课；持续实践；日常课堂落实</w:t>
            </w:r>
          </w:p>
        </w:tc>
        <w:tc>
          <w:tcPr>
            <w:tcW w:w="15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6980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校本研修；资源共建；持续实践</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C6F6F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校本研修与持续实践</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A151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5E9C2A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“可尝试分层探究，实现教研共建资源”；“学习的理论还要进</w:t>
            </w:r>
            <w:r>
              <w:rPr>
                <w:rFonts w:ascii="宋体" w:eastAsia="宋体" w:hAnsi="宋体" w:cs="宋体" w:hint="eastAsia"/>
                <w:szCs w:val="21"/>
              </w:rPr>
              <w:lastRenderedPageBreak/>
              <w:t>一步联系实际，开展更多实践”</w:t>
            </w:r>
          </w:p>
        </w:tc>
      </w:tr>
    </w:tbl>
    <w:p w14:paraId="16214F87"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sz w:val="24"/>
        </w:rPr>
        <w:lastRenderedPageBreak/>
        <w:t>后测文本中同一回答往往同时包含“做法—困难—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adjustRightInd w:val="0"/>
        <w:snapToGrid w:val="0"/>
        <w:spacing w:line="360" w:lineRule="auto"/>
        <w:rPr>
          <w:rFonts w:ascii="宋体" w:eastAsia="宋体" w:hAnsi="宋体" w:cs="宋体"/>
          <w:b/>
          <w:bCs/>
          <w:color w:val="C00000"/>
          <w:sz w:val="28"/>
          <w:szCs w:val="28"/>
        </w:rPr>
      </w:pPr>
      <w:r>
        <w:rPr>
          <w:rFonts w:ascii="宋体" w:eastAsia="宋体" w:hAnsi="宋体" w:cs="宋体" w:hint="eastAsia"/>
          <w:b/>
          <w:bCs/>
          <w:sz w:val="28"/>
          <w:szCs w:val="28"/>
        </w:rPr>
        <w:t>4.教师五维评课结果分析</w:t>
      </w:r>
    </w:p>
    <w:p w14:paraId="427216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（1）五维课堂评价工具的质量检验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高质量教学核心实践——教研课评课表》由5个一级维度构成，每个维度设置4个观察条目，共20个条目；五个维度各20分，总分100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表3-62  课堂评价工具内部一致性检验结果</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F1E8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D6BF7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题项数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04A5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Cronbach'sα</w:t>
            </w:r>
          </w:p>
        </w:tc>
        <w:tc>
          <w:tcPr>
            <w:tcW w:w="15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75C71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统计判断</w:t>
            </w:r>
          </w:p>
        </w:tc>
      </w:tr>
      <w:tr w:rsidR="000B1CCE" w14:paraId="5B48255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54D9E1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B7AA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A03C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0.760</w:t>
            </w:r>
          </w:p>
        </w:tc>
        <w:tc>
          <w:tcPr>
            <w:tcW w:w="15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F03AE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7616711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CCE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3C033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900E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0.812</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1478B72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5629E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FD3B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E9F7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0CEF0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0.790</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3DDDE9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801AB4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3678A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62861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2E75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0.778</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6F67465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96E3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313B3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C717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1E76A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0.801</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260002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672D3BC" w14:textId="77777777">
        <w:trPr>
          <w:jc w:val="center"/>
        </w:trPr>
        <w:tc>
          <w:tcPr>
            <w:tcW w:w="316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5111F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总体量表</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A0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w:t>
            </w:r>
          </w:p>
        </w:tc>
        <w:tc>
          <w:tcPr>
            <w:tcW w:w="237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7BDA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0.782</w:t>
            </w:r>
          </w:p>
        </w:tc>
        <w:tc>
          <w:tcPr>
            <w:tcW w:w="15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8946E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bl>
    <w:p w14:paraId="7E317A6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总体量表Cronbach's α为0.782，五个一级维度的α系数介于0.760—0.812之间，均达到教育研究中可接受的内部一致性水平。其中，学科内容建构和形成性评价与反馈两个维度分别达到0.812和0.801，表现出较好的内部一致性。更重要的是，五个维度虽然围绕同一课堂质量框架展开，但并未表现为高度重复，而是保留了对课堂不同侧面的区分。对于本研究而言，这意味着后续对五维结构进行比较具有基本的测量前提。</w:t>
      </w:r>
    </w:p>
    <w:p w14:paraId="4B31E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表3-63  删除一级维度后的内部一致性检验</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38F4C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74BBE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删除后α</w:t>
            </w:r>
          </w:p>
        </w:tc>
        <w:tc>
          <w:tcPr>
            <w:tcW w:w="30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8589A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相对总体α变化</w:t>
            </w:r>
          </w:p>
        </w:tc>
      </w:tr>
      <w:tr w:rsidR="000B1CCE" w14:paraId="57B995E9"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B490F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CE3243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0.774</w:t>
            </w:r>
          </w:p>
        </w:tc>
        <w:tc>
          <w:tcPr>
            <w:tcW w:w="30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0F23A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−0.008</w:t>
            </w:r>
          </w:p>
        </w:tc>
      </w:tr>
      <w:tr w:rsidR="000B1CCE" w14:paraId="6D0497D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B8EB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372C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0.768</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39C59C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−0.014</w:t>
            </w:r>
          </w:p>
        </w:tc>
      </w:tr>
      <w:tr w:rsidR="000B1CCE" w14:paraId="5101553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42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7F2A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0.771</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667C7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−0.011</w:t>
            </w:r>
          </w:p>
        </w:tc>
      </w:tr>
      <w:tr w:rsidR="000B1CCE" w14:paraId="11F28F9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2E3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3F4D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0.769</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5293FA3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−0.013</w:t>
            </w:r>
          </w:p>
        </w:tc>
      </w:tr>
      <w:tr w:rsidR="000B1CCE" w14:paraId="2A83C8E0" w14:textId="77777777">
        <w:trPr>
          <w:jc w:val="center"/>
        </w:trPr>
        <w:tc>
          <w:tcPr>
            <w:tcW w:w="349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17C0A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形成性评价与反馈</w:t>
            </w:r>
          </w:p>
        </w:tc>
        <w:tc>
          <w:tcPr>
            <w:tcW w:w="17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B228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0.763</w:t>
            </w:r>
          </w:p>
        </w:tc>
        <w:tc>
          <w:tcPr>
            <w:tcW w:w="30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3C4A8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−0.019</w:t>
            </w:r>
          </w:p>
        </w:tc>
      </w:tr>
    </w:tbl>
    <w:p w14:paraId="1CBDF9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删除任一一级维度后，总体α均未上升，反而出现不同程度下降；其中删除形成性评价与反馈后，α由0.782降至0.763，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表3-64  各维度与“其余四维总分”的相关度</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4BE23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323C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Pearsonr</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25783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37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268EC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解释</w:t>
            </w:r>
          </w:p>
        </w:tc>
      </w:tr>
      <w:tr w:rsidR="000B1CCE" w14:paraId="7EEEF4AB"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396FB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244FA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0.516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507C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C7540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1B7D23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D2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5B9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0.603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90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41457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6F42A4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AD7B08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9C3A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0.616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6FE7D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3B1D54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3DDCC0D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AA1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0244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0.408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2D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2C796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08C8E6AE" w14:textId="77777777">
        <w:trPr>
          <w:jc w:val="center"/>
        </w:trPr>
        <w:tc>
          <w:tcPr>
            <w:tcW w:w="316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8DDCD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58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0101B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0.647</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50B3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B787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较强相关</w:t>
            </w:r>
          </w:p>
        </w:tc>
      </w:tr>
    </w:tbl>
    <w:p w14:paraId="1E4648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r=0.647），社会情感支持（r=0.616）和学科内容建构（r=0.603）次之，课堂互动相对较低（r=0.408），但仍达到统计显著。这一结果说明，五个维度既共同指向课堂整体质量，又并非彼此替代。尤其值得注意的是，形成性评价虽然在后续均值比较中并不占优势，但它与整体课堂结构的联系却最为紧密，这为理解课堂中的“反馈—改进”作用提供了一个重要线索。</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课堂总体评价的描述统计</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轮共纳入46份清晰可辨的有效评课记录。总体分析不只报告均值，还同时呈现标准差、中位数、四分位距和95%置信区间。之所以采用这样的统计口径，是因为课堂评价往往存在少量极高或极低记录，单一均值容易掩盖分布特征。我们更希望借助多种统计量还原这组课堂评价的真实面貌。</w:t>
      </w:r>
    </w:p>
    <w:p w14:paraId="3844EC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表3-65  课堂评价总分总体描述统计</w:t>
      </w:r>
    </w:p>
    <w:tbl>
      <w:tblPr>
        <w:tblW w:w="830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72DB3A9"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指标</w:t>
            </w:r>
          </w:p>
        </w:tc>
        <w:tc>
          <w:tcPr>
            <w:tcW w:w="33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F52337C"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统计结果</w:t>
            </w:r>
          </w:p>
        </w:tc>
      </w:tr>
      <w:tr w:rsidR="000B1CCE" w14:paraId="68ACADFD" w14:textId="77777777">
        <w:trPr>
          <w:tblHeade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F3B914"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lastRenderedPageBreak/>
              <w:t>样本量（n）</w:t>
            </w:r>
          </w:p>
        </w:tc>
        <w:tc>
          <w:tcPr>
            <w:tcW w:w="33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80FFEC0"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46</w:t>
            </w:r>
          </w:p>
        </w:tc>
      </w:tr>
      <w:tr w:rsidR="000B1CCE" w14:paraId="3530391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39BC37D"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平均分（M）</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A7608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90.83</w:t>
            </w:r>
          </w:p>
        </w:tc>
      </w:tr>
      <w:tr w:rsidR="000B1CCE" w14:paraId="3C8E3163"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60B442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标准差（SD）</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43793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4.85</w:t>
            </w:r>
          </w:p>
        </w:tc>
      </w:tr>
      <w:tr w:rsidR="000B1CCE" w14:paraId="31866EA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60966DA"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中位数（Mdn）</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21BB826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92.00</w:t>
            </w:r>
          </w:p>
        </w:tc>
      </w:tr>
      <w:tr w:rsidR="000B1CCE" w14:paraId="20C53421"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D4FD0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四分位区间（Q1—Q3）</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F395C3"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90.00—93.00</w:t>
            </w:r>
          </w:p>
        </w:tc>
      </w:tr>
      <w:tr w:rsidR="000B1CCE" w14:paraId="5E9B0F3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DAB1B"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最低—最高</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324A11D6"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68—97</w:t>
            </w:r>
          </w:p>
        </w:tc>
      </w:tr>
      <w:tr w:rsidR="000B1CCE" w14:paraId="7CF4F52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A38DF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极差</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068A268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29</w:t>
            </w:r>
          </w:p>
        </w:tc>
      </w:tr>
      <w:tr w:rsidR="000B1CCE" w14:paraId="5538AB7D" w14:textId="77777777">
        <w:trPr>
          <w:tblHeader/>
          <w:jc w:val="center"/>
        </w:trPr>
        <w:tc>
          <w:tcPr>
            <w:tcW w:w="498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6E2A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均值95%CI</w:t>
            </w:r>
          </w:p>
        </w:tc>
        <w:tc>
          <w:tcPr>
            <w:tcW w:w="33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5677A5"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89.39—92.27</w:t>
            </w:r>
          </w:p>
        </w:tc>
      </w:tr>
    </w:tbl>
    <w:p w14:paraId="7A17BD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分布看，平均分为90.83分，中位数为92.00分，四分位区间集中在90—93分。也就是说，半数以上的评价聚集在一个相对狭窄的高分区间。与此同时，最低分为68分，使均值低于中位数约1.17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表3-66  课堂评价总分区间分布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F45F6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分数区间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9FB5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频数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9C0B1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比例（%）</w:t>
            </w:r>
          </w:p>
        </w:tc>
        <w:tc>
          <w:tcPr>
            <w:tcW w:w="295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F629AE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累计比例（%）</w:t>
            </w:r>
          </w:p>
        </w:tc>
      </w:tr>
      <w:tr w:rsidR="000B1CCE" w14:paraId="60BDA4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7B9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90分及以上</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3B1B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793F1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c>
          <w:tcPr>
            <w:tcW w:w="295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1965E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r>
      <w:tr w:rsidR="000B1CCE" w14:paraId="6D39412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B7CB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80—89分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CB57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F295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21.74</w:t>
            </w:r>
          </w:p>
        </w:tc>
        <w:tc>
          <w:tcPr>
            <w:tcW w:w="2958" w:type="dxa"/>
            <w:tcBorders>
              <w:top w:val="nil"/>
              <w:left w:val="nil"/>
              <w:bottom w:val="nil"/>
              <w:right w:val="nil"/>
            </w:tcBorders>
            <w:shd w:val="clear" w:color="auto" w:fill="FFFFFF"/>
            <w:tcMar>
              <w:top w:w="-1" w:type="dxa"/>
              <w:left w:w="-1" w:type="dxa"/>
              <w:bottom w:w="-1" w:type="dxa"/>
              <w:right w:w="-1" w:type="dxa"/>
            </w:tcMar>
            <w:vAlign w:val="center"/>
          </w:tcPr>
          <w:p w14:paraId="2A6E86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97.83</w:t>
            </w:r>
          </w:p>
        </w:tc>
      </w:tr>
      <w:tr w:rsidR="000B1CCE" w14:paraId="44544E42" w14:textId="77777777">
        <w:trPr>
          <w:jc w:val="center"/>
        </w:trPr>
        <w:tc>
          <w:tcPr>
            <w:tcW w:w="23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853F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65—79分</w:t>
            </w:r>
          </w:p>
        </w:tc>
        <w:tc>
          <w:tcPr>
            <w:tcW w:w="90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EA6B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20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E388D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w:t>
            </w:r>
          </w:p>
        </w:tc>
        <w:tc>
          <w:tcPr>
            <w:tcW w:w="295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9DD7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100.00</w:t>
            </w:r>
          </w:p>
        </w:tc>
      </w:tr>
    </w:tbl>
    <w:p w14:paraId="714B18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分数区间看，90分及以上35份，占76.09%；80—89分10份，占21.74%；65—79分1份，占2.17%。因此，本轮评价的主体确实集中在较高区间，但并非“整齐划一”。我们在后续学科与课例分析中保留这份低分记录，不做事后剔除，就是希望真实呈现课堂实施中的差异，而不是用平均化的数据塑造一个过于整齐的结论。</w:t>
      </w:r>
    </w:p>
    <w:p w14:paraId="68F082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五个评价维度的结构差异分析</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高分并不能说明五个方面同步发展。为进一步看清课堂内部结构，本研究比较五维的均值、离散程度，并利用同一份评课记录中的五个配对分数进行Friedman重复测量检验。考虑到维度得分上限固定、分布较集中，采用非参数检验更为稳妥；同时以Kendall's W判断差异强度。</w:t>
      </w:r>
    </w:p>
    <w:p w14:paraId="1B45B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表3-67  五个评价维度的描述统计</w:t>
      </w:r>
    </w:p>
    <w:tbl>
      <w:tblPr>
        <w:tblW w:w="867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BEB0D7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7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37077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6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B3D0E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962D3F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F696EB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ACA06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44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35EAAE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得分率（%）</w:t>
            </w:r>
          </w:p>
        </w:tc>
        <w:tc>
          <w:tcPr>
            <w:tcW w:w="96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1D032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60C2C6C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05ECF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7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03B5DC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18.96</w:t>
            </w:r>
          </w:p>
        </w:tc>
        <w:tc>
          <w:tcPr>
            <w:tcW w:w="6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0896C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314D9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F80D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18.25—20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41D0D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16—20</w:t>
            </w:r>
          </w:p>
        </w:tc>
        <w:tc>
          <w:tcPr>
            <w:tcW w:w="144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9ACDE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94.78</w:t>
            </w:r>
          </w:p>
        </w:tc>
        <w:tc>
          <w:tcPr>
            <w:tcW w:w="96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7CE4F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6.09</w:t>
            </w:r>
          </w:p>
        </w:tc>
      </w:tr>
      <w:tr w:rsidR="000B1CCE" w14:paraId="73274A4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5199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7468E4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18.54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7701D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A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D6B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607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2EBFD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92.72</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525A74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w:t>
            </w:r>
          </w:p>
        </w:tc>
      </w:tr>
      <w:tr w:rsidR="000B1CCE" w14:paraId="0143A5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A13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认知参与</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2BB204C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17.93</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676D34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7D81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CB2B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18—18.75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567E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A32B2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89.67</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75EC31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7.28</w:t>
            </w:r>
          </w:p>
        </w:tc>
      </w:tr>
      <w:tr w:rsidR="000B1CCE" w14:paraId="1A51E48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309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313EC4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17.74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4FF3A4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0D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7E8FB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F4ED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13—19</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624E13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88.70</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6840D5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7.27</w:t>
            </w:r>
          </w:p>
        </w:tc>
      </w:tr>
      <w:tr w:rsidR="000B1CCE" w14:paraId="7DB16303" w14:textId="77777777">
        <w:trPr>
          <w:jc w:val="center"/>
        </w:trPr>
        <w:tc>
          <w:tcPr>
            <w:tcW w:w="204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2B9D0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8008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17.67</w:t>
            </w:r>
          </w:p>
        </w:tc>
        <w:tc>
          <w:tcPr>
            <w:tcW w:w="6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C0CC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1.43</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66CB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11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45C6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17—18</w:t>
            </w:r>
          </w:p>
        </w:tc>
        <w:tc>
          <w:tcPr>
            <w:tcW w:w="12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3EA3D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55ED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88.37</w:t>
            </w:r>
          </w:p>
        </w:tc>
        <w:tc>
          <w:tcPr>
            <w:tcW w:w="96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8A3F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8.09</w:t>
            </w:r>
          </w:p>
        </w:tc>
      </w:tr>
    </w:tbl>
    <w:p w14:paraId="19305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个维度均值均处于较高水平，但内部层次已经显现。社会情感支持平均18.96分，形成性评价与反馈平均17.67分，两者相差1.29分；从相对离散程度看，社会情感支持CV为6.09%，是五维中最低的，而形成性评价与反馈CV为8.09%，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表3-68  五维重复测量整体差异检验</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A64669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检验</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8C179A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统计量</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16546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df</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54B8B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97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E2083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效应量</w:t>
            </w:r>
          </w:p>
        </w:tc>
      </w:tr>
      <w:tr w:rsidR="000B1CCE" w14:paraId="6B569C86" w14:textId="77777777">
        <w:trPr>
          <w:jc w:val="center"/>
        </w:trPr>
        <w:tc>
          <w:tcPr>
            <w:tcW w:w="2185"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BA1BC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Friedman检验</w:t>
            </w:r>
          </w:p>
        </w:tc>
        <w:tc>
          <w:tcPr>
            <w:tcW w:w="17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6D8F2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χ²=60.615</w:t>
            </w:r>
          </w:p>
        </w:tc>
        <w:tc>
          <w:tcPr>
            <w:tcW w:w="351"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2BD6B9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10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787A9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972"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A78E7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Kendall's W=0.329</w:t>
            </w:r>
          </w:p>
        </w:tc>
      </w:tr>
    </w:tbl>
    <w:p w14:paraId="74BFB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Friedman检验结果表明，五个维度的得分分布存在显著差异（χ²=60.615，df=4，p&lt;0.001），Kendall's W=0.329，达到中等效应水平。这意味着教师在不同课堂中形成的五维排序并非偶然波动，而是呈现出较为稳定的结构。换句话说，课堂的支持性关系、学科内容组织、认知参与、互动和评价，并没有以完全相同的成熟度同步发展。</w:t>
      </w:r>
    </w:p>
    <w:p w14:paraId="7AF2D44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表3-69  五维两两比较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C75E3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比较维度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7678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Holm校正p</w:t>
            </w:r>
          </w:p>
        </w:tc>
        <w:tc>
          <w:tcPr>
            <w:tcW w:w="17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B078D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结果</w:t>
            </w:r>
          </w:p>
        </w:tc>
      </w:tr>
      <w:tr w:rsidR="000B1CCE" w14:paraId="2E932B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2C56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学科内容建构</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91333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17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0BB5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8C8E2F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F755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8639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255FD7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62A2DC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B7D2C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1E0D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6BEDA0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6BC324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2A82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8E15C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0.548</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89F21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17A8D1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84AA8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3566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0.072</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2AB7B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2AC7E0B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684B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197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0A5645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098DA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58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0E86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343C83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20930D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302BB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EAE7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10C7F4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0848E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5A30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A36E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7DD5A5D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497D644" w14:textId="77777777">
        <w:trPr>
          <w:jc w:val="center"/>
        </w:trPr>
        <w:tc>
          <w:tcPr>
            <w:tcW w:w="484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A2BC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 vs 形成性评价</w:t>
            </w:r>
          </w:p>
        </w:tc>
        <w:tc>
          <w:tcPr>
            <w:tcW w:w="172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2D4A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7EFC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bl>
    <w:p w14:paraId="20039E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差异；社会情感支持与学科内容建构之间经校正后差异也不再显著（p=0.072）。因此，与其把五个维度机械排成1—5名，不如把它们理解为两个相对层次，社会情感支持与学科内容建构位于较高层，认知参与、课堂互动和形成性评价构成</w:t>
      </w:r>
      <w:r>
        <w:rPr>
          <w:rFonts w:ascii="宋体" w:eastAsia="宋体" w:hAnsi="宋体" w:cs="宋体" w:hint="eastAsia"/>
          <w:sz w:val="24"/>
        </w:rPr>
        <w:lastRenderedPageBreak/>
        <w:t>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4</w:t>
      </w:r>
      <w:r>
        <w:rPr>
          <w:rFonts w:ascii="宋体" w:eastAsia="宋体" w:hAnsi="宋体" w:cs="宋体" w:hint="eastAsia"/>
          <w:sz w:val="24"/>
        </w:rPr>
        <w:t>）</w:t>
      </w:r>
      <w:r>
        <w:rPr>
          <w:rFonts w:ascii="宋体" w:eastAsia="宋体" w:hAnsi="宋体" w:cs="宋体"/>
          <w:sz w:val="24"/>
        </w:rPr>
        <w:t>不同学科的课堂评价比较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比较是课题研究中最容易被误读的一部分。由于不同学科样本量并不均衡，且多份评课记录嵌套于同一课例，严格意义上并不满足完全独立样本条件。因此，我们不把几分之差解释为稳定的“学科优劣”，而是把学科数据作为观察课堂实施稳定性和内部差异的窗口。</w:t>
      </w:r>
    </w:p>
    <w:p w14:paraId="42A73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表3-70  不同学科课堂评价描述统计</w:t>
      </w:r>
    </w:p>
    <w:tbl>
      <w:tblPr>
        <w:tblW w:w="8388"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8361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学科</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4837F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796F49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3114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6E2C7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01A5B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3FD07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19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A2D8E1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795C0CB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87BE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AA0C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FBC98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91.58</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13A4AF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45AB3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6B689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91.75—93.50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CFA3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19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FBE7A0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4.23</w:t>
            </w:r>
          </w:p>
        </w:tc>
      </w:tr>
      <w:tr w:rsidR="000B1CCE" w14:paraId="5AD710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6004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A005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051F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89B6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2A11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ED672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91.00—95.00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E9A80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83456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78FFC21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9B84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42865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DA94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8E51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DAA7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55A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88.75—93.00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B39C8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47894A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3.17</w:t>
            </w:r>
          </w:p>
        </w:tc>
      </w:tr>
      <w:tr w:rsidR="000B1CCE" w14:paraId="54B9A3D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6C51B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B764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A1DD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346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976A6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DA1DF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BCE5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68—95</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2CB8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8.37</w:t>
            </w:r>
          </w:p>
        </w:tc>
      </w:tr>
      <w:tr w:rsidR="000B1CCE" w14:paraId="0890F65D" w14:textId="77777777">
        <w:trPr>
          <w:jc w:val="center"/>
        </w:trPr>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CE74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w:t>
            </w:r>
          </w:p>
        </w:tc>
        <w:tc>
          <w:tcPr>
            <w:tcW w:w="33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B64A2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EC2F4B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832C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2.83</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EFEBA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203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5497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85.00—87.00</w:t>
            </w:r>
          </w:p>
        </w:tc>
        <w:tc>
          <w:tcPr>
            <w:tcW w:w="169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1390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84—88</w:t>
            </w:r>
          </w:p>
        </w:tc>
        <w:tc>
          <w:tcPr>
            <w:tcW w:w="11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FCFD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3.29</w:t>
            </w:r>
          </w:p>
        </w:tc>
      </w:tr>
    </w:tbl>
    <w:p w14:paraId="3C4800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均值看，数学、地理、语文和英语都集中在90.5—91.6分之间，差距很小。真正拉开学科特征的并不是平均水平，而是内部离散程度。英语中位数达到93分，但均值只有90.55分，SD为7.58，CV为8.37%，最低分仅68分。这个“中位数高、均值被拉低”的组合非常典型，它提示我们，英语整体并不存在普遍性低水平，更可能是个别评价记录显著偏离主体分布。</w:t>
      </w:r>
    </w:p>
    <w:p w14:paraId="3156D9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表3-71  英语学科低分记录的敏感性描述</w:t>
      </w:r>
    </w:p>
    <w:tbl>
      <w:tblPr>
        <w:tblW w:w="84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E8F00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24D08E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05B16A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17FE56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28F40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2C7268DC"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27F7D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保留全部英语记录</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FC3B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A7179B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E5783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5E8D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68479819" w14:textId="77777777">
        <w:trPr>
          <w:jc w:val="center"/>
        </w:trPr>
        <w:tc>
          <w:tcPr>
            <w:tcW w:w="535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2D77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754BA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7E09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92.80</w:t>
            </w:r>
          </w:p>
        </w:tc>
        <w:tc>
          <w:tcPr>
            <w:tcW w:w="7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4808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6D830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1DA2F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进一步验证了这一判断。保留全部11份英语评价时，均值为90.55、SD为7.58；若仅用于检验异常值影响而暂不计68分记录，均值升至92.80，SD降至1.32，而中位数始终保持93分。这一变化幅度说明，英语原始统计中的“高波动”主要由单条低分记录驱动。正式研究中我们保留该记录，因为它可能反映评价者视角、课堂生成或评分过程中的真实差异；但在解释时不能据此把英语学科概括为“整体不稳定”。</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物理目前只有2份有效评价，均值86.00，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5</w:t>
      </w:r>
      <w:r>
        <w:rPr>
          <w:rFonts w:ascii="宋体" w:eastAsia="宋体" w:hAnsi="宋体" w:cs="宋体" w:hint="eastAsia"/>
          <w:sz w:val="24"/>
        </w:rPr>
        <w:t>）</w:t>
      </w:r>
      <w:r>
        <w:rPr>
          <w:rFonts w:ascii="宋体" w:eastAsia="宋体" w:hAnsi="宋体" w:cs="宋体"/>
          <w:sz w:val="24"/>
        </w:rPr>
        <w:t xml:space="preserve"> 不同课例的评价差异分析</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1份评价的课例，只保留原始分数，不人为计算离散指标。</w:t>
      </w:r>
    </w:p>
    <w:p w14:paraId="58D043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表3-72  不同课例课堂评价得分及离散程度</w:t>
      </w:r>
    </w:p>
    <w:tbl>
      <w:tblPr>
        <w:tblW w:w="829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A80E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234BB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C1381B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3639ED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FD1B72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6D637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51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E8C7F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44FCD74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1FA4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FFE4D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9E2C11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B1737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AF5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CA8E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90—95</w:t>
            </w:r>
          </w:p>
        </w:tc>
        <w:tc>
          <w:tcPr>
            <w:tcW w:w="151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C7E7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1.78</w:t>
            </w:r>
          </w:p>
        </w:tc>
      </w:tr>
      <w:tr w:rsidR="000B1CCE" w14:paraId="1260EEC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2DAC9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5E16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A0CF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91.83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33A4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49E5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505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1D6A4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3.33</w:t>
            </w:r>
          </w:p>
        </w:tc>
      </w:tr>
      <w:tr w:rsidR="000B1CCE" w14:paraId="70F0BB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B510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47C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FA3F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9D6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8B26B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5A1B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73DC994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44B7F11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4CF96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085B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DAB26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91.33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E17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A7D97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F2F60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78C196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5.30</w:t>
            </w:r>
          </w:p>
        </w:tc>
      </w:tr>
      <w:tr w:rsidR="000B1CCE" w14:paraId="2A626FE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FA9DE2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BD02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11B0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90.80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A5BBD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622F0C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7CEB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87—94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645BA1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2.85</w:t>
            </w:r>
          </w:p>
        </w:tc>
      </w:tr>
      <w:tr w:rsidR="000B1CCE" w14:paraId="1B781C0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D6AE6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0950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8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90.43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C996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A14A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C37C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37E9D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3.60</w:t>
            </w:r>
          </w:p>
        </w:tc>
      </w:tr>
      <w:tr w:rsidR="000B1CCE" w14:paraId="7636D7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9D759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FCA7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567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D2F3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C474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A3ECA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1B9F6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12.81</w:t>
            </w:r>
          </w:p>
        </w:tc>
      </w:tr>
      <w:tr w:rsidR="000B1CCE" w14:paraId="7CFEC19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EE7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86A3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2C18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485D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B05D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113E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88—88</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45919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r w:rsidR="000B1CCE" w14:paraId="2B358AB4" w14:textId="77777777">
        <w:trPr>
          <w:jc w:val="center"/>
        </w:trPr>
        <w:tc>
          <w:tcPr>
            <w:tcW w:w="118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55C26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21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0FCF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FB7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0433F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E99D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216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350CC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84—84</w:t>
            </w:r>
          </w:p>
        </w:tc>
        <w:tc>
          <w:tcPr>
            <w:tcW w:w="1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CA0B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bl>
    <w:p w14:paraId="4016F3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多份评价的课例看，英语2平均分92.50，CV仅1.78%，既保持较高评分，又具有很高的一致性；语文1、数学2和语文2的CV也都低于4%，说明不同评价者对这些课例的总体判断较为接近。数学1和地理1的均值与前述课例相近，但CV分别为5.30%和4.89%，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英语1是最值得进一步回看的一节课。它的平均分为88.20，但中位数达到93.00，SD为11.30，CV为12.81%。从统计结构看，这并不是一种普遍偏低的分布，而是明显受到单条68分记录影响。仅看均值，会把一节大多数评价较高的课堂误读为“整体水平偏低”。</w:t>
      </w:r>
    </w:p>
    <w:p w14:paraId="6252B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表3-73  英语1课例的敏感性描述</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AF98E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D8910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380A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705E74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8874A2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43A4B36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6638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保留全部5份评价</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9F42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1D97D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FBD4EB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C8273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79F9A9E6" w14:textId="77777777">
        <w:trPr>
          <w:jc w:val="center"/>
        </w:trPr>
        <w:tc>
          <w:tcPr>
            <w:tcW w:w="535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082DAB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70CB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DE4C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93.25</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1FC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4B6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79F7CC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对此给出了更清晰的证据，如果仅为了判断极端值影响而暂不计68分，其余4份评价的均值为93.25，SD仅0.50。这说明英语1的高变异主要来自一份与其他评价明显不同的记录。作为课题主持人，我们更愿意把这种差异看作一个值得回到原始评语和课堂现场进一步追问的问题，而不是简单把它当作“异常值删除掉”。研究的价值，恰恰在于解释分歧，而不是消除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课例层面的分析把我们的关注点从“谁分数高”转向“哪些课堂已经形成稳定共识，哪些课堂仍存在专业判断分歧”。均值反映总体位置，SD和CV反映评价一致程度；两者结合，才能更准确地判断一节课堂在实施层面是否具有相对稳定、可复制的特征。</w:t>
      </w:r>
    </w:p>
    <w:p w14:paraId="3FED853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6</w:t>
      </w:r>
      <w:r>
        <w:rPr>
          <w:rFonts w:ascii="宋体" w:eastAsia="宋体" w:hAnsi="宋体" w:cs="宋体" w:hint="eastAsia"/>
          <w:sz w:val="24"/>
        </w:rPr>
        <w:t>）</w:t>
      </w:r>
      <w:r>
        <w:rPr>
          <w:rFonts w:ascii="宋体" w:eastAsia="宋体" w:hAnsi="宋体" w:cs="宋体"/>
          <w:sz w:val="24"/>
        </w:rPr>
        <w:t>开放式评语的质性编码分析</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而不是教师人数。我们希望借助这些文本，把数字重新放回真实课堂语境中。</w:t>
      </w:r>
    </w:p>
    <w:p w14:paraId="596FC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表3-74  教师开放式评语主题编码频次</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F9EE04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主题</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D0FACB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编码条次</w:t>
            </w:r>
          </w:p>
        </w:tc>
        <w:tc>
          <w:tcPr>
            <w:tcW w:w="327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D627C1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占全部编码（%）</w:t>
            </w:r>
          </w:p>
        </w:tc>
      </w:tr>
      <w:tr w:rsidR="000B1CCE" w14:paraId="178EF7F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16103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78BD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327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5187D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18.92</w:t>
            </w:r>
          </w:p>
        </w:tc>
      </w:tr>
      <w:tr w:rsidR="000B1CCE" w14:paraId="68B1F54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CC61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B7F08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C926E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17.57</w:t>
            </w:r>
          </w:p>
        </w:tc>
      </w:tr>
      <w:tr w:rsidR="000B1CCE" w14:paraId="5EA4028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AB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27910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6982E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16.22</w:t>
            </w:r>
          </w:p>
        </w:tc>
      </w:tr>
      <w:tr w:rsidR="000B1CCE" w14:paraId="04262CC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01E9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教师支持行为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5B8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49932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15.32</w:t>
            </w:r>
          </w:p>
        </w:tc>
      </w:tr>
      <w:tr w:rsidR="000B1CCE" w14:paraId="594CA21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790BE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FBAA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FCBD2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13.06</w:t>
            </w:r>
          </w:p>
        </w:tc>
      </w:tr>
      <w:tr w:rsidR="000B1CCE" w14:paraId="4D605B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3D7F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4B24AF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6F202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12.16</w:t>
            </w:r>
          </w:p>
        </w:tc>
      </w:tr>
      <w:tr w:rsidR="000B1CCE" w14:paraId="695FEAF0" w14:textId="77777777">
        <w:trPr>
          <w:jc w:val="center"/>
        </w:trPr>
        <w:tc>
          <w:tcPr>
            <w:tcW w:w="32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A764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差异化/分层支持</w:t>
            </w:r>
          </w:p>
        </w:tc>
        <w:tc>
          <w:tcPr>
            <w:tcW w:w="174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4B58A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w:t>
            </w:r>
          </w:p>
        </w:tc>
        <w:tc>
          <w:tcPr>
            <w:tcW w:w="327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38E69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6.76</w:t>
            </w:r>
          </w:p>
        </w:tc>
      </w:tr>
    </w:tbl>
    <w:p w14:paraId="1FC4D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类主题共形成222个编码条次。其中，可见学习设计、高阶思维培养、学习参与与合作、教师支持行为四类合计151次，占68.02%。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互动改进和形成性评价反馈分别出现29次和27次。需要特别说明的是，这两类编码同时包含肯定性意见和改进建议，因此不能把频次简单理解为“问题多”。更准确的解释是互动与反馈已经成为教师在课堂观察中持续聚焦的关键</w:t>
      </w:r>
      <w:r>
        <w:rPr>
          <w:rFonts w:ascii="宋体" w:eastAsia="宋体" w:hAnsi="宋体" w:cs="宋体" w:hint="eastAsia"/>
          <w:sz w:val="24"/>
        </w:rPr>
        <w:lastRenderedPageBreak/>
        <w:t>环节。差异化/分层支持出现15次，频次相对较低，但它提示我们的课堂观察开始从“全班是否学得好”进一步走向“不同学生是否都获得合适支持”。</w:t>
      </w:r>
    </w:p>
    <w:p w14:paraId="53A45C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7</w:t>
      </w:r>
      <w:r>
        <w:rPr>
          <w:rFonts w:ascii="宋体" w:eastAsia="宋体" w:hAnsi="宋体" w:cs="宋体" w:hint="eastAsia"/>
          <w:sz w:val="24"/>
        </w:rPr>
        <w:t>）</w:t>
      </w:r>
      <w:r>
        <w:rPr>
          <w:rFonts w:ascii="宋体" w:eastAsia="宋体" w:hAnsi="宋体" w:cs="宋体"/>
          <w:sz w:val="24"/>
        </w:rPr>
        <w:t>五维量化结果与开放文本的内部互证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说量化评分回答的是“哪些维度高、哪些维度低、差异有多大”，那么开放评语更接近回答“这些差异在课堂里具体表现为什么”。因此，本研究将两类资料进行内部互证，不追求机械对应，而是考察它们是否共同指向相似的课堂结构。</w:t>
      </w:r>
    </w:p>
    <w:p w14:paraId="1D474C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表3-75  五维量化结构与开放文本的对应分析</w:t>
      </w:r>
    </w:p>
    <w:tbl>
      <w:tblPr>
        <w:tblW w:w="876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344C1E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量化维度</w:t>
            </w:r>
          </w:p>
        </w:tc>
        <w:tc>
          <w:tcPr>
            <w:tcW w:w="13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FD0DE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量化证据</w:t>
            </w:r>
          </w:p>
        </w:tc>
        <w:tc>
          <w:tcPr>
            <w:tcW w:w="19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FDEE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相关文本主题</w:t>
            </w:r>
          </w:p>
        </w:tc>
        <w:tc>
          <w:tcPr>
            <w:tcW w:w="10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B739A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文本频次</w:t>
            </w:r>
          </w:p>
        </w:tc>
        <w:tc>
          <w:tcPr>
            <w:tcW w:w="28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422C705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综合解释</w:t>
            </w:r>
          </w:p>
        </w:tc>
      </w:tr>
      <w:tr w:rsidR="000B1CCE" w14:paraId="43858353" w14:textId="77777777">
        <w:trPr>
          <w:jc w:val="center"/>
        </w:trPr>
        <w:tc>
          <w:tcPr>
            <w:tcW w:w="15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EDA24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13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1B9D76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M=18.96；CV=6.09%</w:t>
            </w:r>
          </w:p>
        </w:tc>
        <w:tc>
          <w:tcPr>
            <w:tcW w:w="19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18A1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学习参与与合作；教师支持行为</w:t>
            </w:r>
          </w:p>
        </w:tc>
        <w:tc>
          <w:tcPr>
            <w:tcW w:w="10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8AE40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36+34</w:t>
            </w:r>
          </w:p>
        </w:tc>
        <w:tc>
          <w:tcPr>
            <w:tcW w:w="28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FDCC5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40BEC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087DE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M=18.54；CV=7.60%</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62216D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7714F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110EBE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E3BF8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DC60A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M=17.93；CV=7.28%</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118CB0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5D6E4B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6B59F2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67F594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356C2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M=17.74；CV=7.27%</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4283389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F1E6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0CBC3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F7EB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3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72517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M=17.67；CV=8.09%</w:t>
            </w:r>
          </w:p>
        </w:tc>
        <w:tc>
          <w:tcPr>
            <w:tcW w:w="19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F8455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10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388E2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28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564AA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均值最低、波动最大，文本中评价反馈亦反复出现</w:t>
            </w:r>
          </w:p>
        </w:tc>
      </w:tr>
    </w:tbl>
    <w:p w14:paraId="113DE1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对应关系在数据中是比较清晰的。社会情感支持既是五维中均值最高的维度，也是CV最低的维度；与此同时，“学习参与与合作”和“教师支持行为”共出现70次。也就是说，教师不仅在分数上认可课堂的支持性关系和合作氛围，在文字评语中也反复记录到这类现象。学科内容建构得分率达到92.72%，而“可见学习设计”以42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值得关注的是后三个维度。认知参与、课堂互动和形成性评价在均值上处于相对接近的一组，Friedman后的两两比较也表明三者之间多数差异并不显著。开放文本中，高阶思维培养39次、课堂互动改进29次、形成性评价反馈27次，说明教师持续在观察“学生是否真正思考”“互动是否有学习价值”“反馈能否推动下一步学习”。尤其形成性评价与反馈，虽然均值最低，却与其余四维总分的校正相关最高（r=0.647），删除该维度后总体α下降幅度也最大。由此看，它不能被简单理解为一个“低分项”，更像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从课题研究的角度看，五维评课真正有价值的地方，不是为课堂排出一个名</w:t>
      </w:r>
      <w:r>
        <w:rPr>
          <w:rFonts w:ascii="宋体" w:eastAsia="宋体" w:hAnsi="宋体" w:cs="宋体" w:hint="eastAsia"/>
          <w:sz w:val="24"/>
        </w:rPr>
        <w:t>次，而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6E95624E" w14:textId="77777777" w:rsidR="000B1CCE" w:rsidRDefault="00000000">
      <w:pPr>
        <w:adjustRightInd w:val="0"/>
        <w:snapToGrid w:val="0"/>
        <w:spacing w:line="360" w:lineRule="auto"/>
        <w:rPr>
          <w:rFonts w:ascii="宋体" w:eastAsia="宋体" w:hAnsi="宋体" w:cs="宋体"/>
          <w:sz w:val="28"/>
          <w:szCs w:val="28"/>
        </w:rPr>
      </w:pPr>
      <w:r>
        <w:rPr>
          <w:rFonts w:ascii="宋体" w:eastAsia="宋体" w:hAnsi="宋体" w:cs="宋体" w:hint="eastAsia"/>
          <w:sz w:val="28"/>
          <w:szCs w:val="28"/>
        </w:rPr>
        <w:t>5.基于希沃AI评课的课堂实施分析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客观呈现课题课堂实施的实际状态，本研究以希沃AI课堂智能反馈报告为主要数据来源，对10节典型课例的课堂行为结构、学生学习行为及师生互动情况进行描述统计；同时，对其中具有完整提问认知层级记录的6节课进行认知层级分析，并结合希沃AI原始反馈文本进行质性编码。分析坚持“原始报告优先、缺失不推算、研究者计算指标单独说明”的原则，重点回答课堂实施过程中“发生了什么、以何种结构发生”，不以AI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口径上，教师行为占比、学生行为占比及课堂行为时间采用已补充并与希沃报告核对的10节课数据；提问认知层级目前有6节课具备完整记录，因此相关统计以n=6为分析样本。高阶认知问题比例由本研究依据“分析型+评价型+创造型”计算，用于描述课堂问题的认知要求结构。</w:t>
      </w:r>
    </w:p>
    <w:p w14:paraId="4377A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1）教师教学行为的描述统计分析</w:t>
      </w:r>
    </w:p>
    <w:p w14:paraId="616731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表3-76  10节课教师—学生行为结构及教师主要行为时间</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F5AB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1C3F9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639087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50737F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教师讲授</w:t>
            </w:r>
          </w:p>
        </w:tc>
        <w:tc>
          <w:tcPr>
            <w:tcW w:w="162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0F9E9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w:t>
            </w:r>
          </w:p>
        </w:tc>
      </w:tr>
      <w:tr w:rsidR="000B1CCE" w14:paraId="4D0436AF"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A2EE24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3AC1F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4628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97F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9分46秒</w:t>
            </w:r>
          </w:p>
        </w:tc>
        <w:tc>
          <w:tcPr>
            <w:tcW w:w="162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B9061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r>
      <w:tr w:rsidR="000B1CCE" w14:paraId="322F4C6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5B2A9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10CF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9F19B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D90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55BC41A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r>
      <w:tr w:rsidR="000B1CCE" w14:paraId="0AE244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93EA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49C23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0D0A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5209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5分44秒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6356E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r>
      <w:tr w:rsidR="000B1CCE" w14:paraId="7325AE8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5267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506D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9A1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0F7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8分02秒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44DAE5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r>
      <w:tr w:rsidR="000B1CCE" w14:paraId="6167DF5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A514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156F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29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A1D9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13分15秒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211298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r>
      <w:tr w:rsidR="000B1CCE" w14:paraId="2BFA8B4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EFCB6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5AC3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553D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3EB2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9分17秒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0579B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r>
      <w:tr w:rsidR="000B1CCE" w14:paraId="72D3D93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BD7B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3323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E9FC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8F4C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16分38秒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6C89858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r>
      <w:tr w:rsidR="000B1CCE" w14:paraId="133E90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441F38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2800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C9C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F4BC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14分53秒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75F000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r>
      <w:tr w:rsidR="000B1CCE" w14:paraId="25F7B3D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44A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E45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4C2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D438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5分39秒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E783E3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r>
      <w:tr w:rsidR="000B1CCE" w14:paraId="412ABF2A" w14:textId="77777777">
        <w:trPr>
          <w:jc w:val="center"/>
        </w:trPr>
        <w:tc>
          <w:tcPr>
            <w:tcW w:w="9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BB6C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4F1C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097C5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FF2FB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11分06秒</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AC1E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r>
    </w:tbl>
    <w:p w14:paraId="1FF485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总体结构看，教师行为占比均值为50.2%，学生行为占比均值为49.8%，两者在总体层面基本相当。教师行为占比的中位数为51%，最低为物理2的31%，最高为地理1的71%，极差为40个百分点，说明不同课例在课堂组织结</w:t>
      </w:r>
      <w:r>
        <w:rPr>
          <w:rFonts w:ascii="宋体" w:eastAsia="宋体" w:hAnsi="宋体" w:cs="宋体" w:hint="eastAsia"/>
          <w:sz w:val="24"/>
        </w:rPr>
        <w:lastRenderedPageBreak/>
        <w:t>构上存在较明显差异。学生行为占比则由29%至69%不等，其中语文2、数学1、数学2和物理2四节课超过60%，英语2、英语3接近50%，语文1、英语1、物理1、地理1相对体现出较高的教师行为占比。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教师具体行为时间看，10节课教师讲授累计约100分08秒，平均每节约10分01秒；师生问答累计约110分48秒，平均每节约11分05秒。讲授时间最长的是英语3（16分38秒），最短的是物理2（5分39秒）；师生问答时间最长的是语文1（18分58秒），最短的是英语3（5分04秒）。这一分布说明，教师行为并非单一由讲授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比较课例可以看到，不同课堂的“教师行为占比”与“教师连续讲授时间”并不完全对应。例如，地理1教师行为占比为71%，但讲授时间为11分06秒，同时师生问答达到15分03秒；语文1教师行为占比为67%，师生问答时间18分58秒，明显高于其讲授时间9分46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2）学生学习行为的描述统计分析</w:t>
      </w:r>
    </w:p>
    <w:p w14:paraId="719712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表3-77  10节课学生主要学习行为时间分布</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BC0114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63D8C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学生讨论</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808A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学生练习</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5BECB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学生展示</w:t>
            </w:r>
          </w:p>
        </w:tc>
        <w:tc>
          <w:tcPr>
            <w:tcW w:w="18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A951DB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实验/实践</w:t>
            </w:r>
          </w:p>
        </w:tc>
      </w:tr>
      <w:tr w:rsidR="000B1CCE" w14:paraId="3D904FE1"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5634D3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97016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16分57秒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1E1AB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29秒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EF2FAB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c>
          <w:tcPr>
            <w:tcW w:w="18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A8A7AA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544B3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55443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26541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20分26秒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74979F"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5分27秒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E9A17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3E4A2C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F85B8F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7A1A3D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16692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19分30秒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CC1FE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14分45秒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EFF5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2EABCA8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95B4C8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815DBB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9A91E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16分08秒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DB70DA"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854EA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5F277FB6"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4BCCB5F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947220"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EAF23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15分59秒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5C0C57"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3A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6AC51D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1D88B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6CBCB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915E7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E3250C"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11216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0D3ABFB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538224E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7C8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3C7EB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D645DD"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A43142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3A686F4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B5E75D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CF770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164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9752E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53431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31秒</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1B4118BB"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3分46秒</w:t>
            </w:r>
          </w:p>
        </w:tc>
      </w:tr>
      <w:tr w:rsidR="000B1CCE" w14:paraId="1986B4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B332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784D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21分43秒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C0F69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C1C73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4D037AB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23秒</w:t>
            </w:r>
          </w:p>
        </w:tc>
      </w:tr>
      <w:tr w:rsidR="000B1CCE" w14:paraId="35187E53" w14:textId="77777777">
        <w:trPr>
          <w:jc w:val="center"/>
        </w:trPr>
        <w:tc>
          <w:tcPr>
            <w:tcW w:w="109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CBBC7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地理1</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0AA58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18分07秒</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17D2D0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16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33FD4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787F03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bl>
    <w:p w14:paraId="07B2FD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表3-78  学生主要学习行为的描述统计</w:t>
      </w:r>
    </w:p>
    <w:tbl>
      <w:tblPr>
        <w:tblW w:w="8312"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8A4F58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行为类型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6C64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累计时间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66088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平均每课</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626E06"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最短</w:t>
            </w:r>
          </w:p>
        </w:tc>
        <w:tc>
          <w:tcPr>
            <w:tcW w:w="16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423B87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最长</w:t>
            </w:r>
          </w:p>
        </w:tc>
      </w:tr>
      <w:tr w:rsidR="000B1CCE" w14:paraId="349CF99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0ECE3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学生讨论</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009086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174分10秒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593AE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17分25秒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DABC3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16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179B1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r>
      <w:tr w:rsidR="000B1CCE" w14:paraId="18C288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20C6E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学生练习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7AE96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20分42秒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595BC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A223EA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3ECB4FD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14分45秒</w:t>
            </w:r>
          </w:p>
        </w:tc>
      </w:tr>
      <w:tr w:rsidR="000B1CCE" w14:paraId="15DA26B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EF1277"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学生展示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A4638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1分06秒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48C0FE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C4A2E0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44D40BE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r>
      <w:tr w:rsidR="000B1CCE" w14:paraId="2EF5FC0F" w14:textId="77777777">
        <w:trPr>
          <w:jc w:val="center"/>
        </w:trPr>
        <w:tc>
          <w:tcPr>
            <w:tcW w:w="159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D0B127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实验/实践</w:t>
            </w:r>
          </w:p>
        </w:tc>
        <w:tc>
          <w:tcPr>
            <w:tcW w:w="185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D13C7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4分09秒</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209B98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约25秒</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20875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570D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3分46秒</w:t>
            </w:r>
          </w:p>
        </w:tc>
      </w:tr>
    </w:tbl>
    <w:p w14:paraId="2DD3A8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从10节课的学生行为时间看，讨论是覆盖面最广、持续时间最长的学习行</w:t>
      </w:r>
      <w:r>
        <w:rPr>
          <w:rFonts w:ascii="宋体" w:eastAsia="宋体" w:hAnsi="宋体" w:cs="宋体" w:hint="eastAsia"/>
          <w:sz w:val="24"/>
        </w:rPr>
        <w:lastRenderedPageBreak/>
        <w:t>为。10节课均记录到学生讨论，累计时间约174分10秒，平均每节约17分25秒。单课讨论时间最高为英语2的23分19秒，其次为物理2的21分43秒、语文2的20分26秒和数学1的19分30秒；最低为英语3的7分21秒。由此可见，讨论并非个别学科或个别课例中的偶发活动，而是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练习、展示和实验/实践行为的分布则更具有课例差异。学生练习累计约20分42秒，其中数学1达到14分45秒，语文2为5分27秒，其余课例较少或未被系统记录；学生展示仅在语文1和物理1中分别记录35秒和31秒；实验/实践主要出现在物理课，物理1为3分46秒，物理2为23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将学生行为占比与具体行为时间结合观察，可以发现学生行为比例较高的课例往往伴随较长的讨论或练习时间。例如，物理2学生行为占比69%，讨论21分43秒；数学1学生行为占比62%，讨论19分30秒、练习14分45秒；语文2学生行为占比64%，讨论20分26秒、练习5分27秒。由此可以较为具体地看到，学生课堂时间主要通过讨论、练习等行为得到承载，而不是仅表现为抽象的“参与比例”。</w:t>
      </w:r>
    </w:p>
    <w:p w14:paraId="45C32D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而言，学生学习行为在本组课例中呈现出以讨论为主要形式、练习和实践活动因学科与任务而异的分布特征。学生学习由“参与课堂”进一步表现为讨论、练习和特定情境中的实践活动，但展示类行为在希沃记录中的占比仍相对有限。</w:t>
      </w:r>
    </w:p>
    <w:p w14:paraId="6BBEFE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3）师生互动与提问认知层级分析</w:t>
      </w:r>
    </w:p>
    <w:p w14:paraId="192840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表3-79  10节课师生问答与学生讨论时间</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50D25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A23D8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E20444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学生讨论时间</w:t>
            </w:r>
          </w:p>
        </w:tc>
        <w:tc>
          <w:tcPr>
            <w:tcW w:w="240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E853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两类互动合计</w:t>
            </w:r>
          </w:p>
        </w:tc>
      </w:tr>
      <w:tr w:rsidR="000B1CCE" w14:paraId="2A0887A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C5927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3DF0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3D79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16分57秒</w:t>
            </w:r>
          </w:p>
        </w:tc>
        <w:tc>
          <w:tcPr>
            <w:tcW w:w="240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36E50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35分55秒</w:t>
            </w:r>
          </w:p>
        </w:tc>
      </w:tr>
      <w:tr w:rsidR="000B1CCE" w14:paraId="5DCB4FC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448E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1AE4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BCCC6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20分26秒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9D650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32分49秒</w:t>
            </w:r>
          </w:p>
        </w:tc>
      </w:tr>
      <w:tr w:rsidR="000B1CCE" w14:paraId="7401A4D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F91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3630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E716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19分30秒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8670A4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29分46秒</w:t>
            </w:r>
          </w:p>
        </w:tc>
      </w:tr>
      <w:tr w:rsidR="000B1CCE" w14:paraId="5F86946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1D0F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E80A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E1CD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16分08秒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2490BBE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29分35秒</w:t>
            </w:r>
          </w:p>
        </w:tc>
      </w:tr>
      <w:tr w:rsidR="000B1CCE" w14:paraId="7566C3E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F8A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8AC1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41B1D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15分59秒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F5044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27分10秒</w:t>
            </w:r>
          </w:p>
        </w:tc>
      </w:tr>
      <w:tr w:rsidR="000B1CCE" w14:paraId="605921A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2779F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1CF5C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0EE2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23分19秒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120EE4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32分34秒</w:t>
            </w:r>
          </w:p>
        </w:tc>
      </w:tr>
      <w:tr w:rsidR="000B1CCE" w14:paraId="1E1404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66C1E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CDB7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916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7分21秒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6A68A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12分25秒</w:t>
            </w:r>
          </w:p>
        </w:tc>
      </w:tr>
      <w:tr w:rsidR="000B1CCE" w14:paraId="130E818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F44D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75B00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24AA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14分40秒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4E9DB3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24分11秒</w:t>
            </w:r>
          </w:p>
        </w:tc>
      </w:tr>
      <w:tr w:rsidR="000B1CCE" w14:paraId="1F2D512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E8C97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2A75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DF1B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21分43秒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F2525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27分23秒</w:t>
            </w:r>
          </w:p>
        </w:tc>
      </w:tr>
      <w:tr w:rsidR="000B1CCE" w14:paraId="3F320496" w14:textId="77777777">
        <w:trPr>
          <w:jc w:val="center"/>
        </w:trPr>
        <w:tc>
          <w:tcPr>
            <w:tcW w:w="11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88F7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3E51D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A146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18分07秒</w:t>
            </w:r>
          </w:p>
        </w:tc>
        <w:tc>
          <w:tcPr>
            <w:tcW w:w="24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1F7F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33分10秒</w:t>
            </w:r>
          </w:p>
        </w:tc>
      </w:tr>
    </w:tbl>
    <w:p w14:paraId="7CE6CA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从互动时间构成看，10节课师生问答累计约110分48秒，学生讨论累计约</w:t>
      </w:r>
      <w:r>
        <w:rPr>
          <w:rFonts w:ascii="宋体" w:eastAsia="宋体" w:hAnsi="宋体" w:cs="宋体" w:hint="eastAsia"/>
          <w:sz w:val="24"/>
        </w:rPr>
        <w:lastRenderedPageBreak/>
        <w:t>174分10秒，两类行为合计约284分58秒。由于希沃各行为类别可能存在识别口径差异，且不同指标不宜简单等同于“有效互动时间”，这里主要用于比较不同课例的互动结构。语文1两类互动合计时间最长，为35分55秒；地理1为33分10秒，语文2为32分49秒，英语2为32分34秒；英语3相对较短，为12分25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从互动构成看，有的课例以师生问答为主要互动方式，如语文1师生问答18分58秒；有的课例更多依赖学生讨论，如英语2讨论23分19秒、物理2讨论21分43秒。也就是说，本组课例中的互动并不是单一的“教师问—学生答”，而是在师生问答与生生讨论之间形成不同组合。</w:t>
      </w:r>
    </w:p>
    <w:p w14:paraId="3FF38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表3-80  6节课提问认知层级分布</w:t>
      </w:r>
    </w:p>
    <w:tbl>
      <w:tblPr>
        <w:tblW w:w="879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C6812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F8C3FF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记忆</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7E1D8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理解</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3F8C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应用</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EF776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分析</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0C56C3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0D61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创造</w:t>
            </w:r>
          </w:p>
        </w:tc>
        <w:tc>
          <w:tcPr>
            <w:tcW w:w="147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093BC3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高阶认知比例</w:t>
            </w:r>
          </w:p>
        </w:tc>
      </w:tr>
      <w:tr w:rsidR="000B1CCE" w14:paraId="4EE625B4" w14:textId="77777777">
        <w:trPr>
          <w:jc w:val="center"/>
        </w:trPr>
        <w:tc>
          <w:tcPr>
            <w:tcW w:w="7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4677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00004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B770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72A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A6C0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19（39%）</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920F8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0F49A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2E82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43%*</w:t>
            </w:r>
          </w:p>
        </w:tc>
      </w:tr>
      <w:tr w:rsidR="000B1CCE" w14:paraId="31224391"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6E4150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C647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AD2B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74A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7E15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C195B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3E7BB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C22765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w:t>
            </w:r>
          </w:p>
        </w:tc>
      </w:tr>
      <w:tr w:rsidR="000B1CCE" w14:paraId="43EA9ABA"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0A86DD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2E6B1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23BE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41（54%）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43BE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EFDB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10（13%）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557188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7F9D6A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51C90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465B473E"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1A3E9E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45E3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3D7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23（45%）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1828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E096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AEB7EC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76B3A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77A31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r>
      <w:tr w:rsidR="000B1CCE" w14:paraId="0175B045"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36C8FE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7E3B9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5C5B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A1A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3B72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5A9B0D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9F198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466A9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w:t>
            </w:r>
          </w:p>
        </w:tc>
      </w:tr>
      <w:tr w:rsidR="000B1CCE" w14:paraId="0D6E9DE1" w14:textId="77777777">
        <w:trPr>
          <w:jc w:val="center"/>
        </w:trPr>
        <w:tc>
          <w:tcPr>
            <w:tcW w:w="7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F7F7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CC5E4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3（10%）</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C487D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11（35%）</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093A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4（13%）</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82B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13（42%）</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08DF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60DD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725BA7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r>
    </w:tbl>
    <w:p w14:paraId="67AB7A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高阶认知比例按“分析+评价+创造”计算。语文1数据库原表标注为45%，按次数19+0+2=21、总提问49次重新计算约为42.9%，本报告采用43%，并保留此处校核说明。</w:t>
      </w:r>
    </w:p>
    <w:p w14:paraId="389608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表3-81  6节课提问认知层级总体结构</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C337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认知层级</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22E5AB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次数</w:t>
            </w:r>
          </w:p>
        </w:tc>
        <w:tc>
          <w:tcPr>
            <w:tcW w:w="39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75B308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占324次提问比例</w:t>
            </w:r>
          </w:p>
        </w:tc>
      </w:tr>
      <w:tr w:rsidR="000B1CCE" w14:paraId="404414C0"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70E4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记忆</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1D1D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39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9F8FE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9.6%</w:t>
            </w:r>
          </w:p>
        </w:tc>
      </w:tr>
      <w:tr w:rsidR="000B1CCE" w14:paraId="11F1514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DCDC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理解</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F476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145</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2715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r>
      <w:tr w:rsidR="000B1CCE" w14:paraId="64AAE57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1C7BD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应用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AD69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15A7E2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12.0%</w:t>
            </w:r>
          </w:p>
        </w:tc>
      </w:tr>
      <w:tr w:rsidR="000B1CCE" w14:paraId="5E83B97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328A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FC3D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63DE34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6B8A81D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6E3F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7C74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F96E9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BFACBF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A4E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0EF57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38FF7A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DADEE1E" w14:textId="77777777">
        <w:trPr>
          <w:jc w:val="center"/>
        </w:trPr>
        <w:tc>
          <w:tcPr>
            <w:tcW w:w="34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F6EE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分析+评价+创造</w:t>
            </w:r>
          </w:p>
        </w:tc>
        <w:tc>
          <w:tcPr>
            <w:tcW w:w="9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BB002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109</w:t>
            </w:r>
          </w:p>
        </w:tc>
        <w:tc>
          <w:tcPr>
            <w:tcW w:w="39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6D49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33.6%</w:t>
            </w:r>
          </w:p>
        </w:tc>
      </w:tr>
    </w:tbl>
    <w:p w14:paraId="5494C5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目前具有完整提问认知层级数据的6节课中，共记录提问324次。其中理解型问题145次，占44.8%，是数量最多的类型；分析型问题93次，占28.7%；应用型39次，占12.0%；记忆型31次，占9.6%；评价型和创造型各8次，分别占2.5%。按照本研究“分析+评价+创造”的口径，共有高阶认知问题109次，占33.6%。</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从课例差异看，物理1高阶认知比例最高，为53%，其中分析型问题占43%；语文1按次数校核后约为43%，物理2为42%，语文2为30%，地理1为29%，英</w:t>
      </w:r>
      <w:r>
        <w:rPr>
          <w:rFonts w:ascii="宋体" w:eastAsia="宋体" w:hAnsi="宋体" w:cs="宋体" w:hint="eastAsia"/>
          <w:sz w:val="24"/>
        </w:rPr>
        <w:lastRenderedPageBreak/>
        <w:t>语1为17%。这一差异提示，不同课例的提问结构并不一致。物理课例的分析型问题比例相对较高，语文2和地理1同时保留较高比例的理解型问题与一定比例的分析、评价和创造型问题；英语1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层级结构看，理解与分析两类问题合计占73.5%，构成6节课提问的主体。评价、创造类问题比例较低，但在语文1、语文2、地理1和物理1中均有出现。基于现有数据，可以确认课堂提问已覆盖从记忆、理解、应用到分析、评价、创造的多个认知层级；但由于只有6节课具有完整认知层级数据，本结果主要用于描述这些课例的提问结构，不宜外推为全部10节课的总体水平。</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希沃报告提供的是“教师提出了何种认知层级的问题”，并未对每一次高阶问题之后学生是否发生论证、质疑、观点修正等行为进行逐次编码。因此，本研究不据此直接推断学生高阶思维能力已经形成，而将其作为课堂是否提供高阶认知机会的重要过程性指标。</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AI行为数据的价值还在于弥补教师主观感受的局限。课堂观察研究发现，教师往往难以准确估计自己讲授所占的时间，自认为只占二至三成的讲授实际可能达到七至八成（Knudsen, 2017）。希沃数据为教师提供了不依赖自我感觉的课堂结构信息，但这些信息只描述行为发生的时间和频次，教师仍需结合学习目标和学生表现解释其意义。</w:t>
      </w:r>
    </w:p>
    <w:p w14:paraId="665B05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4）希沃AI反馈文本的质性分析</w:t>
      </w:r>
    </w:p>
    <w:p w14:paraId="4CDF0C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表3-82  希沃AI原始反馈文本编码示例</w:t>
      </w:r>
    </w:p>
    <w:tbl>
      <w:tblPr>
        <w:tblW w:w="836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E076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AI原始反馈内容</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528140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一级编码</w:t>
            </w:r>
          </w:p>
        </w:tc>
        <w:tc>
          <w:tcPr>
            <w:tcW w:w="172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D966F5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二级编码</w:t>
            </w:r>
          </w:p>
        </w:tc>
      </w:tr>
      <w:tr w:rsidR="000B1CCE" w14:paraId="08A686D7"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0431D9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教师主导占比较高，学生主动参与机会较少</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9D45E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349FE1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学生参与空间</w:t>
            </w:r>
          </w:p>
        </w:tc>
      </w:tr>
      <w:tr w:rsidR="000B1CCE" w14:paraId="65ED934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78F939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教师引导与学生活动结合有序</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1DC5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210C9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教学生态平衡</w:t>
            </w:r>
          </w:p>
        </w:tc>
      </w:tr>
      <w:tr w:rsidR="000B1CCE" w14:paraId="2BB6B7C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3856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师生互动频繁，互动生态良好</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67A76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互动交流</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158F0B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互动充分</w:t>
            </w:r>
          </w:p>
        </w:tc>
      </w:tr>
      <w:tr w:rsidR="000B1CCE" w14:paraId="18655B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B5434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学生有自主学习空间</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3E3E4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学习方式</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28BDE77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自主参与</w:t>
            </w:r>
          </w:p>
        </w:tc>
      </w:tr>
      <w:tr w:rsidR="000B1CCE" w14:paraId="48E5DC4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37442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需增加师生互动环节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E1C6C4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73B4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互动优化</w:t>
            </w:r>
          </w:p>
        </w:tc>
      </w:tr>
      <w:tr w:rsidR="000B1CCE" w14:paraId="4730508F" w14:textId="77777777">
        <w:trPr>
          <w:jc w:val="center"/>
        </w:trPr>
        <w:tc>
          <w:tcPr>
            <w:tcW w:w="544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4094C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需增加探究和实践活动</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98F3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BB0581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探究深化</w:t>
            </w:r>
          </w:p>
        </w:tc>
      </w:tr>
    </w:tbl>
    <w:p w14:paraId="238F4E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量化数据相比，AI反馈文本更多反映系统对课堂状态的解释性判断。从现有原始反馈看，文本并未呈现单一方向，而是同时包含积极描述和改进提示。例如，“教师引导与学生活动结合有序”“师生互动频繁，互动生态良好”“学生有自主学习空间”等反馈，与部分课例中较高的学生行为占比、较长的讨论时间相呼应；另一方面，“教师主导占比较高，学生主动参与机会较少”“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维度看，现有AI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10节课中的完整出现频次，本报告不人为计算主题频率，也不使用“高频”“普遍”</w:t>
      </w:r>
      <w:r>
        <w:rPr>
          <w:rFonts w:ascii="宋体" w:eastAsia="宋体" w:hAnsi="宋体" w:cs="宋体" w:hint="eastAsia"/>
          <w:sz w:val="24"/>
        </w:rPr>
        <w:lastRenderedPageBreak/>
        <w:t>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将质性文本与量化结果对照可以发现，两类证据在若干方面具有一致性。其一，量化数据显示课例间教师/学生行为比例差异较大，质性文本同时出现“教师主导占比较高”和“教师引导与学生活动结合有序”两类不同判断，说明AI反馈能够反映课例之间的异质性。其二，学生讨论在10节课中均有较长时间记录，质性文本中相应出现“师生互动频繁”“学生有自主学习空间”等表述。其三，展示、实验/实践行为在行为统计中相对集中于少数课例，AI反馈中也出现“需增加探究和实践活动”的建议。两类证据相互补充，使课堂实施状态的描述不只停留在单一比例指标。</w:t>
      </w:r>
    </w:p>
    <w:p w14:paraId="3F16E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5）小结</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10节课课堂行为数据、6节课提问认知层级数据以及希沃AI反馈文本，可以形成对课堂实施状态的几个描述性认识。第一，10节课教师行为与学生行为总体均值接近，但单课差异较大，说明课堂组织方式具有明显课例差异。第二，学生讨论是覆盖最广、持续时间最长的学生学习行为，练习、展示、实验/实践则呈现较强的学科和任务特征。第三，师生问答与学生讨论共同构成课堂互动的主要可观测形式，不同课例在两者的组合方式上存在差异。第四，在6节具有完整认知层级数据的课例中，高阶认知问题占33.6%，以分析型问题为主，评价和创造型问题比例相对较低。第五，AI质性文本既记录课堂中已有的互动、自主参与等表现，也提出增加互动、探究和实践活动等建议，其内容与行为统计呈现出一定程度的对应关系。</w:t>
      </w:r>
    </w:p>
    <w:p w14:paraId="00664C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三年持续研究，我们越来越清楚地认识到，学校课题研究的价值，不在于形成若干概念、图式和案例本身，而在于能否把一个原本较为抽象的育人命题，转化为教师能够实施、学生能够经历、学校能够持续改进的实践系统。因此，本研究在总结阶段没有把“成果”简单等同于论文、课例或数据，也没有把“成效”仅理解为前后测分数的变化，而是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AI课堂行为、典型案例、开放性回答和校本研修资料进行交叉判断。这样的处理，既回应了课题的研究内容，也尽可能避免以单一数据替代复杂教育变化。</w:t>
      </w:r>
    </w:p>
    <w:p w14:paraId="68155A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（一）研究形成的主要成果</w:t>
      </w:r>
    </w:p>
    <w:p w14:paraId="16338C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表4-1  研究内容与主要成果的对应关系</w:t>
      </w:r>
    </w:p>
    <w:tbl>
      <w:tblPr>
        <w:tblW w:w="8522" w:type="dxa"/>
        <w:jc w:val="center"/>
        <w:tblBorders>
          <w:top w:val="none" w:sz="10" w:space="0" w:color="000000"/>
          <w:bottom w:val="none" w:sz="10" w:space="0" w:color="000000"/>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line="240" w:lineRule="auto"/>
              <w:jc w:val="center"/>
              <w:rPr>
                <w:b/>
              </w:rPr>
            </w:pPr>
            <w:r>
              <w:rPr>
                <w:b/>
              </w:rPr>
              <w:t>研究关注</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line="240" w:lineRule="auto"/>
              <w:jc w:val="center"/>
              <w:rPr>
                <w:b/>
              </w:rPr>
            </w:pPr>
            <w:r>
              <w:rPr>
                <w:b/>
              </w:rPr>
              <w:t>形成的主要成果</w:t>
            </w:r>
          </w:p>
        </w:tc>
        <w:tc>
          <w:tcPr>
            <w:tcW w:w="4172" w:type="dxa"/>
            <w:tcBorders>
              <w:top w:val="single" w:sz="12" w:space="0" w:color="auto"/>
              <w:left w:val="nil"/>
              <w:bottom w:val="nil"/>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line="240" w:lineRule="auto"/>
              <w:jc w:val="center"/>
              <w:rPr>
                <w:b/>
              </w:rPr>
            </w:pPr>
            <w:r>
              <w:rPr>
                <w:b/>
              </w:rPr>
              <w:t>解决的核心问题</w:t>
            </w:r>
          </w:p>
        </w:tc>
      </w:tr>
      <w:tr w:rsidR="000B1CCE" w14:paraId="27385B0B"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line="240" w:lineRule="auto"/>
              <w:jc w:val="center"/>
            </w:pPr>
            <w:r>
              <w:t>学生怎样学</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line="240" w:lineRule="auto"/>
              <w:jc w:val="center"/>
            </w:pPr>
            <w:r>
              <w:t>“五环”学习模型</w:t>
            </w:r>
          </w:p>
        </w:tc>
        <w:tc>
          <w:tcPr>
            <w:tcW w:w="4172" w:type="dxa"/>
            <w:tcBorders>
              <w:top w:val="single" w:sz="4" w:space="0" w:color="auto"/>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line="240" w:lineRule="auto"/>
            </w:pPr>
            <w: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line="240" w:lineRule="auto"/>
              <w:jc w:val="center"/>
            </w:pPr>
            <w:r>
              <w:t>教师怎样教</w:t>
            </w:r>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line="240" w:lineRule="auto"/>
              <w:jc w:val="center"/>
            </w:pPr>
            <w:r>
              <w:t>“四步调节”教学模型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line="240" w:lineRule="auto"/>
            </w:pPr>
            <w: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line="240" w:lineRule="auto"/>
              <w:jc w:val="center"/>
            </w:pPr>
            <w:r>
              <w:t>教与学怎样协同</w:t>
            </w:r>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line="240" w:lineRule="auto"/>
              <w:jc w:val="center"/>
            </w:pPr>
            <w:r>
              <w:t>高阶能力培育总模型2.0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line="240" w:lineRule="auto"/>
            </w:pPr>
            <w: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line="240" w:lineRule="auto"/>
              <w:jc w:val="center"/>
            </w:pPr>
            <w:r>
              <w:lastRenderedPageBreak/>
              <w:t>在哪里实践</w:t>
            </w:r>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line="240" w:lineRule="auto"/>
              <w:jc w:val="center"/>
            </w:pPr>
            <w:r>
              <w:t>学科教学与科创教育“两域转化”路径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line="240" w:lineRule="auto"/>
            </w:pPr>
            <w: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line="240" w:lineRule="auto"/>
              <w:jc w:val="center"/>
            </w:pPr>
            <w:r>
              <w:t>高阶学习怎样呈现</w:t>
            </w:r>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line="240" w:lineRule="auto"/>
              <w:jc w:val="center"/>
            </w:pPr>
            <w: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line="240" w:lineRule="auto"/>
            </w:pPr>
            <w: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line="240" w:lineRule="auto"/>
              <w:jc w:val="center"/>
            </w:pPr>
            <w:r>
              <w:t>如何判断变化</w:t>
            </w:r>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line="240" w:lineRule="auto"/>
              <w:jc w:val="center"/>
            </w:pPr>
            <w: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line="240" w:lineRule="auto"/>
            </w:pPr>
            <w:r>
              <w:t>使学生、教师和学校变化有据可查、相互印证</w:t>
            </w:r>
          </w:p>
        </w:tc>
      </w:tr>
      <w:tr w:rsidR="000B1CCE" w14:paraId="03FCA3EA" w14:textId="77777777">
        <w:trPr>
          <w:jc w:val="center"/>
        </w:trPr>
        <w:tc>
          <w:tcPr>
            <w:tcW w:w="1596" w:type="dxa"/>
            <w:tcBorders>
              <w:top w:val="nil"/>
              <w:left w:val="nil"/>
              <w:bottom w:val="single" w:sz="12" w:space="0" w:color="auto"/>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line="240" w:lineRule="auto"/>
              <w:jc w:val="center"/>
            </w:pPr>
            <w:r>
              <w:t>如何沉淀推广</w:t>
            </w:r>
          </w:p>
        </w:tc>
        <w:tc>
          <w:tcPr>
            <w:tcW w:w="2754" w:type="dxa"/>
            <w:tcBorders>
              <w:top w:val="nil"/>
              <w:left w:val="nil"/>
              <w:bottom w:val="single" w:sz="12" w:space="0" w:color="auto"/>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line="240" w:lineRule="auto"/>
              <w:jc w:val="center"/>
            </w:pPr>
            <w:r>
              <w:t>典型案例与校本研究资源</w:t>
            </w:r>
          </w:p>
        </w:tc>
        <w:tc>
          <w:tcPr>
            <w:tcW w:w="4172" w:type="dxa"/>
            <w:tcBorders>
              <w:top w:val="nil"/>
              <w:left w:val="nil"/>
              <w:bottom w:val="single" w:sz="12" w:space="0" w:color="auto"/>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line="240" w:lineRule="auto"/>
            </w:pPr>
            <w:r>
              <w:t>把课题实践转化为可复用、可研修、可持续改进的校本资源</w:t>
            </w:r>
          </w:p>
        </w:tc>
      </w:tr>
    </w:tbl>
    <w:p w14:paraId="0E28F1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学生怎样学”这一核心问题，本研究以可见的学习为基本视角，把高阶能力从结果性目标前移到学习过程之中，形成“目标引领—任务驱动—探究展学—反馈迭代—反思迁移”的五环学习模型。其价值不在于提供一套统一的课堂流程，而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多轮课堂与项目实践中，我们进一步发现，五环的稳定性来自其学习逻辑，而不是环节的固定顺序。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由此，五环由最初的实践路径逐步深化为一个能够解释高阶学习怎样发生、怎样进阶、怎样被看见的学习模型。</w:t>
      </w:r>
    </w:p>
    <w:p w14:paraId="127EEB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形成基于学习证据的四步调节教学模型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教师怎样教”这一问题，本研究在实践中逐步形成“诊断发现—干预设计—实施推进—评估改进”的四步调节教学模型。这一模型并不是在五环之外再增加一套教学程序，而是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诊断发现强调从学生已有知识、初始表达、任务表现和学习困难中识别真实起点；干预设计强调依据差异选择任务、问题、资源和支架，而不是对所有学生</w:t>
      </w:r>
      <w:r>
        <w:rPr>
          <w:rFonts w:ascii="宋体" w:eastAsia="宋体" w:hAnsi="宋体" w:cs="宋体" w:hint="eastAsia"/>
          <w:sz w:val="24"/>
        </w:rPr>
        <w:lastRenderedPageBreak/>
        <w:t>实施相同支持；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47344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形成学习模型与教学模型协同运行的高阶能力培育总模型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习模型和教学模型分别清晰之后，本研究进一步完成了总模型的结构性整合，形成可见的学习视域下中学生高阶能力培育模型2.0。总模型以中学生高阶能力发展为核心，把学生学习、教师教学、实践场域、典型样态、多源证据和模型改进纳入同一结构。其关键不是再增加新的环节，而是建立不同研究成果之间稳定的内在关系，学习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总模型2.0的迭代具有明确的结构性，由前期较为侧重学习路径，发展为“能力目标统领—学习与教学协同—两域实践转化—典型样态呈现—多源证据支持—持续迭代优化”的完整系统。学习模型和教学模型本身没有为了“升级”而频繁更名，而是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形成学科教学与科创教育两域转化的实践路径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否成立，最终要接受真实教育情境的检验。课题组将学科教学与科创教育确定为两个主要实践域，并坚持“同一目标、共同逻辑、场域转化”。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这种两域转化避免了两个极端，一是把高阶能力培育局限在少数项目和</w:t>
      </w:r>
      <w:r>
        <w:rPr>
          <w:rFonts w:ascii="宋体" w:eastAsia="宋体" w:hAnsi="宋体" w:cs="宋体" w:hint="eastAsia"/>
          <w:sz w:val="24"/>
        </w:rPr>
        <w:lastRenderedPageBreak/>
        <w:t>竞赛活动中，二是把统一流程机械套用到所有课堂。通过日常课堂的持续积累与科创项目的综合实践，学校逐步形成了“课堂日常培育—项目综合运用”相互补充的实践格局，也使模型在不同学科、不同任务和不同学生群体中获得了更充分的实践检验。</w:t>
      </w:r>
    </w:p>
    <w:p w14:paraId="47D1FC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提炼五种高阶学习典型样态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不是五环的另一种表述，也不是给课堂贴标签，而是为“高阶学习到底长什么样”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 建构高阶能力评价与多源证据体系</w:t>
      </w:r>
    </w:p>
    <w:p w14:paraId="6D0482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具有明显的内隐性和过程性，单凭一次问卷、一次评课或一项课堂行为指标，都不足以作出充分判断。为此，本研究没有另外建立一套脱离实践的评价体系，而是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AI课堂行为、教学反思和开放性回答；学校层面则通过两域实践、校本研修组织、课例研究、数据会诊和资源沉淀考察课题是否由个体实践走向组织化运行。不同证据各</w:t>
      </w:r>
      <w:r>
        <w:rPr>
          <w:rFonts w:ascii="宋体" w:eastAsia="宋体" w:hAnsi="宋体" w:cs="宋体" w:hint="eastAsia"/>
          <w:sz w:val="24"/>
        </w:rPr>
        <w:lastRenderedPageBreak/>
        <w:t>自回答不同问题，并通过纵向比较、过程追踪和多元互证形成综合判断。尤其需要强调的是，本研究始终把AI课堂行为视为过程性证据，不把“发言多、讨论多、互动多”直接等同于高阶能力提高。</w:t>
      </w:r>
    </w:p>
    <w:p w14:paraId="0CE89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 形成典型案例与校本研究资源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教师五维评课、希沃AI课堂行为分析、学生和教师问卷、开放性回答三级编码等研究资料，也逐步由课题数据转化为学校教研可使用的诊断资源。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（二）学生层面——高阶能力与学习方式的积极变化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发展是检验本课题实践价值的核心依据。成效分析以1346对前后测一一对应记录为主要样本，其中初中913对、高中433对。高阶思维与高阶社会情感分别报告，不合并为单一总分。统计采用双侧配对t检验，并对总体及分维度检验进行Holm校正，同时报告95%置信区间和配对效应量。需要说明的是，学生问卷沿用原测量工具的“分析、评价、创造”三个高阶思维维度；模型2.0中进一步突出迁移作为学习结果与能力运用的重要指向，但成效统计仍严格按照原量表维度名称报告，不以模型术语替换既有测量口径。</w:t>
      </w:r>
    </w:p>
    <w:p w14:paraId="70363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高阶思维总体呈现积极变化</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前测3.934提高至后测4.030，平均增加0.095分，95%置信区间为0.038—0.153，Holm校正后p=0.004，配对效应量dz=0.089。这表明学生高阶思维自评在研究实施期间呈现小幅但具有统计意义的积极变化。我们没有因为样本量较大和统计显著就把结果表述为“大幅提升”，而是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keepNext/>
        <w:spacing w:before="100" w:after="60"/>
        <w:jc w:val="center"/>
      </w:pPr>
      <w:r>
        <w:rPr>
          <w:rFonts w:ascii="宋体" w:eastAsia="宋体" w:hAnsi="宋体"/>
          <w:b/>
          <w:sz w:val="20"/>
        </w:rPr>
        <w:t>图4-1  学生高阶能力总体前后测均值比较</w:t>
      </w:r>
    </w:p>
    <w:p w14:paraId="41CC5B96" w14:textId="77777777" w:rsidR="000B1CCE" w:rsidRDefault="00000000">
      <w:pPr>
        <w:spacing w:before="40" w:after="4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20" w:after="80"/>
      </w:pPr>
      <w:r>
        <w:rPr>
          <w:rFonts w:ascii="宋体" w:eastAsia="宋体" w:hAnsi="宋体"/>
          <w:sz w:val="17"/>
        </w:rPr>
        <w:t>注　高阶思维与高阶社会情感分别统计，均为1—5分题均分。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维度看，分析由3.941提高至4.028，平均增加0.087分，校正后p=0.008，dz=0.077；评价由3.986提高至4.072，平均增加0.087分，校正后p=0.008，dz=0.079；创造由3.877提高至3.989，平均增加0.112分，校正后p=0.001，dz=0.097。三个维度变化方向一致，其中创造维度增分在数值上相对更高。结合量表题项，其变化主要涉及尝试多种方法、迁移运用、整合知识和提出多种解决办法等行为。不过，这些维度间增幅的排序并未经过正式差异检验，因此不作“哪个维度提升最快”的因果性结论。</w:t>
      </w:r>
    </w:p>
    <w:p w14:paraId="312B43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表4-2  学生高阶能力前后测主要结果（n=1346）</w:t>
      </w:r>
    </w:p>
    <w:tbl>
      <w:tblPr>
        <w:tblW w:w="8503" w:type="dxa"/>
        <w:jc w:val="center"/>
        <w:tblBorders>
          <w:top w:val="none" w:sz="10" w:space="0" w:color="000000"/>
          <w:bottom w:val="none" w:sz="10" w:space="0" w:color="000000"/>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line="240" w:lineRule="auto"/>
              <w:jc w:val="center"/>
              <w:rPr>
                <w:b/>
              </w:rPr>
            </w:pPr>
            <w:r>
              <w:rPr>
                <w:b/>
              </w:rPr>
              <w:t>维度</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line="240" w:lineRule="auto"/>
              <w:jc w:val="center"/>
              <w:rPr>
                <w:b/>
              </w:rPr>
            </w:pPr>
            <w:r>
              <w:rPr>
                <w:b/>
              </w:rPr>
              <w:t>前测M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line="240" w:lineRule="auto"/>
              <w:jc w:val="center"/>
              <w:rPr>
                <w:b/>
              </w:rPr>
            </w:pPr>
            <w:r>
              <w:rPr>
                <w:b/>
              </w:rPr>
              <w:t>后测M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line="240" w:lineRule="auto"/>
              <w:jc w:val="center"/>
              <w:rPr>
                <w:b/>
              </w:rPr>
            </w:pPr>
            <w:r>
              <w:rPr>
                <w:b/>
              </w:rPr>
              <w:t>均值差</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line="240" w:lineRule="auto"/>
              <w:jc w:val="center"/>
              <w:rPr>
                <w:b/>
              </w:rPr>
            </w:pPr>
            <w:r>
              <w:rPr>
                <w:b/>
              </w:rPr>
              <w:t>Holm校正p</w:t>
            </w:r>
          </w:p>
        </w:tc>
        <w:tc>
          <w:tcPr>
            <w:tcW w:w="995" w:type="dxa"/>
            <w:tcBorders>
              <w:top w:val="single" w:sz="12" w:space="0" w:color="auto"/>
              <w:left w:val="nil"/>
              <w:bottom w:val="nil"/>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line="240" w:lineRule="auto"/>
              <w:jc w:val="center"/>
              <w:rPr>
                <w:b/>
              </w:rPr>
            </w:pPr>
            <w:r>
              <w:rPr>
                <w:b/>
              </w:rPr>
              <w:t>dz</w:t>
            </w:r>
          </w:p>
        </w:tc>
      </w:tr>
      <w:tr w:rsidR="000B1CCE" w14:paraId="3A756C56"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line="240" w:lineRule="auto"/>
              <w:jc w:val="center"/>
            </w:pPr>
            <w:r>
              <w:t>高阶思维总体</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line="240" w:lineRule="auto"/>
              <w:jc w:val="center"/>
            </w:pPr>
            <w:r>
              <w:t>3.934</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line="240" w:lineRule="auto"/>
              <w:jc w:val="center"/>
            </w:pPr>
            <w:r>
              <w:t>4.030</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line="240" w:lineRule="auto"/>
              <w:jc w:val="center"/>
            </w:pPr>
            <w:r>
              <w:t>+0.095</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line="240" w:lineRule="auto"/>
              <w:jc w:val="center"/>
            </w:pPr>
            <w:r>
              <w:t>0.004</w:t>
            </w:r>
          </w:p>
        </w:tc>
        <w:tc>
          <w:tcPr>
            <w:tcW w:w="995" w:type="dxa"/>
            <w:tcBorders>
              <w:top w:val="single" w:sz="4" w:space="0" w:color="auto"/>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line="240" w:lineRule="auto"/>
              <w:jc w:val="center"/>
            </w:pPr>
            <w: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line="240" w:lineRule="auto"/>
              <w:jc w:val="center"/>
            </w:pPr>
            <w:r>
              <w:t>分析</w:t>
            </w:r>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line="240" w:lineRule="auto"/>
              <w:jc w:val="center"/>
            </w:pPr>
            <w: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line="240" w:lineRule="auto"/>
              <w:jc w:val="center"/>
            </w:pPr>
            <w: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line="240" w:lineRule="auto"/>
              <w:jc w:val="center"/>
            </w:pPr>
            <w: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line="240" w:lineRule="auto"/>
              <w:jc w:val="center"/>
            </w:pPr>
            <w:r>
              <w:t>评价</w:t>
            </w:r>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line="240" w:lineRule="auto"/>
              <w:jc w:val="center"/>
            </w:pPr>
            <w: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line="240" w:lineRule="auto"/>
              <w:jc w:val="center"/>
            </w:pPr>
            <w: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line="240" w:lineRule="auto"/>
              <w:jc w:val="center"/>
            </w:pPr>
            <w: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line="240" w:lineRule="auto"/>
              <w:jc w:val="center"/>
            </w:pPr>
            <w:r>
              <w:t>创造</w:t>
            </w:r>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line="240" w:lineRule="auto"/>
              <w:jc w:val="center"/>
            </w:pPr>
            <w: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line="240" w:lineRule="auto"/>
              <w:jc w:val="center"/>
            </w:pPr>
            <w: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line="240" w:lineRule="auto"/>
              <w:jc w:val="center"/>
            </w:pPr>
            <w: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line="240" w:lineRule="auto"/>
              <w:jc w:val="center"/>
            </w:pPr>
            <w: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line="240" w:lineRule="auto"/>
              <w:jc w:val="center"/>
            </w:pPr>
            <w: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line="240" w:lineRule="auto"/>
              <w:jc w:val="center"/>
            </w:pPr>
            <w:r>
              <w:t>高阶社会情感总体</w:t>
            </w:r>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line="240" w:lineRule="auto"/>
              <w:jc w:val="center"/>
            </w:pPr>
            <w: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line="240" w:lineRule="auto"/>
              <w:jc w:val="center"/>
            </w:pPr>
            <w: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line="240" w:lineRule="auto"/>
              <w:jc w:val="center"/>
            </w:pPr>
            <w: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line="240" w:lineRule="auto"/>
              <w:jc w:val="center"/>
            </w:pPr>
            <w: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line="240" w:lineRule="auto"/>
              <w:jc w:val="center"/>
            </w:pPr>
            <w:r>
              <w:t>责任担当</w:t>
            </w:r>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line="240" w:lineRule="auto"/>
              <w:jc w:val="center"/>
            </w:pPr>
            <w: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line="240" w:lineRule="auto"/>
              <w:jc w:val="center"/>
            </w:pPr>
            <w: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line="240" w:lineRule="auto"/>
              <w:jc w:val="center"/>
            </w:pPr>
            <w: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line="240" w:lineRule="auto"/>
              <w:jc w:val="center"/>
            </w:pPr>
            <w: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line="240" w:lineRule="auto"/>
              <w:jc w:val="center"/>
            </w:pPr>
            <w:r>
              <w:t>情绪调节</w:t>
            </w:r>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line="240" w:lineRule="auto"/>
              <w:jc w:val="center"/>
            </w:pPr>
            <w: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line="240" w:lineRule="auto"/>
              <w:jc w:val="center"/>
            </w:pPr>
            <w: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line="240" w:lineRule="auto"/>
              <w:jc w:val="center"/>
            </w:pPr>
            <w: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line="240" w:lineRule="auto"/>
              <w:jc w:val="center"/>
            </w:pPr>
            <w: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line="240" w:lineRule="auto"/>
              <w:jc w:val="center"/>
            </w:pPr>
            <w:r>
              <w:t>合作共情</w:t>
            </w:r>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line="240" w:lineRule="auto"/>
              <w:jc w:val="center"/>
            </w:pPr>
            <w: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line="240" w:lineRule="auto"/>
              <w:jc w:val="center"/>
            </w:pPr>
            <w: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line="240" w:lineRule="auto"/>
              <w:jc w:val="center"/>
            </w:pPr>
            <w: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line="240" w:lineRule="auto"/>
              <w:jc w:val="center"/>
            </w:pPr>
            <w:r>
              <w:t>0.941</w:t>
            </w:r>
          </w:p>
        </w:tc>
      </w:tr>
      <w:tr w:rsidR="000B1CCE" w14:paraId="66A2442B" w14:textId="77777777">
        <w:trPr>
          <w:jc w:val="center"/>
        </w:trPr>
        <w:tc>
          <w:tcPr>
            <w:tcW w:w="2533" w:type="dxa"/>
            <w:tcBorders>
              <w:top w:val="nil"/>
              <w:left w:val="nil"/>
              <w:bottom w:val="single" w:sz="12" w:space="0" w:color="auto"/>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line="240" w:lineRule="auto"/>
              <w:jc w:val="center"/>
            </w:pPr>
            <w:r>
              <w:t>包容创新</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line="240" w:lineRule="auto"/>
              <w:jc w:val="center"/>
            </w:pPr>
            <w:r>
              <w:t>4.022</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line="240" w:lineRule="auto"/>
              <w:jc w:val="center"/>
            </w:pPr>
            <w:r>
              <w:t>4.387</w:t>
            </w:r>
          </w:p>
        </w:tc>
        <w:tc>
          <w:tcPr>
            <w:tcW w:w="1138" w:type="dxa"/>
            <w:tcBorders>
              <w:top w:val="nil"/>
              <w:left w:val="nil"/>
              <w:bottom w:val="single" w:sz="12" w:space="0" w:color="auto"/>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line="240" w:lineRule="auto"/>
              <w:jc w:val="center"/>
            </w:pPr>
            <w:r>
              <w:t>+0.365</w:t>
            </w:r>
          </w:p>
        </w:tc>
        <w:tc>
          <w:tcPr>
            <w:tcW w:w="1701" w:type="dxa"/>
            <w:tcBorders>
              <w:top w:val="nil"/>
              <w:left w:val="nil"/>
              <w:bottom w:val="single" w:sz="12" w:space="0" w:color="auto"/>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line="240" w:lineRule="auto"/>
              <w:jc w:val="center"/>
            </w:pPr>
            <w:r>
              <w:t>&lt;0.001</w:t>
            </w:r>
          </w:p>
        </w:tc>
        <w:tc>
          <w:tcPr>
            <w:tcW w:w="995" w:type="dxa"/>
            <w:tcBorders>
              <w:top w:val="nil"/>
              <w:left w:val="nil"/>
              <w:bottom w:val="single" w:sz="12" w:space="0" w:color="auto"/>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line="240" w:lineRule="auto"/>
              <w:jc w:val="center"/>
            </w:pPr>
            <w:r>
              <w:t>0.958</w:t>
            </w:r>
          </w:p>
        </w:tc>
      </w:tr>
    </w:tbl>
    <w:p w14:paraId="7A1E2452" w14:textId="77777777" w:rsidR="000B1CCE" w:rsidRDefault="00000000">
      <w:pPr>
        <w:spacing w:before="40" w:after="100"/>
      </w:pPr>
      <w:r>
        <w:rPr>
          <w:rFonts w:ascii="宋体" w:eastAsia="宋体" w:hAnsi="宋体"/>
          <w:sz w:val="18"/>
        </w:rPr>
        <w:t>注　均值差为后测减前测；高阶思维与高阶社会情感分别统计，不合并为单一总分。</w:t>
      </w:r>
    </w:p>
    <w:p w14:paraId="71646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高阶社会情感发展较为明显</w:t>
      </w:r>
    </w:p>
    <w:p w14:paraId="3359C0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高阶思维相比，学生高阶社会情感自评呈现更为明显的变化。总体均分由4.032提高至4.400，平均增加0.368分，95%置信区间为0.350—0.386，Holm校正后p&lt;0.001，配对效应量dz=1.099。四个维度均呈显著正向变化，责任担当由4.049提高至4.404，平均增加0.354分；情绪调节由3.938提高至4.328，平均增加0.389分；合作共情由4.117提高至4.482，平均增加0.365分；包容创新由4.022提高至4.387，平均增加0.365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与课题实践的任务特征具有一定一致性。无论学科课堂还是科创项目，学生都需要在较长的学习链条中承担任务、面对不确定性和失败、回应不同观点并持续调整方案。因此，责任承担、情绪调节、合作协商和包容不同想法并不是附加于学习之外的品质，而是完成复杂任务所必需的学习资源。尤其值得关注的是，情绪调节的平均增分在四个社会情感维度中数值最高，合作共情后测均分最高，说明学生在面对困难、分歧和协作任务时的自我评价发生了较为明显的积极变化。</w:t>
      </w:r>
    </w:p>
    <w:p w14:paraId="5B7B2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图4-2  学生七个测量维度前后测均值比较</w:t>
      </w:r>
    </w:p>
    <w:p w14:paraId="1DBF1D1C" w14:textId="77777777" w:rsidR="000B1CCE" w:rsidRDefault="00000000">
      <w:pPr>
        <w:spacing w:before="40" w:after="4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2"/>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20" w:after="80"/>
      </w:pPr>
      <w:r>
        <w:rPr>
          <w:rFonts w:ascii="宋体" w:eastAsia="宋体" w:hAnsi="宋体"/>
          <w:sz w:val="17"/>
        </w:rPr>
        <w:t>注　模型2.0强调迁移作为能力运用指向；本图严格沿用学生问卷原测量维度创造进行统计呈现。</w:t>
      </w:r>
    </w:p>
    <w:p w14:paraId="09FCB9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问卷回答的是学生“总体上是否发生变化”，过程证据则进一步帮助我们理解“变化可能怎样发生”。希沃AI对10节典型课例的课堂行为分析显示，学生行为平均占比约49.8%，其中学生讨论平均占比39.78%，说明课堂已经形成较为明显的学生参与和同伴交流基础；同时，6节具有完整认知层级记录的课例中，高阶认知问题占比约35.9%，其中分析型问题约25.8%，评价与创造类问题合计约8.6%。这些数据不能直接证明学生能力提高，但至少说明学生获得了较多进</w:t>
      </w:r>
      <w:r>
        <w:rPr>
          <w:rFonts w:ascii="宋体" w:eastAsia="宋体" w:hAnsi="宋体" w:cs="宋体" w:hint="eastAsia"/>
          <w:sz w:val="24"/>
        </w:rPr>
        <w:lastRenderedPageBreak/>
        <w:t>入问题分析、观点比较和高阶认知活动的机会。</w:t>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的并不是简单的“学生多活动”，而是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过程数据也提醒我们保持清醒，AI识别中的探究实践平均占比约0.91%、学生展示约0.25%，评价与创造类问题比例也仍然偏低。这说明“学生参与可见”已经较为充分，但“思维深度可见”和“能力生成可见”仍需继续加强。换言之，本研究呈现的是积极发展趋势，而不是已经完成的理想状态。这种既呈现成效又保留问题的解释，更符合学校真实课堂改进的连续性。</w:t>
      </w:r>
    </w:p>
    <w:p w14:paraId="360B4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（三）教师层面——高阶能力培育专业实践的持续改进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是模型能否稳定进入日常课堂的关键。教师成效的判断不能只依据一次培训后的态度反馈，本研究因此把教师前后测问卷、五维评课、希沃AI课堂行为、开放性回答和教学反思结合起来。量化结果主要回答教师自我认知与实践是否发生统计意义上的变化，课堂专业评价和AI行为帮助观察教学支持是否具有高阶学习特征，开放性回答则进一步呈现教师专业语言和关注重点的变化。</w:t>
      </w:r>
    </w:p>
    <w:p w14:paraId="48A67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高阶能力培育认识进一步深化</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配对分析纳入129组前后测记录。认知与价值认同前测均分为4.36，后测为4.35，整体保持在较高水平，差异未达到统计显著。这一结果说明，参与研究的教师在课题实施前已普遍认同高阶能力培育的重要性，研究期间更主要的任务并不是继续提高“价值认同分数”，而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w:t>
      </w:r>
      <w:r>
        <w:rPr>
          <w:rFonts w:ascii="宋体" w:eastAsia="宋体" w:hAnsi="宋体" w:cs="宋体" w:hint="eastAsia"/>
          <w:sz w:val="24"/>
        </w:rPr>
        <w:t>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课堂实践与教学自我效能呈现积极变化趋势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课堂教学实践前测均分为4.22，后测为4.32，提高约0.098分；教学自我效能由4.08提高至4.16，提高约0.080分；现实阻碍由3.64下降至3.51，下降约0.125分。上述三个方向分别表现为实践自评略有提高、自我效能略有提高、困难感受有所减轻，但配对检验均未达到统计显著，Holm校正后p均为0.852。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结果并不削弱研究价值，反而提示教师专业变化具有比学生短期学习表现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呈现，比简单追求所有指标显著更能体现研究的可信度。</w:t>
      </w:r>
    </w:p>
    <w:p w14:paraId="137A5FFD" w14:textId="77777777" w:rsidR="000B1CCE" w:rsidRDefault="00000000">
      <w:pPr>
        <w:keepNext/>
        <w:spacing w:before="100" w:after="60"/>
        <w:jc w:val="center"/>
      </w:pPr>
      <w:r>
        <w:rPr>
          <w:rFonts w:ascii="宋体" w:eastAsia="宋体" w:hAnsi="宋体"/>
          <w:b/>
          <w:sz w:val="20"/>
        </w:rPr>
        <w:t>表4-3  教师前后测四个维度的配对比较（n=129）</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642"/>
        <w:gridCol w:w="1669"/>
        <w:gridCol w:w="1669"/>
        <w:gridCol w:w="1642"/>
        <w:gridCol w:w="1684"/>
      </w:tblGrid>
      <w:tr w:rsidR="000B1CCE" w14:paraId="47CBC1AE" w14:textId="77777777">
        <w:trPr>
          <w:jc w:val="center"/>
        </w:trPr>
        <w:tc>
          <w:tcPr>
            <w:tcW w:w="1881" w:type="dxa"/>
            <w:tcBorders>
              <w:bottom w:val="single" w:sz="8" w:space="0" w:color="000000"/>
            </w:tcBorders>
            <w:tcMar>
              <w:top w:w="70" w:type="dxa"/>
              <w:left w:w="90" w:type="dxa"/>
              <w:bottom w:w="70" w:type="dxa"/>
              <w:right w:w="90" w:type="dxa"/>
            </w:tcMar>
            <w:vAlign w:val="center"/>
          </w:tcPr>
          <w:p w14:paraId="58C1246E" w14:textId="77777777" w:rsidR="000B1CCE" w:rsidRDefault="00000000">
            <w:pPr>
              <w:spacing w:line="264" w:lineRule="auto"/>
            </w:pPr>
            <w:r>
              <w:rPr>
                <w:rFonts w:ascii="宋体" w:eastAsia="宋体" w:hAnsi="宋体"/>
                <w:b/>
                <w:sz w:val="18"/>
              </w:rPr>
              <w:t>维度</w:t>
            </w:r>
          </w:p>
        </w:tc>
        <w:tc>
          <w:tcPr>
            <w:tcW w:w="1881" w:type="dxa"/>
            <w:tcBorders>
              <w:bottom w:val="single" w:sz="8" w:space="0" w:color="000000"/>
            </w:tcBorders>
            <w:tcMar>
              <w:top w:w="70" w:type="dxa"/>
              <w:left w:w="90" w:type="dxa"/>
              <w:bottom w:w="70" w:type="dxa"/>
              <w:right w:w="90" w:type="dxa"/>
            </w:tcMar>
            <w:vAlign w:val="center"/>
          </w:tcPr>
          <w:p w14:paraId="049F80A8" w14:textId="77777777" w:rsidR="000B1CCE" w:rsidRDefault="00000000">
            <w:pPr>
              <w:spacing w:line="264" w:lineRule="auto"/>
            </w:pPr>
            <w:r>
              <w:rPr>
                <w:rFonts w:ascii="宋体" w:eastAsia="宋体" w:hAnsi="宋体"/>
                <w:b/>
                <w:sz w:val="18"/>
              </w:rPr>
              <w:t>前测M</w:t>
            </w:r>
          </w:p>
        </w:tc>
        <w:tc>
          <w:tcPr>
            <w:tcW w:w="1881" w:type="dxa"/>
            <w:tcBorders>
              <w:bottom w:val="single" w:sz="8" w:space="0" w:color="000000"/>
            </w:tcBorders>
            <w:tcMar>
              <w:top w:w="70" w:type="dxa"/>
              <w:left w:w="90" w:type="dxa"/>
              <w:bottom w:w="70" w:type="dxa"/>
              <w:right w:w="90" w:type="dxa"/>
            </w:tcMar>
            <w:vAlign w:val="center"/>
          </w:tcPr>
          <w:p w14:paraId="761767B2" w14:textId="77777777" w:rsidR="000B1CCE" w:rsidRDefault="00000000">
            <w:pPr>
              <w:spacing w:line="264" w:lineRule="auto"/>
            </w:pPr>
            <w:r>
              <w:rPr>
                <w:rFonts w:ascii="宋体" w:eastAsia="宋体" w:hAnsi="宋体"/>
                <w:b/>
                <w:sz w:val="18"/>
              </w:rPr>
              <w:t>后测M</w:t>
            </w:r>
          </w:p>
        </w:tc>
        <w:tc>
          <w:tcPr>
            <w:tcW w:w="1881" w:type="dxa"/>
            <w:tcBorders>
              <w:bottom w:val="single" w:sz="8" w:space="0" w:color="000000"/>
            </w:tcBorders>
            <w:tcMar>
              <w:top w:w="70" w:type="dxa"/>
              <w:left w:w="90" w:type="dxa"/>
              <w:bottom w:w="70" w:type="dxa"/>
              <w:right w:w="90" w:type="dxa"/>
            </w:tcMar>
            <w:vAlign w:val="center"/>
          </w:tcPr>
          <w:p w14:paraId="7AF2207B" w14:textId="77777777" w:rsidR="000B1CCE" w:rsidRDefault="00000000">
            <w:pPr>
              <w:spacing w:line="264" w:lineRule="auto"/>
            </w:pPr>
            <w:r>
              <w:rPr>
                <w:rFonts w:ascii="宋体" w:eastAsia="宋体" w:hAnsi="宋体"/>
                <w:b/>
                <w:sz w:val="18"/>
              </w:rPr>
              <w:t>变化方向</w:t>
            </w:r>
          </w:p>
        </w:tc>
        <w:tc>
          <w:tcPr>
            <w:tcW w:w="1881" w:type="dxa"/>
            <w:tcBorders>
              <w:bottom w:val="single" w:sz="8" w:space="0" w:color="000000"/>
            </w:tcBorders>
            <w:tcMar>
              <w:top w:w="70" w:type="dxa"/>
              <w:left w:w="90" w:type="dxa"/>
              <w:bottom w:w="70" w:type="dxa"/>
              <w:right w:w="90" w:type="dxa"/>
            </w:tcMar>
            <w:vAlign w:val="center"/>
          </w:tcPr>
          <w:p w14:paraId="35D50273" w14:textId="77777777" w:rsidR="000B1CCE" w:rsidRDefault="00000000">
            <w:pPr>
              <w:spacing w:line="264" w:lineRule="auto"/>
            </w:pPr>
            <w:r>
              <w:rPr>
                <w:rFonts w:ascii="宋体" w:eastAsia="宋体" w:hAnsi="宋体"/>
                <w:b/>
                <w:sz w:val="18"/>
              </w:rPr>
              <w:t>Holm校正p</w:t>
            </w:r>
          </w:p>
        </w:tc>
      </w:tr>
      <w:tr w:rsidR="000B1CCE" w14:paraId="22B96227" w14:textId="77777777">
        <w:trPr>
          <w:jc w:val="center"/>
        </w:trPr>
        <w:tc>
          <w:tcPr>
            <w:tcW w:w="1881" w:type="dxa"/>
            <w:tcMar>
              <w:top w:w="70" w:type="dxa"/>
              <w:left w:w="90" w:type="dxa"/>
              <w:bottom w:w="70" w:type="dxa"/>
              <w:right w:w="90" w:type="dxa"/>
            </w:tcMar>
            <w:vAlign w:val="center"/>
          </w:tcPr>
          <w:p w14:paraId="6ED20A1F" w14:textId="77777777" w:rsidR="000B1CCE" w:rsidRDefault="00000000">
            <w:pPr>
              <w:spacing w:line="264" w:lineRule="auto"/>
            </w:pPr>
            <w:r>
              <w:rPr>
                <w:rFonts w:ascii="宋体" w:eastAsia="宋体" w:hAnsi="宋体"/>
                <w:sz w:val="18"/>
              </w:rPr>
              <w:t>认知与价值认同</w:t>
            </w:r>
          </w:p>
        </w:tc>
        <w:tc>
          <w:tcPr>
            <w:tcW w:w="1881" w:type="dxa"/>
            <w:tcMar>
              <w:top w:w="70" w:type="dxa"/>
              <w:left w:w="90" w:type="dxa"/>
              <w:bottom w:w="70" w:type="dxa"/>
              <w:right w:w="90" w:type="dxa"/>
            </w:tcMar>
            <w:vAlign w:val="center"/>
          </w:tcPr>
          <w:p w14:paraId="0ADB4645" w14:textId="77777777" w:rsidR="000B1CCE" w:rsidRDefault="00000000">
            <w:pPr>
              <w:spacing w:line="264" w:lineRule="auto"/>
            </w:pPr>
            <w:r>
              <w:rPr>
                <w:rFonts w:ascii="宋体" w:eastAsia="宋体" w:hAnsi="宋体"/>
                <w:sz w:val="18"/>
              </w:rPr>
              <w:t>4.36</w:t>
            </w:r>
          </w:p>
        </w:tc>
        <w:tc>
          <w:tcPr>
            <w:tcW w:w="1881" w:type="dxa"/>
            <w:tcMar>
              <w:top w:w="70" w:type="dxa"/>
              <w:left w:w="90" w:type="dxa"/>
              <w:bottom w:w="70" w:type="dxa"/>
              <w:right w:w="90" w:type="dxa"/>
            </w:tcMar>
            <w:vAlign w:val="center"/>
          </w:tcPr>
          <w:p w14:paraId="1923740D" w14:textId="77777777" w:rsidR="000B1CCE" w:rsidRDefault="00000000">
            <w:pPr>
              <w:spacing w:line="264" w:lineRule="auto"/>
            </w:pPr>
            <w:r>
              <w:rPr>
                <w:rFonts w:ascii="宋体" w:eastAsia="宋体" w:hAnsi="宋体"/>
                <w:sz w:val="18"/>
              </w:rPr>
              <w:t>4.35</w:t>
            </w:r>
          </w:p>
        </w:tc>
        <w:tc>
          <w:tcPr>
            <w:tcW w:w="1881" w:type="dxa"/>
            <w:tcMar>
              <w:top w:w="70" w:type="dxa"/>
              <w:left w:w="90" w:type="dxa"/>
              <w:bottom w:w="70" w:type="dxa"/>
              <w:right w:w="90" w:type="dxa"/>
            </w:tcMar>
            <w:vAlign w:val="center"/>
          </w:tcPr>
          <w:p w14:paraId="0027C5EF" w14:textId="77777777" w:rsidR="000B1CCE" w:rsidRDefault="00000000">
            <w:pPr>
              <w:spacing w:line="264" w:lineRule="auto"/>
            </w:pPr>
            <w:r>
              <w:rPr>
                <w:rFonts w:ascii="宋体" w:eastAsia="宋体" w:hAnsi="宋体"/>
                <w:sz w:val="18"/>
              </w:rPr>
              <w:t>基本稳定</w:t>
            </w:r>
          </w:p>
        </w:tc>
        <w:tc>
          <w:tcPr>
            <w:tcW w:w="1881" w:type="dxa"/>
            <w:tcMar>
              <w:top w:w="70" w:type="dxa"/>
              <w:left w:w="90" w:type="dxa"/>
              <w:bottom w:w="70" w:type="dxa"/>
              <w:right w:w="90" w:type="dxa"/>
            </w:tcMar>
            <w:vAlign w:val="center"/>
          </w:tcPr>
          <w:p w14:paraId="10E0FF93" w14:textId="77777777" w:rsidR="000B1CCE" w:rsidRDefault="00000000">
            <w:pPr>
              <w:spacing w:line="264" w:lineRule="auto"/>
            </w:pPr>
            <w:r>
              <w:rPr>
                <w:rFonts w:ascii="宋体" w:eastAsia="宋体" w:hAnsi="宋体"/>
                <w:sz w:val="18"/>
              </w:rPr>
              <w:t>0.940</w:t>
            </w:r>
          </w:p>
        </w:tc>
      </w:tr>
      <w:tr w:rsidR="000B1CCE" w14:paraId="61F89F2C" w14:textId="77777777">
        <w:trPr>
          <w:jc w:val="center"/>
        </w:trPr>
        <w:tc>
          <w:tcPr>
            <w:tcW w:w="1881" w:type="dxa"/>
            <w:tcMar>
              <w:top w:w="70" w:type="dxa"/>
              <w:left w:w="90" w:type="dxa"/>
              <w:bottom w:w="70" w:type="dxa"/>
              <w:right w:w="90" w:type="dxa"/>
            </w:tcMar>
            <w:vAlign w:val="center"/>
          </w:tcPr>
          <w:p w14:paraId="3CF73968" w14:textId="77777777" w:rsidR="000B1CCE" w:rsidRDefault="00000000">
            <w:pPr>
              <w:spacing w:line="264" w:lineRule="auto"/>
            </w:pPr>
            <w:r>
              <w:rPr>
                <w:rFonts w:ascii="宋体" w:eastAsia="宋体" w:hAnsi="宋体"/>
                <w:sz w:val="18"/>
              </w:rPr>
              <w:t>课堂教学实践</w:t>
            </w:r>
          </w:p>
        </w:tc>
        <w:tc>
          <w:tcPr>
            <w:tcW w:w="1881" w:type="dxa"/>
            <w:tcMar>
              <w:top w:w="70" w:type="dxa"/>
              <w:left w:w="90" w:type="dxa"/>
              <w:bottom w:w="70" w:type="dxa"/>
              <w:right w:w="90" w:type="dxa"/>
            </w:tcMar>
            <w:vAlign w:val="center"/>
          </w:tcPr>
          <w:p w14:paraId="73622285" w14:textId="77777777" w:rsidR="000B1CCE" w:rsidRDefault="00000000">
            <w:pPr>
              <w:spacing w:line="264" w:lineRule="auto"/>
            </w:pPr>
            <w:r>
              <w:rPr>
                <w:rFonts w:ascii="宋体" w:eastAsia="宋体" w:hAnsi="宋体"/>
                <w:sz w:val="18"/>
              </w:rPr>
              <w:t>4.22</w:t>
            </w:r>
          </w:p>
        </w:tc>
        <w:tc>
          <w:tcPr>
            <w:tcW w:w="1881" w:type="dxa"/>
            <w:tcMar>
              <w:top w:w="70" w:type="dxa"/>
              <w:left w:w="90" w:type="dxa"/>
              <w:bottom w:w="70" w:type="dxa"/>
              <w:right w:w="90" w:type="dxa"/>
            </w:tcMar>
            <w:vAlign w:val="center"/>
          </w:tcPr>
          <w:p w14:paraId="16D33D0F" w14:textId="77777777" w:rsidR="000B1CCE" w:rsidRDefault="00000000">
            <w:pPr>
              <w:spacing w:line="264" w:lineRule="auto"/>
            </w:pPr>
            <w:r>
              <w:rPr>
                <w:rFonts w:ascii="宋体" w:eastAsia="宋体" w:hAnsi="宋体"/>
                <w:sz w:val="18"/>
              </w:rPr>
              <w:t>4.32</w:t>
            </w:r>
          </w:p>
        </w:tc>
        <w:tc>
          <w:tcPr>
            <w:tcW w:w="1881" w:type="dxa"/>
            <w:tcMar>
              <w:top w:w="70" w:type="dxa"/>
              <w:left w:w="90" w:type="dxa"/>
              <w:bottom w:w="70" w:type="dxa"/>
              <w:right w:w="90" w:type="dxa"/>
            </w:tcMar>
            <w:vAlign w:val="center"/>
          </w:tcPr>
          <w:p w14:paraId="40DA1BC6"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0A686508" w14:textId="77777777" w:rsidR="000B1CCE" w:rsidRDefault="00000000">
            <w:pPr>
              <w:spacing w:line="264" w:lineRule="auto"/>
            </w:pPr>
            <w:r>
              <w:rPr>
                <w:rFonts w:ascii="宋体" w:eastAsia="宋体" w:hAnsi="宋体"/>
                <w:sz w:val="18"/>
              </w:rPr>
              <w:t>0.852</w:t>
            </w:r>
          </w:p>
        </w:tc>
      </w:tr>
      <w:tr w:rsidR="000B1CCE" w14:paraId="767180E0" w14:textId="77777777">
        <w:trPr>
          <w:jc w:val="center"/>
        </w:trPr>
        <w:tc>
          <w:tcPr>
            <w:tcW w:w="1881" w:type="dxa"/>
            <w:tcMar>
              <w:top w:w="70" w:type="dxa"/>
              <w:left w:w="90" w:type="dxa"/>
              <w:bottom w:w="70" w:type="dxa"/>
              <w:right w:w="90" w:type="dxa"/>
            </w:tcMar>
            <w:vAlign w:val="center"/>
          </w:tcPr>
          <w:p w14:paraId="19FF4ED3" w14:textId="77777777" w:rsidR="000B1CCE" w:rsidRDefault="00000000">
            <w:pPr>
              <w:spacing w:line="264" w:lineRule="auto"/>
            </w:pPr>
            <w:r>
              <w:rPr>
                <w:rFonts w:ascii="宋体" w:eastAsia="宋体" w:hAnsi="宋体"/>
                <w:sz w:val="18"/>
              </w:rPr>
              <w:t>教学自我效能</w:t>
            </w:r>
          </w:p>
        </w:tc>
        <w:tc>
          <w:tcPr>
            <w:tcW w:w="1881" w:type="dxa"/>
            <w:tcMar>
              <w:top w:w="70" w:type="dxa"/>
              <w:left w:w="90" w:type="dxa"/>
              <w:bottom w:w="70" w:type="dxa"/>
              <w:right w:w="90" w:type="dxa"/>
            </w:tcMar>
            <w:vAlign w:val="center"/>
          </w:tcPr>
          <w:p w14:paraId="727FC772" w14:textId="77777777" w:rsidR="000B1CCE" w:rsidRDefault="00000000">
            <w:pPr>
              <w:spacing w:line="264" w:lineRule="auto"/>
            </w:pPr>
            <w:r>
              <w:rPr>
                <w:rFonts w:ascii="宋体" w:eastAsia="宋体" w:hAnsi="宋体"/>
                <w:sz w:val="18"/>
              </w:rPr>
              <w:t>4.08</w:t>
            </w:r>
          </w:p>
        </w:tc>
        <w:tc>
          <w:tcPr>
            <w:tcW w:w="1881" w:type="dxa"/>
            <w:tcMar>
              <w:top w:w="70" w:type="dxa"/>
              <w:left w:w="90" w:type="dxa"/>
              <w:bottom w:w="70" w:type="dxa"/>
              <w:right w:w="90" w:type="dxa"/>
            </w:tcMar>
            <w:vAlign w:val="center"/>
          </w:tcPr>
          <w:p w14:paraId="2B13559A" w14:textId="77777777" w:rsidR="000B1CCE" w:rsidRDefault="00000000">
            <w:pPr>
              <w:spacing w:line="264" w:lineRule="auto"/>
            </w:pPr>
            <w:r>
              <w:rPr>
                <w:rFonts w:ascii="宋体" w:eastAsia="宋体" w:hAnsi="宋体"/>
                <w:sz w:val="18"/>
              </w:rPr>
              <w:t>4.16</w:t>
            </w:r>
          </w:p>
        </w:tc>
        <w:tc>
          <w:tcPr>
            <w:tcW w:w="1881" w:type="dxa"/>
            <w:tcMar>
              <w:top w:w="70" w:type="dxa"/>
              <w:left w:w="90" w:type="dxa"/>
              <w:bottom w:w="70" w:type="dxa"/>
              <w:right w:w="90" w:type="dxa"/>
            </w:tcMar>
            <w:vAlign w:val="center"/>
          </w:tcPr>
          <w:p w14:paraId="1FC7D215"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4FD34100" w14:textId="77777777" w:rsidR="000B1CCE" w:rsidRDefault="00000000">
            <w:pPr>
              <w:spacing w:line="264" w:lineRule="auto"/>
            </w:pPr>
            <w:r>
              <w:rPr>
                <w:rFonts w:ascii="宋体" w:eastAsia="宋体" w:hAnsi="宋体"/>
                <w:sz w:val="18"/>
              </w:rPr>
              <w:t>0.852</w:t>
            </w:r>
          </w:p>
        </w:tc>
      </w:tr>
      <w:tr w:rsidR="000B1CCE" w14:paraId="6F523824" w14:textId="77777777">
        <w:trPr>
          <w:jc w:val="center"/>
        </w:trPr>
        <w:tc>
          <w:tcPr>
            <w:tcW w:w="1881" w:type="dxa"/>
            <w:tcMar>
              <w:top w:w="70" w:type="dxa"/>
              <w:left w:w="90" w:type="dxa"/>
              <w:bottom w:w="70" w:type="dxa"/>
              <w:right w:w="90" w:type="dxa"/>
            </w:tcMar>
            <w:vAlign w:val="center"/>
          </w:tcPr>
          <w:p w14:paraId="7B6A1672" w14:textId="77777777" w:rsidR="000B1CCE" w:rsidRDefault="00000000">
            <w:pPr>
              <w:spacing w:line="264" w:lineRule="auto"/>
            </w:pPr>
            <w:r>
              <w:rPr>
                <w:rFonts w:ascii="宋体" w:eastAsia="宋体" w:hAnsi="宋体"/>
                <w:sz w:val="18"/>
              </w:rPr>
              <w:t>现实阻碍</w:t>
            </w:r>
          </w:p>
        </w:tc>
        <w:tc>
          <w:tcPr>
            <w:tcW w:w="1881" w:type="dxa"/>
            <w:tcMar>
              <w:top w:w="70" w:type="dxa"/>
              <w:left w:w="90" w:type="dxa"/>
              <w:bottom w:w="70" w:type="dxa"/>
              <w:right w:w="90" w:type="dxa"/>
            </w:tcMar>
            <w:vAlign w:val="center"/>
          </w:tcPr>
          <w:p w14:paraId="2FEC0408" w14:textId="77777777" w:rsidR="000B1CCE" w:rsidRDefault="00000000">
            <w:pPr>
              <w:spacing w:line="264" w:lineRule="auto"/>
            </w:pPr>
            <w:r>
              <w:rPr>
                <w:rFonts w:ascii="宋体" w:eastAsia="宋体" w:hAnsi="宋体"/>
                <w:sz w:val="18"/>
              </w:rPr>
              <w:t>3.64</w:t>
            </w:r>
          </w:p>
        </w:tc>
        <w:tc>
          <w:tcPr>
            <w:tcW w:w="1881" w:type="dxa"/>
            <w:tcMar>
              <w:top w:w="70" w:type="dxa"/>
              <w:left w:w="90" w:type="dxa"/>
              <w:bottom w:w="70" w:type="dxa"/>
              <w:right w:w="90" w:type="dxa"/>
            </w:tcMar>
            <w:vAlign w:val="center"/>
          </w:tcPr>
          <w:p w14:paraId="0C63810C" w14:textId="77777777" w:rsidR="000B1CCE" w:rsidRDefault="00000000">
            <w:pPr>
              <w:spacing w:line="264" w:lineRule="auto"/>
            </w:pPr>
            <w:r>
              <w:rPr>
                <w:rFonts w:ascii="宋体" w:eastAsia="宋体" w:hAnsi="宋体"/>
                <w:sz w:val="18"/>
              </w:rPr>
              <w:t>3.51</w:t>
            </w:r>
          </w:p>
        </w:tc>
        <w:tc>
          <w:tcPr>
            <w:tcW w:w="1881" w:type="dxa"/>
            <w:tcMar>
              <w:top w:w="70" w:type="dxa"/>
              <w:left w:w="90" w:type="dxa"/>
              <w:bottom w:w="70" w:type="dxa"/>
              <w:right w:w="90" w:type="dxa"/>
            </w:tcMar>
            <w:vAlign w:val="center"/>
          </w:tcPr>
          <w:p w14:paraId="605A708A" w14:textId="77777777" w:rsidR="000B1CCE" w:rsidRDefault="00000000">
            <w:pPr>
              <w:spacing w:line="264" w:lineRule="auto"/>
            </w:pPr>
            <w:r>
              <w:rPr>
                <w:rFonts w:ascii="宋体" w:eastAsia="宋体" w:hAnsi="宋体"/>
                <w:sz w:val="18"/>
              </w:rPr>
              <w:t>略有下降</w:t>
            </w:r>
          </w:p>
        </w:tc>
        <w:tc>
          <w:tcPr>
            <w:tcW w:w="1881" w:type="dxa"/>
            <w:tcMar>
              <w:top w:w="70" w:type="dxa"/>
              <w:left w:w="90" w:type="dxa"/>
              <w:bottom w:w="70" w:type="dxa"/>
              <w:right w:w="90" w:type="dxa"/>
            </w:tcMar>
            <w:vAlign w:val="center"/>
          </w:tcPr>
          <w:p w14:paraId="089C4D68" w14:textId="77777777" w:rsidR="000B1CCE" w:rsidRDefault="00000000">
            <w:pPr>
              <w:spacing w:line="264" w:lineRule="auto"/>
            </w:pPr>
            <w:r>
              <w:rPr>
                <w:rFonts w:ascii="宋体" w:eastAsia="宋体" w:hAnsi="宋体"/>
                <w:sz w:val="18"/>
              </w:rPr>
              <w:t>0.852</w:t>
            </w:r>
          </w:p>
        </w:tc>
      </w:tr>
    </w:tbl>
    <w:p w14:paraId="4040A11C" w14:textId="77777777" w:rsidR="000B1CCE" w:rsidRDefault="00000000">
      <w:pPr>
        <w:spacing w:before="20" w:after="80"/>
      </w:pPr>
      <w:r>
        <w:rPr>
          <w:rFonts w:ascii="宋体" w:eastAsia="宋体" w:hAnsi="宋体"/>
          <w:sz w:val="17"/>
        </w:rPr>
        <w:t>注　现实阻碍得分越低表示主观感知阻碍越少。基于现有129组匹配关系，结果作条件性解释；四个维度均未达到统计显著。</w:t>
      </w:r>
    </w:p>
    <w:p w14:paraId="0A7175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教学支持方式更加关注高阶学习发生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为观察教学支持质量提供了专业证据。课题组选取10节研究课，共获得46份有效评课表。研究课总分均值为90.83分，SD=4.85，90分及以上评价35份，占76.09%，80分及以上累计45份，占97.83%。五个维度达成度均超过88%，社会情感支持94.80%，学科内容建构92.70%，认知参与89.70%，课堂互动88.70%，形成性评价88.40%。</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这一结果说明，课题实践后的研究课已经形成较为完整的高阶学习支持结构，</w:t>
      </w:r>
      <w:r>
        <w:rPr>
          <w:rFonts w:ascii="宋体" w:eastAsia="宋体" w:hAnsi="宋体" w:cs="宋体" w:hint="eastAsia"/>
          <w:sz w:val="24"/>
        </w:rPr>
        <w:lastRenderedPageBreak/>
        <w:t>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并不是为研究课打出一个高分，而是帮助教师识别教学支持的优势结构与薄弱环节。</w:t>
      </w:r>
    </w:p>
    <w:p w14:paraId="7566CBF0" w14:textId="77777777" w:rsidR="000B1CCE" w:rsidRDefault="00000000">
      <w:pPr>
        <w:keepNext/>
        <w:spacing w:before="100" w:after="60"/>
        <w:jc w:val="center"/>
      </w:pPr>
      <w:r>
        <w:rPr>
          <w:rFonts w:ascii="宋体" w:eastAsia="宋体" w:hAnsi="宋体"/>
          <w:b/>
          <w:sz w:val="20"/>
        </w:rPr>
        <w:t>图4-3  研究课教师五维评课达成度</w:t>
      </w:r>
    </w:p>
    <w:p w14:paraId="03AAA336" w14:textId="77777777" w:rsidR="000B1CCE" w:rsidRDefault="00000000">
      <w:pPr>
        <w:spacing w:before="40" w:after="40"/>
        <w:jc w:val="center"/>
      </w:pPr>
      <w:r>
        <w:rPr>
          <w:noProof/>
        </w:rPr>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3"/>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20" w:after="80"/>
      </w:pPr>
      <w:r>
        <w:rPr>
          <w:rFonts w:ascii="宋体" w:eastAsia="宋体" w:hAnsi="宋体"/>
          <w:sz w:val="17"/>
        </w:rPr>
        <w:t>注　10节研究课共46份有效评课表；各维度满分20分，达成度=维度均值÷20×100%。</w:t>
      </w:r>
    </w:p>
    <w:p w14:paraId="01BA91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教学方式逐步由经验推进转向循证调节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AI课堂行为数据进一步呈现了教师教学组织的实际状态。10节课中，教师行为平均占比50.2%，学生行为平均占比49.8%，总体上已形成教师支持与学生参与并存的课堂结构；教师讲授平均约23.01%，师生问答平均约25.40%。这表明教师角色正在由单一知识传递转向通过问题、互动和学习组织支持学生学习。但AI数据显示，评价与创造类高阶问题合计约8.6%，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重要的变化体现在教研方式上。课题实践中，教师不再只以“课堂顺不顺”“学生热不热闹”评价一节课，而是逐步追问，学生在哪一步出现困难？哪种证据说明其认识发生了变化？反馈后是否出现新的表现？教学支架是否与当前学情匹配？这种问题意识使“五维评课—AI课堂数据—学生作品—课堂对话—教师反思”开始共同进入课例研讨。从这个意义上看，教师专业实践最有价值的变化，不是某个问卷维度显著提高，而是专业判断开始更多建立在学生真实学习证据之上，逐步形成“诊断发现—干预设计—实施推进—评估改进”的循证调节方式。</w:t>
      </w:r>
    </w:p>
    <w:p w14:paraId="1CAE45D5" w14:textId="77777777" w:rsidR="000B1CCE" w:rsidRDefault="00000000">
      <w:pPr>
        <w:keepNext/>
        <w:spacing w:before="100" w:after="60"/>
        <w:jc w:val="center"/>
      </w:pPr>
      <w:r>
        <w:rPr>
          <w:rFonts w:ascii="宋体" w:eastAsia="宋体" w:hAnsi="宋体"/>
          <w:b/>
          <w:sz w:val="20"/>
        </w:rPr>
        <w:t>图4-4  希沃AI课堂关键行为与认知机会指标</w:t>
      </w:r>
    </w:p>
    <w:p w14:paraId="64B9CBCD" w14:textId="77777777" w:rsidR="000B1CCE" w:rsidRDefault="00000000">
      <w:pPr>
        <w:spacing w:before="40" w:after="40"/>
        <w:jc w:val="center"/>
      </w:pPr>
      <w:r>
        <w:rPr>
          <w:noProof/>
        </w:rPr>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4"/>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20" w:after="80"/>
      </w:pPr>
      <w:r>
        <w:rPr>
          <w:rFonts w:ascii="宋体" w:eastAsia="宋体" w:hAnsi="宋体"/>
          <w:sz w:val="17"/>
        </w:rPr>
        <w:t>注　教师/学生行为、师生问答、学生讨论基于10节课；高阶认知问题占比基于6节具有完整提问认知层级记录的课例。AI行为指标用于描述课堂实施结构，不直接等同于学生高阶能力。</w:t>
      </w:r>
    </w:p>
    <w:p w14:paraId="2A7198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（四）学校层面——高阶能力培育学校实践体系逐步形成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不是一次性制度建设，而是研究语言、研修机制、实践场域和证据文化逐步形成的过程。</w:t>
      </w:r>
    </w:p>
    <w:p w14:paraId="2AE7C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研究方式已经进一步进入学校校本研修设计。学校在2026学年第一学期研修方案中，由教师发展中心牵头、课程中心协同推进，提出教研组“一组一案、一科一策”，重点研究教师“一师一问、一课一改”，并要求结合课堂观察量表、五维评价和希沃AI数据开展数据会诊。课题成果由此不再停留在结题材料中，而开始转化为学校日常研修的组织方式。</w:t>
      </w:r>
    </w:p>
    <w:p w14:paraId="48C72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推动校本教研由经验判断走向证据支持</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传统教研中，“课堂气氛好”“教师讲得清楚”“学生参与积极”等经验性</w:t>
      </w:r>
      <w:r>
        <w:rPr>
          <w:rFonts w:ascii="宋体" w:eastAsia="宋体" w:hAnsi="宋体" w:cs="宋体" w:hint="eastAsia"/>
          <w:sz w:val="24"/>
        </w:rPr>
        <w:t>判断较为常见，但这些表述难以直接说明学生是否真正经历高阶学习。本研究在实践中逐步形成一种新的教研要求，任何关于学习变化的判断，都应尽可能回到可见的学习证据。教师五维评课帮助识别课堂支持结构，AI课堂行为帮助呈现师生行为分布，学生作品和学习单呈现思维与修订过程，问卷与访谈则用于观察较长周期的变化。不同证据承担不同功能，不追求一种工具解决所有问题。</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这种变化与可见的学习关于反馈文化的主张一致，即学校持续追问学生下一步应走向哪里，使反馈从个别教师的教学技术转变为学校的工作方式（Fredens, 2015）。</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由此，学科教学和科创教育不再是彼此割裂的两条线，而是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初步形成可持续使用的校本研究资源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研究还形成了一批能够继续服务学校改进的过程性资源，包括典型学科课例、科创项目案例、任务单、学习单、评价量规、学生作品、教师五维评课数据、希沃AI课堂行为分析、教师与学生开放性回答编码以及模型图示等。这些材料的价值不在于数量，而在于它们保留了“问题—实践—证据—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通过资源沉淀，学校后续开展教师培训、学科教研和课堂改进时，可以直接调用已有案例和数据开展比较、复盘和再设计。课题成果因而从一次性结题产出逐步转化为学校可复用的研究资产，也为后续高阶能力培育、数智赋能课堂和循证教研提供了共同基础。</w:t>
      </w:r>
    </w:p>
    <w:p w14:paraId="2A6894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表4-4  学校层面实践成效与证据对应</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571"/>
        <w:gridCol w:w="2959"/>
        <w:gridCol w:w="2776"/>
      </w:tblGrid>
      <w:tr w:rsidR="000B1CCE" w14:paraId="6A53CD11" w14:textId="77777777">
        <w:trPr>
          <w:jc w:val="center"/>
        </w:trPr>
        <w:tc>
          <w:tcPr>
            <w:tcW w:w="2628" w:type="dxa"/>
            <w:tcBorders>
              <w:bottom w:val="single" w:sz="8" w:space="0" w:color="000000"/>
            </w:tcBorders>
            <w:tcMar>
              <w:top w:w="70" w:type="dxa"/>
              <w:left w:w="90" w:type="dxa"/>
              <w:bottom w:w="70" w:type="dxa"/>
              <w:right w:w="90" w:type="dxa"/>
            </w:tcMar>
            <w:vAlign w:val="center"/>
          </w:tcPr>
          <w:p w14:paraId="092335EE" w14:textId="77777777" w:rsidR="000B1CCE" w:rsidRDefault="00000000">
            <w:pPr>
              <w:spacing w:line="264" w:lineRule="auto"/>
              <w:jc w:val="center"/>
            </w:pPr>
            <w:r>
              <w:rPr>
                <w:rFonts w:ascii="宋体" w:eastAsia="宋体" w:hAnsi="宋体"/>
                <w:b/>
                <w:sz w:val="17"/>
              </w:rPr>
              <w:t>学校层面变化</w:t>
            </w:r>
          </w:p>
        </w:tc>
        <w:tc>
          <w:tcPr>
            <w:tcW w:w="3023" w:type="dxa"/>
            <w:tcBorders>
              <w:bottom w:val="single" w:sz="8" w:space="0" w:color="000000"/>
            </w:tcBorders>
            <w:tcMar>
              <w:top w:w="70" w:type="dxa"/>
              <w:left w:w="90" w:type="dxa"/>
              <w:bottom w:w="70" w:type="dxa"/>
              <w:right w:w="90" w:type="dxa"/>
            </w:tcMar>
            <w:vAlign w:val="center"/>
          </w:tcPr>
          <w:p w14:paraId="26D8B0EC" w14:textId="77777777" w:rsidR="000B1CCE" w:rsidRDefault="00000000">
            <w:pPr>
              <w:spacing w:line="264" w:lineRule="auto"/>
              <w:jc w:val="center"/>
            </w:pPr>
            <w:r>
              <w:rPr>
                <w:rFonts w:ascii="宋体" w:eastAsia="宋体" w:hAnsi="宋体"/>
                <w:b/>
                <w:sz w:val="17"/>
              </w:rPr>
              <w:t>具体表现</w:t>
            </w:r>
          </w:p>
        </w:tc>
        <w:tc>
          <w:tcPr>
            <w:tcW w:w="2835" w:type="dxa"/>
            <w:tcBorders>
              <w:bottom w:val="single" w:sz="8" w:space="0" w:color="000000"/>
            </w:tcBorders>
            <w:tcMar>
              <w:top w:w="70" w:type="dxa"/>
              <w:left w:w="90" w:type="dxa"/>
              <w:bottom w:w="70" w:type="dxa"/>
              <w:right w:w="90" w:type="dxa"/>
            </w:tcMar>
            <w:vAlign w:val="center"/>
          </w:tcPr>
          <w:p w14:paraId="62080FD2" w14:textId="77777777" w:rsidR="000B1CCE" w:rsidRDefault="00000000">
            <w:pPr>
              <w:spacing w:line="264" w:lineRule="auto"/>
              <w:jc w:val="center"/>
            </w:pPr>
            <w:r>
              <w:rPr>
                <w:rFonts w:ascii="宋体" w:eastAsia="宋体" w:hAnsi="宋体"/>
                <w:b/>
                <w:sz w:val="17"/>
              </w:rPr>
              <w:t>主要证据</w:t>
            </w:r>
          </w:p>
        </w:tc>
      </w:tr>
      <w:tr w:rsidR="000B1CCE" w14:paraId="2E41B2C1" w14:textId="77777777">
        <w:trPr>
          <w:jc w:val="center"/>
        </w:trPr>
        <w:tc>
          <w:tcPr>
            <w:tcW w:w="2628" w:type="dxa"/>
            <w:tcMar>
              <w:top w:w="70" w:type="dxa"/>
              <w:left w:w="90" w:type="dxa"/>
              <w:bottom w:w="70" w:type="dxa"/>
              <w:right w:w="90" w:type="dxa"/>
            </w:tcMar>
            <w:vAlign w:val="center"/>
          </w:tcPr>
          <w:p w14:paraId="2BEF06F4" w14:textId="77777777" w:rsidR="000B1CCE" w:rsidRDefault="00000000">
            <w:pPr>
              <w:spacing w:line="264" w:lineRule="auto"/>
            </w:pPr>
            <w:r>
              <w:rPr>
                <w:rFonts w:ascii="宋体" w:eastAsia="宋体" w:hAnsi="宋体"/>
                <w:sz w:val="17"/>
              </w:rPr>
              <w:t>共同研修议题形成</w:t>
            </w:r>
          </w:p>
        </w:tc>
        <w:tc>
          <w:tcPr>
            <w:tcW w:w="3023" w:type="dxa"/>
            <w:tcMar>
              <w:top w:w="70" w:type="dxa"/>
              <w:left w:w="90" w:type="dxa"/>
              <w:bottom w:w="70" w:type="dxa"/>
              <w:right w:w="90" w:type="dxa"/>
            </w:tcMar>
            <w:vAlign w:val="center"/>
          </w:tcPr>
          <w:p w14:paraId="0BEA8933" w14:textId="77777777" w:rsidR="000B1CCE" w:rsidRDefault="00000000">
            <w:pPr>
              <w:spacing w:line="264" w:lineRule="auto"/>
            </w:pPr>
            <w:r>
              <w:rPr>
                <w:rFonts w:ascii="宋体" w:eastAsia="宋体" w:hAnsi="宋体"/>
                <w:sz w:val="17"/>
              </w:rPr>
              <w:t>不同学科围绕高阶能力、五环、五见、学习证据和循证调节开展协同研究</w:t>
            </w:r>
          </w:p>
        </w:tc>
        <w:tc>
          <w:tcPr>
            <w:tcW w:w="2835" w:type="dxa"/>
            <w:tcMar>
              <w:top w:w="70" w:type="dxa"/>
              <w:left w:w="90" w:type="dxa"/>
              <w:bottom w:w="70" w:type="dxa"/>
              <w:right w:w="90" w:type="dxa"/>
            </w:tcMar>
            <w:vAlign w:val="center"/>
          </w:tcPr>
          <w:p w14:paraId="3F9E12BD" w14:textId="77777777" w:rsidR="000B1CCE" w:rsidRDefault="00000000">
            <w:pPr>
              <w:spacing w:line="264" w:lineRule="auto"/>
            </w:pPr>
            <w:r>
              <w:rPr>
                <w:rFonts w:ascii="宋体" w:eastAsia="宋体" w:hAnsi="宋体"/>
                <w:sz w:val="17"/>
              </w:rPr>
              <w:t>研究课、课例研讨、同课异构、校本研修方案</w:t>
            </w:r>
          </w:p>
        </w:tc>
      </w:tr>
      <w:tr w:rsidR="000B1CCE" w14:paraId="18FDBCC0" w14:textId="77777777">
        <w:trPr>
          <w:jc w:val="center"/>
        </w:trPr>
        <w:tc>
          <w:tcPr>
            <w:tcW w:w="2628" w:type="dxa"/>
            <w:tcMar>
              <w:top w:w="70" w:type="dxa"/>
              <w:left w:w="90" w:type="dxa"/>
              <w:bottom w:w="70" w:type="dxa"/>
              <w:right w:w="90" w:type="dxa"/>
            </w:tcMar>
            <w:vAlign w:val="center"/>
          </w:tcPr>
          <w:p w14:paraId="297364A4" w14:textId="77777777" w:rsidR="000B1CCE" w:rsidRDefault="00000000">
            <w:pPr>
              <w:spacing w:line="264" w:lineRule="auto"/>
            </w:pPr>
            <w:r>
              <w:rPr>
                <w:rFonts w:ascii="宋体" w:eastAsia="宋体" w:hAnsi="宋体"/>
                <w:sz w:val="17"/>
              </w:rPr>
              <w:t>教研由经验判断走向证据支持</w:t>
            </w:r>
          </w:p>
        </w:tc>
        <w:tc>
          <w:tcPr>
            <w:tcW w:w="3023" w:type="dxa"/>
            <w:tcMar>
              <w:top w:w="70" w:type="dxa"/>
              <w:left w:w="90" w:type="dxa"/>
              <w:bottom w:w="70" w:type="dxa"/>
              <w:right w:w="90" w:type="dxa"/>
            </w:tcMar>
            <w:vAlign w:val="center"/>
          </w:tcPr>
          <w:p w14:paraId="4AE8A8D7" w14:textId="77777777" w:rsidR="000B1CCE" w:rsidRDefault="00000000">
            <w:pPr>
              <w:spacing w:line="264" w:lineRule="auto"/>
            </w:pPr>
            <w:r>
              <w:rPr>
                <w:rFonts w:ascii="宋体" w:eastAsia="宋体" w:hAnsi="宋体"/>
                <w:sz w:val="17"/>
              </w:rPr>
              <w:t>五维评课、AI课堂数据、学习单和学生作品进入课例诊断与数据会诊</w:t>
            </w:r>
          </w:p>
        </w:tc>
        <w:tc>
          <w:tcPr>
            <w:tcW w:w="2835" w:type="dxa"/>
            <w:tcMar>
              <w:top w:w="70" w:type="dxa"/>
              <w:left w:w="90" w:type="dxa"/>
              <w:bottom w:w="70" w:type="dxa"/>
              <w:right w:w="90" w:type="dxa"/>
            </w:tcMar>
            <w:vAlign w:val="center"/>
          </w:tcPr>
          <w:p w14:paraId="5AA221F6" w14:textId="77777777" w:rsidR="000B1CCE" w:rsidRDefault="00000000">
            <w:pPr>
              <w:spacing w:line="264" w:lineRule="auto"/>
            </w:pPr>
            <w:r>
              <w:rPr>
                <w:rFonts w:ascii="宋体" w:eastAsia="宋体" w:hAnsi="宋体"/>
                <w:sz w:val="17"/>
              </w:rPr>
              <w:t>教师评课数据、AI分析、学生学习证据、改进记录</w:t>
            </w:r>
          </w:p>
        </w:tc>
      </w:tr>
      <w:tr w:rsidR="000B1CCE" w14:paraId="27B5A909" w14:textId="77777777">
        <w:trPr>
          <w:jc w:val="center"/>
        </w:trPr>
        <w:tc>
          <w:tcPr>
            <w:tcW w:w="2628" w:type="dxa"/>
            <w:tcMar>
              <w:top w:w="70" w:type="dxa"/>
              <w:left w:w="90" w:type="dxa"/>
              <w:bottom w:w="70" w:type="dxa"/>
              <w:right w:w="90" w:type="dxa"/>
            </w:tcMar>
            <w:vAlign w:val="center"/>
          </w:tcPr>
          <w:p w14:paraId="593ED82E" w14:textId="77777777" w:rsidR="000B1CCE" w:rsidRDefault="00000000">
            <w:pPr>
              <w:spacing w:line="264" w:lineRule="auto"/>
            </w:pPr>
            <w:r>
              <w:rPr>
                <w:rFonts w:ascii="宋体" w:eastAsia="宋体" w:hAnsi="宋体"/>
                <w:sz w:val="17"/>
              </w:rPr>
              <w:t>两域协同推进</w:t>
            </w:r>
          </w:p>
        </w:tc>
        <w:tc>
          <w:tcPr>
            <w:tcW w:w="3023" w:type="dxa"/>
            <w:tcMar>
              <w:top w:w="70" w:type="dxa"/>
              <w:left w:w="90" w:type="dxa"/>
              <w:bottom w:w="70" w:type="dxa"/>
              <w:right w:w="90" w:type="dxa"/>
            </w:tcMar>
            <w:vAlign w:val="center"/>
          </w:tcPr>
          <w:p w14:paraId="5AF85305" w14:textId="77777777" w:rsidR="000B1CCE" w:rsidRDefault="00000000">
            <w:pPr>
              <w:spacing w:line="264" w:lineRule="auto"/>
            </w:pPr>
            <w:r>
              <w:rPr>
                <w:rFonts w:ascii="宋体" w:eastAsia="宋体" w:hAnsi="宋体"/>
                <w:sz w:val="17"/>
              </w:rPr>
              <w:t>学科教学承担日常持续培育，科创教育承担复杂情境中的综合运用与迁移</w:t>
            </w:r>
          </w:p>
        </w:tc>
        <w:tc>
          <w:tcPr>
            <w:tcW w:w="2835" w:type="dxa"/>
            <w:tcMar>
              <w:top w:w="70" w:type="dxa"/>
              <w:left w:w="90" w:type="dxa"/>
              <w:bottom w:w="70" w:type="dxa"/>
              <w:right w:w="90" w:type="dxa"/>
            </w:tcMar>
            <w:vAlign w:val="center"/>
          </w:tcPr>
          <w:p w14:paraId="0395DFC1" w14:textId="77777777" w:rsidR="000B1CCE" w:rsidRDefault="00000000">
            <w:pPr>
              <w:spacing w:line="264" w:lineRule="auto"/>
            </w:pPr>
            <w:r>
              <w:rPr>
                <w:rFonts w:ascii="宋体" w:eastAsia="宋体" w:hAnsi="宋体"/>
                <w:sz w:val="17"/>
              </w:rPr>
              <w:t>学科课例、科创项目、两域案例</w:t>
            </w:r>
          </w:p>
        </w:tc>
      </w:tr>
      <w:tr w:rsidR="000B1CCE" w14:paraId="20740695" w14:textId="77777777">
        <w:trPr>
          <w:jc w:val="center"/>
        </w:trPr>
        <w:tc>
          <w:tcPr>
            <w:tcW w:w="2628" w:type="dxa"/>
            <w:tcMar>
              <w:top w:w="70" w:type="dxa"/>
              <w:left w:w="90" w:type="dxa"/>
              <w:bottom w:w="70" w:type="dxa"/>
              <w:right w:w="90" w:type="dxa"/>
            </w:tcMar>
            <w:vAlign w:val="center"/>
          </w:tcPr>
          <w:p w14:paraId="7F228167" w14:textId="77777777" w:rsidR="000B1CCE" w:rsidRDefault="00000000">
            <w:pPr>
              <w:spacing w:line="264" w:lineRule="auto"/>
            </w:pPr>
            <w:r>
              <w:rPr>
                <w:rFonts w:ascii="宋体" w:eastAsia="宋体" w:hAnsi="宋体"/>
                <w:sz w:val="17"/>
              </w:rPr>
              <w:t>校本资源持续沉淀</w:t>
            </w:r>
          </w:p>
        </w:tc>
        <w:tc>
          <w:tcPr>
            <w:tcW w:w="3023" w:type="dxa"/>
            <w:tcMar>
              <w:top w:w="70" w:type="dxa"/>
              <w:left w:w="90" w:type="dxa"/>
              <w:bottom w:w="70" w:type="dxa"/>
              <w:right w:w="90" w:type="dxa"/>
            </w:tcMar>
            <w:vAlign w:val="center"/>
          </w:tcPr>
          <w:p w14:paraId="69CB4307" w14:textId="77777777" w:rsidR="000B1CCE" w:rsidRDefault="00000000">
            <w:pPr>
              <w:spacing w:line="264" w:lineRule="auto"/>
            </w:pPr>
            <w:r>
              <w:rPr>
                <w:rFonts w:ascii="宋体" w:eastAsia="宋体" w:hAnsi="宋体"/>
                <w:sz w:val="17"/>
              </w:rPr>
              <w:t>案例、任务单、评价量规、课堂数据与项目记录形成可复用资源</w:t>
            </w:r>
          </w:p>
        </w:tc>
        <w:tc>
          <w:tcPr>
            <w:tcW w:w="2835" w:type="dxa"/>
            <w:tcMar>
              <w:top w:w="70" w:type="dxa"/>
              <w:left w:w="90" w:type="dxa"/>
              <w:bottom w:w="70" w:type="dxa"/>
              <w:right w:w="90" w:type="dxa"/>
            </w:tcMar>
            <w:vAlign w:val="center"/>
          </w:tcPr>
          <w:p w14:paraId="35D75210" w14:textId="77777777" w:rsidR="000B1CCE" w:rsidRDefault="00000000">
            <w:pPr>
              <w:spacing w:line="264" w:lineRule="auto"/>
            </w:pPr>
            <w:r>
              <w:rPr>
                <w:rFonts w:ascii="宋体" w:eastAsia="宋体" w:hAnsi="宋体"/>
                <w:sz w:val="17"/>
              </w:rPr>
              <w:t>典型案例、评价工具、数据报告、研修案例</w:t>
            </w:r>
          </w:p>
        </w:tc>
      </w:tr>
    </w:tbl>
    <w:p w14:paraId="1E2D42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（五）师—生—校多源证据下的综合实践成效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对本课题成效的最终判断，不应由某一项显著性检验或某一节示范课承担。我们更关注不同层面的证据是否能够形成相互解释、相互限制的整体图景。学生前后测回答能力发展的总体方向，课堂与案例证据解释学习方式如何发生变化；教师问卷呈现教师自评的稳定与变化，五维评课、AI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学生高阶能力及学习方式呈现积极变化</w:t>
      </w:r>
    </w:p>
    <w:p w14:paraId="6F8FE2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层面的证据总体呈现一致的积极方向。1346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两类证据相互补充，问卷不能替代真实课堂，课堂行为也不能直接等同于能力提升；只有二者相互参照，才能较为审慎地判断学生发展。</w:t>
      </w:r>
    </w:p>
    <w:p w14:paraId="7E00D1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教师专业实践逐步走向循证调节</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AI课堂数据表明课堂组织逐步形成教师支持与学生参与并存的结构，开放性回答中也出现了更具体的任务设计、问题链、形成性反馈和学习证据语言。综合来看，教师变化更</w:t>
      </w:r>
      <w:r>
        <w:rPr>
          <w:rFonts w:ascii="宋体" w:eastAsia="宋体" w:hAnsi="宋体" w:cs="宋体" w:hint="eastAsia"/>
          <w:sz w:val="24"/>
        </w:rPr>
        <w:t>适合表述为专业实践正在由理念认同走向具体设计，由经验推进逐步走向循证调节。</w:t>
      </w:r>
    </w:p>
    <w:p w14:paraId="5F6FAF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学校高阶能力培育支持体系逐步形成</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层面的成效主要体现在研究由“课题组行为”向“学校共同实践”转化。高阶能力培育逐步成为跨学科共同议题，学科课堂和科创教育形成两个相互补充的实践域，教师五维评课、AI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多源证据支持研究实践的适切性与积极成效</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不是建立在单一数据“证明模型有效”的逻辑上，而是建立在多源证据之间的交叉印证上。学生能力变化为结果层面提供支持，课堂和案例材料解释变化可能如何发生，教师与学校层面的变化则说明模型是否具备持续运行的专业与组织条件。</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课堂评价、AI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Creswell &amp; Creswell, 2022）。</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本研究也保持必要的边界意识。首先，研究并非严格意义上的随机对照实验，不能把所有前后变化简单归因于单一模型干预；其次，教师前后测的部分指标并未达到统计显著，课堂AI行为数据也受识别口径和学科差异影响；再次，高阶思维总体效应量较小，评价、创造、实践探究和成果表达仍是后续需要持续加强的方向。因此，本研究更愿意把结论表述为多源证据共同支持模型在学校真实情境中的可实施性、适切性和积极发展价值，而不是对教育效果作超出研究设计的因果推断。</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主持人的角度回看三年研究，真正具有持续价值的，不只是学生某个维度提高了多少分，也不只是学校形成了一张更加完整的模型图，而是学校逐步建立了一套共同的专业判断方式，先明确希望学生发展什么，再看学生在真实任务中怎样学习；用学习证据判断教师支持是否有效，再依据证据决定下一步怎样改。当“看见学生在哪里、看见学习怎样发生、看见教师支持产生了什么影响”成为学校共同的研究语言，高阶能力培育才真正从课题研究走向学校育人的日常。</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b/>
          <w:color w:val="000000"/>
          <w:kern w:val="0"/>
          <w:sz w:val="24"/>
        </w:rPr>
        <w:t>参考文献</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黄忠敬, 王倩, 陈唤春, 高星原. (2021). 交往能力：中国青少年社会与情感能力测评分报告之五. 华东师范大学学报（教育科学版）, 39(9), 93–108. https://doi.org/10.16382/j.cnki.1000-5560.2021.09.006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 (2022). 义务教育课程方案（2022年版）. 北京师范大学出版社.</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教育部办公厅. (2023). 基础教育课程教学改革深化行动方案（教材厅函〔2023〕3号）. https://www.gov.cn/zhengce/zhengceku/202306/content_6884785.htm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教育部基础教育教学指导委员会. (2025). 中小学生成式人工智能使用指南（2025年版）. 转引自中国新闻网2025年5月12日报道. https://www.chinanews.com.cn/cj/2025/05-12/10414191.shtml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马淑风, 杨向东. (2022). 什么才是高阶思维？——以“新旧知识关系建立”为核心的高阶思维概念框架. 华东师范大学学报（教育科学版）, 40(11), 58–68. https://doi.org/10.16382/j.cnki.1000-5560.2022.11.005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(2019a). 上海市初中学业水平考试实施办法（沪教委规〔2019〕2号）.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(2019b). 上海市初中学生综合素质评价实施办法（沪教委规〔2019〕3号）.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(2021). 上海市普通高中课程实施方案.</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(2023). 关于实施项目化学习推动义务教育育人方式改革的指导意见（沪教委基〔2023〕24号）. https://edu.sh.gov.cn/xxgk2_zdgz_jcjy_01/20230901/d22c1043024d4d0e9d32b85fd3392186.html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杨振峰. (2025, 1月14日). 素养立意的课程建设与教学变革. 中国教育在线. https://www.eol.cn/news/xueshu/hui/202501/t20250114_2651182.shtml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袁振国, 黄忠敬, 王纮, 王翔宇, 张静. (2024). 中国青少年社会与情感能力发展水平报告——基于第二轮SSES测评数据. 华东师范大学学报（教育科学版）, 42(5), 1–32. https://doi.org/10.16382/j.cnki.1000-5560.2024.05.001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中共中央, 国务院. (2020). 深化新时代教育评价改革总体方案. https://www.gov.cn/zhengce/2020-10/13/content_5551032.htm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Abrami, P. C., Bernard, R. M., Borokhovski, E., Waddington, D. I., Wade, C. A., &amp; Persson, T. (2015). Strategies for teaching students to think critically: A meta-analysis. Review of Educational Research, 85(2), 275–314.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Anderson, L. W., &amp; Krathwohl, D. R. (Eds.). (2001). A taxonomy for learning, teaching, and assessing: A revision of Bloom's taxonomy of educational objectives. Longman.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L., &amp; Rogers, L. (2015). Teaching the Theory of Knowledge course in IB World Schools. University of Wisconsin-La Crosse.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P.-J., &amp; Rivard, L. (2017). How to engage in pseudoscience with real data: A criticism of John Hattie's arguments in Visible Learning from the perspective of a statistician. McGill Journal of Education, 52(1), 237–246.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Biggs, J. (1999). What the student does: Teaching for enhanced learning. Higher Education Research &amp; Development, 18(1), 57–75. https://doi.org/10.1080/0729436990180105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Bouckaert, M. (2023). The assessment of students' creative and critical thinking skills in higher education across OECD countries: A review of policies and related practices (OECD Education Working Papers No. 293). OECD Publishing. https://doi.org/10.1787/35dbd439-en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Brown, C., &amp; Greany, T. (2018). The evidence-informed school system in England: Where should school leaders be focusing their efforts? Leadership and Policy in Schools, 17(1), 115–137. https://doi.org/10.1080/15700763.2016.1270330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CASEL. (2020). CASEL's SEL framework: What are the core competence areas and where are they promoted? Collaborative for Academic, Social, and Emotional Learning.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Chen, S., &amp; Cheung, A. C. K. (2025). Effect of generative artificial intelligence on university students learning outcomes: A systematic review and meta-analysis. Educational Research Review, 49, Article 100737. https://doi.org/10.1016/j.edurev.2025.100737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Cohen, L., Manion, L., &amp; Morrison, K. (2011). Research methods in education (7th ed.). Routledge.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Cole, D. R., Ullman, J., Gannon, S., &amp; Rooney, P. (2015). Critical thinking skills in the International Baccalaureate's 'Theory of Knowledge' subject: Findings from an Australian study. Australian Journal of Education, 59(3), 247–264.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Cowen, N., Cartwright, N., Virk, B., &amp; Mascarenhas-Keyes, S. (2015). Making the most of the evidence: Evidence-based policy in the classroom (CHESS Working Paper No. 2015-03). Durham University.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Creswell, J. W., &amp; Creswell, J. D. (2022). Research design: Qualitative, quantitative, and mixed methods approaches (6th ed.). SAGE.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De Jong, T., Lazonder, A. W., Chinn, C. A., Fischer, F., Gobert, J., Hmelo-Silver, C. E., Koedinger, K. R., Krajcik, J. S., Kyza, E. A., Linn, M. C., Pedaste, M., Scheiter, K., &amp; Zacharia, Z. C. (2023). Let's talk evidence – The case for combining inquiry-based and direct instruction. Educational Research Review, 39, Article 100536. https://doi.org/10.1016/j.edurev.2023.100536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 Y., &amp; Yuan, Y. (2026). Epistemic dependence in AI-mediated learning. AI &amp; Society. https://doi.org/10.1007/s00146-026-03294-1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Durlak, J. A., Weissberg, R. P., Dymnicki, A. B., Taylor, R. D., &amp; Schellinger, K. B. (2011). The impact of enhancing students' social and emotional learning: A meta-analysis of school-based universal interventions. Child Development, 82(1), 405–432.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Eacott, S. (2019). Ranting, raving and complaining: Reflections on working against orthodoxy. International Journal of Leadership in Education, 22(6), 774–782.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Edovald, T., &amp; Nevill, C. (2021). Working out what works: The case of the Education Endowment Foundation in England. ECNU Review of Education, 4(1), 46–64.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Fredens, K. (2015). Synlig læring og læringens anatomi [Anmeldelse af bogen af John Hattie og Gregory Yates]. Paideia, (9), 70–75.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Golovchin, M. A. (2019). What kind of teacher does the 'school of the future' need? Possibility of using John Hattie's approach in Russian education. Economic and Social Changes: Facts, Trends, Forecast, 12(5), 229–242.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Güngör, F., Altunbaşak, İ., Aydın, A. T., Kaya, M., &amp; Erdem, C. (2026). A second-order meta-analysis on the effects of cooperative learning on students' academic achievement, higher-order thinking, and affective behaviors. Current Psychology, 45, 552. https://doi.org/10.1007/s12144-025-08943-0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Guo, H., Zhou, Z., &amp; Ma, F. (2025). Effect of training programs on the creativity of university students: A multi-level meta-analysis. Thinking Skills and Creativity, 56, 101779. https://doi.org/10.1016/j.tsc.2025.101779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(2005). What is the nature of evidence that makes a difference to learning? In Using data to support learning: Proceedings of the ACER Research Conference 2005 (pp. 11–21). Australian Council for Educational Research.</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(2015). The applicability of Visible Learning to higher education. Scholarship of Teaching and Learning in Psychology, 1(1), 79–91.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&amp; Timperley, H. (2007). The power of feedback. Review of Educational Research, 77(1), 81–112.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Higgins, S. (2016). Meta-synthesis and comparative meta-analysis of education research findings: Some risks and benefits. Review of Education, 4(1), 31–53.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Hughes, C. (2014). Theory of Knowledge aims, objectives and assessment criteria: An analysis of critical thinking descriptors. Journal of Research in International Education, 13(1), 30–45. https://doi.org/10.1177/1475240914528084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Jornitz, S., &amp; Klinge, D. (2022). "Bildung" as a forgotten aspect of algorithmic technologies. In M. Parreira do Amaral &amp; C. Thompson (Eds.), Geopolitical transformations in higher education (pp. 231–249). Springer.</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Kelly, P., Beck, A., &amp; Hofbauer, S. (2025). Comparing school leaders' experiences of research use in England, Scotland and Germany. Review of Education, 13(1), e70058. https://doi.org/10.1002/rev3.70058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Knudsen, H. (2017). John Hattie: I'm a statistician, I'm not a theoretician. Nordic Journal of Studies in Educational Policy, 3(3), 253–261.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Kuhn, D., Cheney, R., &amp; Weinstock, M. (2000). The development of epistemological understanding. Cognitive Development, 15(3), 309–328.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Lei, H., Ding, Y., &amp; Chiu, M. M. (2026). The effect of graphic organizers on cultivating higher-order thinking: Evidence from a meta-analysis. Educational Research Review, 52, Article 100822. https://doi.org/10.1016/j.edurev.2026.100822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 C., Cui, H., &amp; Hagedorn, L. S. (2026). The cognitive impact of ChatGPT in higher education: A systematic review of critical and creative thinking outcomes. Computers and Education: Artificial Intelligence, 10, Article 100571. https://doi.org/10.1016/j.caeai.2026.100571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Liu, J., Mbowe, A. E., Tahri, D., &amp; Aziku, M. (2026). Meta-analysis on the influence of AI agents on K-12 student cognitive performance. Computers in Human Behavior Reports, 21, Article 100973. https://doi.org/10.1016/j.chbr.2026.100973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McDonnell, L. M., &amp; Weatherford, M. S. (2013). Evidence use and the Common Core State Standards movement: From problem definition to policy adoption. American Journal of Education, 120(1), 1–25. https://doi.org/10.1086/673163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Nielsen, K., &amp; Klitmøller, J. (2021). Blind spots in visible learning: A critique of John Hattie as an educational theorist. Nordic Psychology.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Nordahl, T. (2015). Visible Learning som grunnlag for evidens og forbedringsarbeid i utdanningssystemet. Paideia, 9, 61–69.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OECD. (2021). Beyond academic learning: First results from the Survey of Social and Emotional Skills. OECD Publishing.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Park, J. H., Myszkowski, N., &amp; Niu, W. (2026). Exploring the intersection of creativity and critical thinking among students: A meta-analysis. Thinking Skills and Creativity, 60, 102119. https://doi.org/10.1016/j.tsc.2025.102119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Qvortrup, L. (2015). Baggrund for og diskussioner af Visible Learning med særligt henblik på lærings- og vidensbegrebet. Paideia, 9, 22–33.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Rickinson, M., Walsh, L., Gleeson, J., Cutler, B., Cirkony, C., &amp; Salisbury, M. (2022). Using research well in educational practice. In N. Révai (Ed.), Who cares about using education research in policy and practice?: Strengthening research engagement (pp. 182–199). OECD Publishing. https://doi.org/10.1787/d7ff793d-en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Runco, M. A., Mammadov, S., Sui, D., Kim, T., &amp; Neher, L. G. (2026). Second-order meta-analysis of the creativity research. Creativity Research Journal. https://doi.org/10.1080/10400419.2026.2644245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Snook, I., O'Neill, J., Clark, J., O'Neill, A. M., &amp; Openshaw, R. (2009). Invisible learnings? A commentary on John Hattie's book: Visible learning: A synthesis of over 800 meta-analyses relating to achievement. New Zealand Journal of Educational Studies, 44(1), 93–106.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Steiner-Khamsi, G., Martens, K., &amp; Ydesen, C. (2024). Governance by numbers 2.0: Policy brokerage as an instrument of global governance in the era of information overload. Comparative Education, 60(4), 537–554.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Terhart, E. (2011). Has John Hattie really found the holy grail of research on teaching? An extended review of Visible Learning. Journal of Curriculum Studies, 43(3), 425–438.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Ünal, E., Kaya, M., Uzun, A. M., &amp; Erdem, C. (2026). A second-order meta-analysis on the effects of artificial intelligence applications on student outcomes. Journal of Educational Computing Research, 64(5), 1360–1389. https://doi.org/10.1177/07356331261424767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Wecker, C., Vogel, F., &amp; Hetmanek, A. (2016). Visionär und imposant – aber auch belastbar? Eine Kritik der Methodik von Hatties Visible Learning. Zeitschrift für Erziehungswissenschaft, 20, 21–40. https://doi.org/10.1007/s11618-016-0696-0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Wu, J.-Y., Lee, Y.-H., Chai, C. S., &amp; Tsai, C.-C. (2025). Strengthening human epistemic agency in the symbiotic learning partnership with generative artificial intelligence. Educational Researcher, 54(6), 358–368. https://doi.org/10.3102/0013189X251333628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Zemplén, G. Á. (2007). Conflicting agendas: Critical thinking versus science education in the International Baccalaureate Theory of Knowledge course. Science &amp; Education, 16, 167–196.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2</cp:revision>
  <dcterms:created xsi:type="dcterms:W3CDTF">2026-10-11T12:17:00Z</dcterms:created>
  <dcterms:modified xsi:type="dcterms:W3CDTF">2026-10-11T12:17:00Z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