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按照这些文件，学校教育既要关心学生最终的学业结果，也要关心学生在学习过程中是否真正经历了分析、判断、探究、合作和创新；评价既要判断学生是否学会，也要为改进教与学提供依据。</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 xml:space="preserve">。</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 xml:space="preserve">。跨学科案例分析题和创新精神与实践能力记录考查的，正是学生在真实问题中分析判断、提出方案并与人合作的能力，学校需要在日常课堂和科创活动中系统培养这些能力。</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 xml:space="preserve">。高阶能力的成功表现本身不易说清，教师需要先把分析、评价、合作等能力描述为可观察的表现，才能据此判断学生的学习并调整教学。</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可见的学习研究把教师之间对学业进阶缺乏共同理解视为制约学习改进的重要因素。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D9579D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8884"/>
      <w:r w:rsidRPr="00BF4EC4">
        <w:rPr>
          <w:rFonts w:ascii="Times New Roman" w:eastAsia="宋体" w:hAnsi="Times New Roman" w:cs="Times New Roman"/>
          <w:b/>
          <w:bCs/>
          <w:color w:val="000000"/>
          <w:sz w:val="24"/>
        </w:rPr>
        <w:t>关于高阶能力的研究</w:t>
      </w:r>
      <w:bookmarkEnd w:id="8"/>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 xml:space="preserve">）以高阶能力为主题检索，共获得相关文献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 xml:space="preserve">篇作为国内文献分析样本。同时，课题组梳理了国外关于高阶思维、批判性思维和创造力的代表性研究，也梳理了社会情感能力与深度学习、探究式学习与形成性评价方面的研究，分五个方面综述</w:t>
      </w:r>
      <w:r w:rsidRPr="00BF4EC4">
        <w:rPr>
          <w:rFonts w:ascii="Times New Roman" w:eastAsia="宋体" w:hAnsi="Times New Roman" w:cs="Times New Roman"/>
          <w:color w:val="000000"/>
          <w:kern w:val="0"/>
          <w:sz w:val="24"/>
        </w:rPr>
        <w:lastRenderedPageBreak/>
        <w:t xml:space="preserve">。</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中国知网计量可视化分析显示，国内高阶能力研究在2004—2017年数量较少，2018年以后逐渐增加，2020—2021年出现较明显增长，2023年以来再次升温，2025年达到阶段性高点，总体呈波动上升。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79C88D6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）高阶能力的内涵与结构</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高阶能力研究多以本杰明</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布卢姆（Benjamin Bloom）教育目标分类的修订版为起点。洛林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安德森（Lorin W. Anderson）与戴维</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克拉斯沃尔（David R. Krathwohl）主持的修订把认知过程分为记忆、理解、应用、分析、评价和创造六个层次，又把知识分为事实性、概念性、程序性和元认知知识四类，两个维度交叉形成的二维矩阵，可以用来检查课程目标是否从接收信息推进到批判与创新</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 xml:space="preserve">。分析、评价和创造三个较高层次，也就成了高阶思维最常见的操作性含义。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层级划分回答了思维的高低，高阶思维如何展开还要看过程。劳伦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瑞斯尼克（Lauren B. Resnick）1987年把高阶思维界定为非算法性的复杂认知过程，它需要心智努力和自我调节，常常有多种解法，或者要在不确定条件下作出判断。近年的实证研究据此把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 xml:space="preserve">。</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五个成分中，批判性思维和创造力的研究最多。彼得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法乔恩（Peter A. Facione）1990年主持的德尔菲专家共识，把批判性思维界定为有目的、能自我调节的判断，既包括解释、分析、评价、推论、说明和自我调节六项技能，也包括求真、开放和公正等思维倾向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 xml:space="preserve">。在马克·朗科（Mark A. Runco）等的界定中，创造力是在特定情境中生成既新颖又适切的观念、方案或产品的能力</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 xml:space="preserve">。创造力能否通过教学提升，郭（Guo）等综合2000—2024年29项针对大学生的实验与准实验研究、109个效应量作了检验，训练的平均效应为g＝0.628，两个月以内的中短期训练效果最好</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 xml:space="preserve">。国内研究中，马淑风和杨向东以新旧知识关系的建立为核心，提出由问题情境分析、新旧知识关系建立、多维信息综合、创新性知识生成以及思维过程监控与调节构成的五成分框架</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 xml:space="preserve">。</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创造力与批判性思维并不是相互独立的两种能力。帕克（Park）等汇总29项研究的51个相关系数（N＝12548），学生的创造力与批判性思维呈中等正相关（r＝0.386）</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 xml:space="preserve">。二者都要求评价、判断和自我调节，元认知是它们的共同基础。真实任务往往同时调用这些成分，把分析、评价和创造放进同一学习过程培养，比孤立训练某一成分更贴近高阶思维的实际运作。</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复杂任务还要求学生管理情绪、与人协作，社会情感能力因此进入高阶能力的讨论范围。经济合作与发展组织（Organisation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SSES）从任务能力、情绪调节、协作能力、开放能力和交往能力五个领域考察青少年的发展</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 xml:space="preserve">；学术、社会与情感学习协作组织（Collaborative for Academic, Social, and Emotional Learning, CASEL）提出自我意识、自我管理、社会意识、人际关系技能和负责任决策五个领域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 xml:space="preserve">。约瑟夫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杜拉克（Joseph A. Durlak）等对213项校本普适性项目、27万余名学生的元分析中，系统实施社会情感学习后，学生的社会情感技能、日常行为和学业成绩都有改善</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 xml:space="preserve">。</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在袁振国、黄忠敬等报告的社会与情感能力调查第二轮中国测评中，济南市10岁组学生在全部16项社会与情感能力上的得分都高于15岁组；15岁组女生的责任感、共情和包容度高于男生；与学业焦虑关系最密切的是情绪控制和抗压力，成就动机、毅力和好奇心则与语文、数学和艺术成绩相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 xml:space="preserve">。在黄忠敬等基于苏州数据的分报告中，交往能力与其他社会与情感能力中等相关，并受同伴关系、家庭背景、教师和学校因素影响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 xml:space="preserve">。15岁组得分全面低于10岁组，说明这些能力进入中学后不会随年龄自然增长，需要学校有意识地培养。吉塔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斯坦纳-卡姆西（Gita Steiner-Khamsi）等也提醒，把深受文化影响的共情、情绪等品质换算成统一分数作跨国比较，有标准化和简化的风险</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 xml:space="preserve">。</w:t>
      </w:r>
    </w:p>
    <w:p w14:paraId="4DCE2E3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学生完成复杂任务时，既要分析、评价和创造，也要承担责任、调节情绪、与人合作并保持开放。课题组据此从高阶思维能力和高阶社会情感能力两方面界定中学生高阶能力。</w:t>
      </w:r>
    </w:p>
    <w:p w14:paraId="79CFF1A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）高阶能力的发展条件</w:t>
      </w:r>
    </w:p>
    <w:p w14:paraId="3975C5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高阶能力不会随知识难度提高而自然形成，它的发展依赖特定的教学条件。第一个条件是把高阶思维列为明确的教学目标。罗伯特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恩尼斯（Robert Ennis）按思维教学与学科内容的关系，把批判性思维课程分为独立设课的通用模式、在学科中显性教授的融入模式、在学科中隐性渗透的沉浸模式，以及独立显性教学与学科融入相结合的混合模式。菲利普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阿布拉米（Philip C. Abrami）等据此编码，综合了341个批判性思维教学干预的效应量，干预的总体效应为g＋＝0.30。把批判性思维作为显性目标并与学科内容结合的混合模式，效果优于只在学科学习中隐性渗透的模式，真实性问题、对话和导师指导三者结合时效应最高（g＋＝0.57）</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 xml:space="preserve">。</w:t>
      </w:r>
    </w:p>
    <w:p w14:paraId="7618E8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个条件是让思考外显并接受同伴检验。京格尔（Güngör）等对15项元分析、403项原始研究作了二阶元分析，合作学习对高阶思维的效应（ES＝0.76）高于对学业成就（0.71）和情感行为（0.51）的效应，因为学习者在合作中必须说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 xml:space="preserve">。图形组织器也有类似作用。雷（Lei）等汇总66项研究的72个效应量，图形组织器对高阶思维的总体效应为g＝0.778，其中思维导图最强（g＝1.041），概念图结构复杂、绘制负担重，效应较弱（g＝0.548）</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 xml:space="preserve">。</w:t>
      </w:r>
    </w:p>
    <w:p w14:paraId="349C11A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第三个条件是适度的教学指导。托恩</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德容（Ton de Jong）等在回应直接教学优越论时，综合了受控实验、跨国大规模测评和长周期课程项目三类证据。有指导的探究在概念理解和知识迁移上总体优于直接讲授，无指导的发现学习效果较差；过程约束、启发提示、过程反馈和适时讲解等指导方式效果相近，先备知识薄弱的学生获益更多；学生尚未掌握必要基础时就开展开放探究，容易引入无关信息并保留推理错误</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 xml:space="preserve">。</w:t>
      </w:r>
    </w:p>
    <w:p w14:paraId="625CF7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指导也要避免过载。德容等还提醒，同时提供多种相互重叠的外部支架不会产生叠加效应，反而可能分散注意力、增加无关认知负荷而相互抵消</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 xml:space="preserve">。学生采取深层还是表层的学习取向，同样受教学与评价信号的影响。约翰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比格斯（John Biggs）观察到，课程宣称重视理解而考试只奖励复述时，学生会理性地选择记忆策略。要促成深层学习，学生需要清楚目标及其在评价中的体现，感到达成目标确有必要，能够在没有过度考试压力的情况下专注于任务，并能通过与同伴和教师的对话加深理解，课程目标、学习活动和评价任务因此要指向同一种能力</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 xml:space="preserve">。</w:t>
      </w:r>
    </w:p>
    <w:p w14:paraId="2390A5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培育因而取决于学生是否面对有认知挑战的问题，是否需要把自己的思考说出来、写出来，是否在同伴质疑和教师反馈中持续修正观点，以及教学与评价是否真正指向这些能力。同一种教学方法换了任务、学生或评价方式，效果可能差别很大，学校借鉴时需要结合本校情境检验。</w:t>
      </w:r>
    </w:p>
    <w:p w14:paraId="7F318B9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）高阶能力的学科依存性与情境性</w:t>
      </w:r>
    </w:p>
    <w:p w14:paraId="2AC4BE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是跨学科通用，还是依附于具体学科，是该领域长期争论的问题。通用论认为，论证分析、假设检验和不确定条件下的判断等思维结构可以经显性训练迁移到新任务；领域论则强调，各学科的证据标准和专业知识决定了推理的实际内容。康拉德</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休斯（Conrad Hughes）在分析国际文凭（International Baccalaureate, IB）课程中知识论（Theory of Knowledge, TOK）课程的描述符时梳理了这两种立场，并介绍了较新的观点，即把迁移看作通用策略、领域知识与情境线索相互配合的结果</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 xml:space="preserve">。</w:t>
      </w:r>
    </w:p>
    <w:p w14:paraId="58DB78D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大卫·科尔（David R. Cole）等在澳大利亚开设知识论课程的学校调查了1338名11—12年级学生，12年级</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学生的批判性思维得分显著高于11年级。历史、科学等领域采用不同的证据与论证标准，学生需要足够的背景知识才能运用通用的思维策略。四所案例学校的课堂差别很大，同一课程框架既可能形成高度整合的实践，也可能流于随意，课程形式只有与学科知识、教师培训、学校文化和跨学科协作结合，才能稳定地支持批判性思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 xml:space="preserve">。</w:t>
      </w:r>
    </w:p>
    <w:p w14:paraId="76B84F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上海的项目化学习政策同时纳入了学科与跨学科两种取向。学科项目化学习指向本学科的核心素养，跨学科项目化学习则将自然和社会中真实而复杂的问题转化为项目，指向两个及以上学科的核心素养</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 xml:space="preserve">。落到学校层面，高阶能力培育既需要跨学科共享的能力目标，又需要在各学科和科创项目中形成各自的实践方式，不宜以统一流程机械套用于所有课堂。</w:t>
      </w:r>
    </w:p>
    <w:p w14:paraId="17CD3CE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）高阶能力的评价</w:t>
      </w:r>
    </w:p>
    <w:p w14:paraId="37A65E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评价高阶能力的第一个难题是评分标准能否覆盖构念。加博尔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曾普伦（Gábor Á. Zemplén）分析知识论课程后指出，评分标准依赖特定分析术语时，学生可以靠罗列术语、套用反思句式得分，而高中生未必已能比较不同来源的证据并阐明判断标准。迪安娜</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库恩（Deanna Kuhn）等从认识论发展的角度解释了这一现象，个体对知识的理解一般从视知识为确定事实的绝对主义，经过视知识为个人意见的多元主义，逐步走向依据证据和标准权衡主张的评价主义，后者在青少年阶段往往尚未稳定形成</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 xml:space="preserve">。评价设计因此要区分术语使用、一般认知发展和真实的批判性判断</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 xml:space="preserve">。第二个难题是教师缺乏判断依据。伯杰龙（L. Bergeron）和罗杰斯（L. Rogers）调查了来自111个国家的960名知识论任课教师和585名协调员，评估学生批判性思维的进步被视为最难的工作，探究性思维没有标准答案，学生却习惯索要确定的分数</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 xml:space="preserve">。</w:t>
      </w:r>
    </w:p>
    <w:p w14:paraId="04818D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马蒂亚斯·布凯尔特（Mathias Bouckaert）为经合组织梳理各国高等教育的评价政策与实践时，主张以形成性评价应对这些难题。他指出，</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过早给出终结性分数会促使学生追求唯一正确答案而回避智识风险，低利害的多轮练习与修订以及描述性反馈，更有利于学生提出新颖假设并修正论证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 xml:space="preserve">。比格斯提出的学习结果结构分类（Structure of the Observed Learning Outcome, SOLO）按学生回答的结构复杂程度，把理解分为前结构、单点结构、多点结构、关联结构和拓展抽象五个层次，后两个层次对应整合多方面信息并迁移到新问题的能力，可作为观察思维质量的表现性参照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 xml:space="preserve">。</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的测评通常从技能和倾向两方面展开。科尔等同时使用可观察的思维策略量表和思维倾向量表，前者考查学生在界定问题、分析论证、搜寻对立证据和控制主张范围等方面的策略运用，后者考查求真、开放、探究和判断成熟度等倾向。他们还发现，同一课程框架在不同学校的实施质量差异很大，测评结果需要放回课程实施情况中解释</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 xml:space="preserve">。</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只依靠一类证据，容易误读能力之间的关系。帕克等的元分析中，创造力与批判性思维都用自陈量表测量时，二者相关为r＝0.509，都用任务表现测量时为r＝0.317，共享测量方法会放大构念之间的观察相关</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 xml:space="preserve">。学习分析技术扩大了可观察的范围，约尔尼茨（S. Jornitz）和克林格（D. Klinge）则批评，学习软件仪表盘以颜色、进度条给出的直观判断，可能先于并替代教师对学生学习的专业解释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 xml:space="preserve">。高阶能力评价因此需要综合问卷、作品、课堂表现和教师判断等多种证据，并明确每类证据能支持哪些推断。</w:t>
      </w:r>
    </w:p>
    <w:p w14:paraId="35402D7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）数智技术对高阶能力发展的影响</w:t>
      </w:r>
    </w:p>
    <w:p w14:paraId="7A1C32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生成式人工智能进入课堂后，它究竟促进还是替代学生思考，取决于怎样使用。赵（Zhao）等综合2022年底至2025年8月发表的29项实验与准实验研究、59个效应量，生成式人工智能对高阶思维的总体效应为g＝0.609，对问题解决（g＝0.745）和批判性思维（g＝0.691）的促进较明显，对创造力（g＝0.444）较小，这可能与模型倾向于输出常规答案、学生直接采用后难以产生新颖构想有关。干预周期呈倒U型，8至16周效果最好，周期过短学生尚在适应，周期过长则容易产生依赖和倦怠</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 xml:space="preserve">。</w:t>
      </w:r>
    </w:p>
    <w:p w14:paraId="26C27D2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李（C. Li）等系统综述了2022—2025年间的67项实证研究，主题均为ChatGPT对大学生高阶思维的影响。在同时考察批判性思维和创造性思维的研究中，18项发现二者同步提升，8项发现学生的构想增多而辨别信息、严谨论证的能力停滞或减弱，4项发现二者同时下降，差别主要在于教学中是否嵌入了依据评价量规检查ChatGPT输出、对答案持续追问和同伴互审等反思环节</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 xml:space="preserve">。吴（Jiun-Yu Wu）等记录了三名研究生用ChatGPT完成统计学作业的多轮对话。把ChatGPT的输出当作待检验假设、反复追问并多方核对的学生，逐一排除了不适用的检验方法，作出了自己的选择；把ChatGPT视为权威的学生，则直接照搬了它给出的代码和步骤</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 xml:space="preserve">。</w:t>
      </w:r>
    </w:p>
    <w:p w14:paraId="0E491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小学阶段的研究较少，结论也不稳定。刘（Liu）等汇总2020—2025年34项在中小学课堂引入人工智能智能体的实验与准实验研究（3042名学生），人工智能对学生认知表现的总体效应为g＝0.404，对高阶思维的效应量为0.540，但研究间差异很大，未达统计显著（p＝0.066），效果依赖探究性教学设计和反思性任务</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 xml:space="preserve">。杜（Y. Du）和袁（Y. Yuan）建议，要求学生把人工智能生成的反馈与同伴意见、教师指导和优秀范例比较，并说明采纳或拒绝每条建议的理由，让技术反馈成为学生判断的素材</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。人工智能能否促进中学生的高阶思维，取决于任务是否要求学生核对、比较并说明理由。</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8885"/>
      <w:r w:rsidRPr="00BF4EC4">
        <w:rPr>
          <w:rFonts w:ascii="Times New Roman" w:eastAsia="宋体" w:hAnsi="Times New Roman" w:cs="Times New Roman"/>
          <w:b/>
          <w:bCs/>
          <w:color w:val="000000"/>
          <w:sz w:val="24"/>
        </w:rPr>
        <w:t>关于可见的学习的研究</w:t>
      </w:r>
      <w:bookmarkEnd w:id="9"/>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课题组在中国知网以可见的学习为关键词检索，并统计了相关文献的年</w:t>
      </w:r>
      <w:r w:rsidRPr="00BF4EC4">
        <w:rPr>
          <w:rFonts w:ascii="Times New Roman" w:eastAsia="宋体" w:hAnsi="Times New Roman" w:cs="Times New Roman"/>
          <w:color w:val="000000"/>
          <w:kern w:val="0"/>
          <w:sz w:val="24"/>
        </w:rPr>
        <w:lastRenderedPageBreak/>
        <w:t xml:space="preserve">度发文情况。国内相关研究早期成果较少，2018年以后发文量逐步增加，2022年以来增长较为明显，2025年达到阶段性高点，总体呈波动上升。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研究内容看，国内研究经历了由引介到转化的过程。引介工作以华东师范大学彭正梅团队为主。该团队是可见的学习系列著作在国内的主要译者，由彭正梅、邓莉等翻译的《可见的学习：对800多项关于学业成就的元分析的综合报告》2015年由教育科学出版社出版</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 xml:space="preserve">。此后十余年，团队成员围绕元分析方法与教育学的实证倾向、学习科学、反馈、教师心智框架、高阶能力和全球迁移等主题发表了一系列文章，对这一理论作了系统解读。早期研究主要介绍该理论的元分析方法和效应量排序，并讨论其对教育学实证化的意义。此后研究扩展到学习科学基础和反馈评价，又延伸到教师心智框架与学校改进，近年还出现了学科教学、项目化学习和家校协同中的应用探索。2025年《上海教育》第26期以专题形式集中刊发14篇文章，内容覆盖理论阐释、课堂教学以及学校与家庭三个层面，反映出高校研究者与中小学合作推进本土转化的趋势。国际上则同时出现了对该理论证据基础的系统批评，以及对其跨国传播方式的反思。以下分七个主题综述。</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可见的学习是新西兰学者约翰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哈蒂（John Hattie）基于大规模教育证据综合提出的理论框架。据史蒂夫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希金斯（Steve Higgins）梳理，其统计基础可以追溯到1992年对134项元分析、两万余个效应量的综合，这次综合确立了约0.40个标准差的平均效应，作为比较不同教育干预相对效果的参照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 xml:space="preserve">。几乎所有教学干预都能带来一些进步，判断一项干预是否值得推广，要看它能否带来高于平均水平的增益。</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这一综合依赖效应量和元分析两种工具。效应量把不同研究的结果换算到同一尺度上，最常用的是标准化均值差。雅各布</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科恩（Jacob Cohen）系统确立了它的计算方法，即用干预组与对照组的平均分之差除以两组的合并标准差</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 xml:space="preserve">，见式（1-1）。</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M</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M</m:t>
                </m:r>
              </m:e>
              <m:sub>
                <m:r>
                  <w:rPr>
                    <w:rFonts w:ascii="Cambria Math" w:hAnsi="Cambria Math"/>
                  </w:rPr>
                  <m:t xml:space="preserve">C</m:t>
                </m:r>
              </m:sub>
            </m:sSub>
          </m:num>
          <m:den>
            <m:sSub>
              <m:e>
                <m:r>
                  <w:rPr>
                    <w:rFonts w:ascii="Cambria Math" w:hAnsi="Cambria Math"/>
                  </w:rPr>
                  <m:t xml:space="preserve">SD</m:t>
                </m:r>
              </m:e>
              <m:sub>
                <m:r>
                  <w:rPr>
                    <w:rFonts w:ascii="Cambria Math" w:hAnsi="Cambria Math"/>
                  </w:rPr>
                  <m:t xml:space="preserve">pooled</m:t>
                </m:r>
              </m:sub>
            </m:sSub>
          </m:den>
        </m:f>
        <m:r>
          <m:rPr>
            <m:sty m:val="p"/>
          </m:rPr>
          <w:rPr>
            <w:rFonts w:ascii="Cambria Math" w:hAnsi="Cambria Math"/>
          </w:rPr>
          <m:t xml:space="preserve">，</m:t>
        </m:r>
        <m:sSub>
          <m:e>
            <m:r>
              <w:rPr>
                <w:rFonts w:ascii="Cambria Math" w:hAnsi="Cambria Math"/>
              </w:rPr>
              <m:t xml:space="preserve">SD</m:t>
            </m:r>
          </m:e>
          <m:sub>
            <m:r>
              <w:rPr>
                <w:rFonts w:ascii="Cambria Math" w:hAnsi="Cambria Math"/>
              </w:rPr>
              <m:t xml:space="preserve">pooled</m:t>
            </m:r>
          </m:sub>
        </m:sSub>
        <m:r>
          <m:rPr>
            <m:sty m:val="p"/>
          </m:rPr>
          <w:rPr>
            <w:rFonts w:ascii="Cambria Math" w:hAnsi="Cambria Math"/>
          </w:rPr>
          <m:t xml:space="preserve">=</m:t>
        </m:r>
        <m:rad>
          <m:radPr>
            <m:degHide m:val="1"/>
          </m:radPr>
          <m:deg/>
          <m:e>
            <m:f>
              <m:num>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E</m:t>
                    </m:r>
                  </m:sub>
                  <m:sup>
                    <m:r>
                      <w:rPr>
                        <w:rFonts w:ascii="Cambria Math" w:hAnsi="Cambria Math"/>
                      </w:rPr>
                      <m:t xml:space="preserve">2</m:t>
                    </m:r>
                  </m:sup>
                </m:sSubSup>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C</m:t>
                    </m:r>
                  </m:sub>
                  <m:sup>
                    <m:r>
                      <w:rPr>
                        <w:rFonts w:ascii="Cambria Math" w:hAnsi="Cambria Math"/>
                      </w:rPr>
                      <m:t xml:space="preserve">2</m:t>
                    </m:r>
                  </m:sup>
                </m:sSubSup>
              </m:num>
              <m:den>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−2</m:t>
                </m:r>
              </m:den>
            </m:f>
          </m:e>
        </m:rad>
      </m:oMath>
      <w:r w:rsidRPr="00BF4EC4">
        <w:rPr>
          <w:rFonts w:ascii="Times New Roman" w:eastAsia="宋体" w:hAnsi="Times New Roman" w:cs="Times New Roman"/>
          <w:color w:val="000000"/>
          <w:kern w:val="0"/>
          <w:sz w:val="24"/>
        </w:rPr>
        <w:t xml:space="preserve">　　（1-1）</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式中，M和s分别为各组的平均分和标准差，n为各组人数。d＝0.40表示干预组的平均水平比对照组高出0.4个标准差，在正态分布下，干预组的平均分高于对照组约66%的学生。样本较小时d会略为高估，拉里</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赫奇斯（Larry V. Hedges）因此引入校正系数J，得到g＝J×d，其中J≈1－3/（4N－9），N为两组总人数。文献综述中报告的g即属这一类</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 xml:space="preserve">。科恩把0.2、0.5、0.8作为小、中、大效应的经验界线。马修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克拉夫特（Matthew A. Kraft）汇总了3426个教育随机对照试验的效应量，这些试验都以标准化学业测验为结果，中位数只有0.10，约36%小于0.05</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 xml:space="preserve">，同一个0.40放在真实课堂干预中已属较大的效果。</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元分析（meta-analysis）由吉恩</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格拉斯（Gene V. Glass）1976年正式提出，是对同一研究问题的多项研究作定量综合的方法</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 xml:space="preserve">。综合时先算出每项研究的效应量及其抽样方差，再按精度加权平均，见式（1-2）。</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θ̄</m:t>
        </m:r>
        <m:r>
          <m:rPr>
            <m:sty m:val="p"/>
          </m:rPr>
          <w:rPr>
            <w:rFonts w:ascii="Cambria Math" w:hAnsi="Cambria Math"/>
          </w:rPr>
          <m:t xml:space="preserve">=</m:t>
        </m:r>
        <m:f>
          <m:num>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sSub>
              <m:e>
                <m:r>
                  <w:rPr>
                    <w:rFonts w:ascii="Cambria Math" w:hAnsi="Cambria Math"/>
                  </w:rPr>
                  <m:t xml:space="preserve">y</m:t>
                </m:r>
              </m:e>
              <m:sub>
                <m:r>
                  <w:rPr>
                    <w:rFonts w:ascii="Cambria Math" w:hAnsi="Cambria Math"/>
                  </w:rPr>
                  <m:t xml:space="preserve">i</m:t>
                </m:r>
              </m:sub>
            </m:sSub>
          </m:num>
          <m:den>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den>
        </m:f>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r>
          <m:rPr>
            <m:sty m:val="p"/>
          </m:rPr>
          <w:rPr>
            <w:rFonts w:ascii="Cambria Math" w:hAnsi="Cambria Math"/>
          </w:rPr>
          <m:t xml:space="preserve">=</m:t>
        </m:r>
        <m:f>
          <m:num>
            <m:r>
              <m:rPr>
                <m:sty m:val="p"/>
              </m:rPr>
              <w:rPr>
                <w:rFonts w:ascii="Cambria Math" w:hAnsi="Cambria Math"/>
              </w:rPr>
              <m:t xml:space="preserve">1</m:t>
            </m:r>
          </m:num>
          <m:den>
            <m:sSub>
              <m:e>
                <m:r>
                  <w:rPr>
                    <w:rFonts w:ascii="Cambria Math" w:hAnsi="Cambria Math"/>
                  </w:rPr>
                  <m:t xml:space="preserve">v</m:t>
                </m:r>
              </m:e>
              <m:sub>
                <m:r>
                  <w:rPr>
                    <w:rFonts w:ascii="Cambria Math" w:hAnsi="Cambria Math"/>
                  </w:rPr>
                  <m:t xml:space="preserve">i</m:t>
                </m:r>
              </m:sub>
            </m:sSub>
          </m:den>
        </m:f>
        <m:r>
          <m:rPr>
            <m:sty m:val="p"/>
          </m:rPr>
          <w:rPr>
            <w:rFonts w:ascii="Cambria Math" w:hAnsi="Cambria Math"/>
          </w:rPr>
          <m:t xml:space="preserve">（固定效应）　或　</m:t>
        </m:r>
        <m:sSub>
          <m:e>
            <m:r>
              <w:rPr>
                <w:rFonts w:ascii="Cambria Math" w:hAnsi="Cambria Math"/>
              </w:rPr>
              <m:t xml:space="preserve">w</m:t>
            </m:r>
          </m:e>
          <m:sub>
            <m:r>
              <w:rPr>
                <w:rFonts w:ascii="Cambria Math" w:hAnsi="Cambria Math"/>
              </w:rPr>
              <m:t xml:space="preserve">i</m:t>
            </m:r>
          </m:sub>
        </m:sSub>
        <m:r>
          <m:rPr>
            <m:sty m:val="p"/>
          </m:rPr>
          <w:rPr>
            <w:rFonts w:ascii="Cambria Math" w:hAnsi="Cambria Math"/>
          </w:rPr>
          <m:t xml:space="preserve">=</m:t>
        </m:r>
        <m:f>
          <m:num>
            <m:r>
              <m:rPr>
                <m:sty m:val="p"/>
              </m:rPr>
              <w:rPr>
                <w:rFonts w:ascii="Cambria Math" w:hAnsi="Cambria Math"/>
              </w:rPr>
              <m:t xml:space="preserve">1</m:t>
            </m:r>
          </m:num>
          <m:den>
            <m:sSub>
              <m:e>
                <m:r>
                  <w:rPr>
                    <w:rFonts w:ascii="Cambria Math" w:hAnsi="Cambria Math"/>
                  </w:rPr>
                  <m:t xml:space="preserve">v</m:t>
                </m:r>
              </m:e>
              <m:sub>
                <m:r>
                  <w:rPr>
                    <w:rFonts w:ascii="Cambria Math" w:hAnsi="Cambria Math"/>
                  </w:rPr>
                  <m:t xml:space="preserve">i</m:t>
                </m:r>
              </m:sub>
            </m:sSub>
            <m:r>
              <m:rPr>
                <m:sty m:val="p"/>
              </m:rP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r>
          <m:rPr>
            <m:sty m:val="p"/>
          </m:rPr>
          <w:rPr>
            <w:rFonts w:ascii="Cambria Math" w:hAnsi="Cambria Math"/>
          </w:rPr>
          <m:t xml:space="preserve">（随机效应）</m:t>
        </m:r>
      </m:oMath>
      <w:r w:rsidRPr="00BF4EC4">
        <w:rPr>
          <w:rFonts w:ascii="Times New Roman" w:eastAsia="宋体" w:hAnsi="Times New Roman" w:cs="Times New Roman"/>
          <w:color w:val="000000"/>
          <w:kern w:val="0"/>
          <w:sz w:val="24"/>
        </w:rPr>
        <w:t xml:space="preserve">　　（1-2）</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y为第i项研究的效应量，v为其抽样方差，w为权重。样本越大、估计越精确的研究，权重越大。固定效应模型假定各研究共享同一个真实效应；随机效应模型允许真实效应随人群和情境变化，τ²即研究间真实效应的方差。研究之间的差异是否超出抽样误差，通常用Q检验和I²统计量判断，I²表示观测到的变异中由真实异质性造成的比例</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 xml:space="preserve">。哈蒂的做法又高了一层，他把数以百计的元分析再次汇总，按影响因素给出平均效应量，属于二阶元分析（second-order meta-analysis）。韦克尔等对重复计算和加权方式的批评，针对的正是这一层综合。</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2005年在澳大利亚教育研究理事会年会的报告中提出，学业成就差异约一半来自学生自身，教师约占30%，家庭、学校和同伴各占5%至10%，教师是学校系统内部可调控的最大因素。测验结果因而首先要被教师用来检验自己的教学是否奏效，学生没有掌握的内容就是调整后续教学的线索。他反对以惩罚性的高利害统考推动学校改进，主张借助新西兰开发的教学与学习评估工具（Assessment Tools for Teaching and Learning, asTTle），以课程锚定的诊断性测评告诉教师学生处在进阶的哪个位置</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 xml:space="preserve">。教师能看见自身教学对学生学习的影响，学生能看见自己的进展并逐步成为学习的主导者，这是可见的学习的核心含义。</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较早从教学论角度解读这一理论的是彭正梅。他认为可见的学习具有普通教学论的性质，价值在于把教师、学生、内容和环境组织为相互联系的整体，因素排名不能直接决定家庭作业、混龄编班等具体制度的取舍，教师如何组合教学条件、把握教学时机同样重要</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 xml:space="preserve">。施芳婷沿用哈蒂与克劳斯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齐雷尔（Klaus Zierer）的教学三角框架，把教学置于学生、教师和课程之间，家庭、学校和班级构成外部条件，教师应着力改善那些能被教学改变的学习条件</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 xml:space="preserve">。伍绍杨、施芳婷和彭正梅比较了哈蒂的元分析证据与经合组织的国际学生评估项目（Programme for International Student Assessment, PISA）和教师教学国际调查（Teaching and Learning International Survey, TALIS），两类研究方法和变量不同，都凸显了教师可信度、教学热忱、反馈能力和支持性课堂环境的作用，为重新重视教师与教学提供了依据</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 xml:space="preserve">。</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和伍绍杨梳理了相关著作的扩展过程，从元分析综合起步，陆续推出教师版以及学习科学、影响循环和学校改进方面的著作。可见的学习2.0在更新数据的同时，反思了机械使用因素排名的做法，更加重视实施方式、教师判断、公平包容和信任关系</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 xml:space="preserve">。理解可见的学习，重点因此从哪些因素效应量更高，转到教师如何在具体情境中依据证据改进教学。</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）学习科学基础与学业进阶</w:t>
      </w:r>
    </w:p>
    <w:p w14:paraId="437F8B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对教学的解释建立在学习科学的基础之上。哈蒂与合作者提出九项学习原则，张诗琪对此作了逐条解释。学习精进需要时间、努力和结构化指导，已有知识影响新信息的组织，有限的认知资源要求教学控制负荷，学生能够从社会榜样、直接教学和纠正性反馈中获益，适当的目标、自我效能和良好关系有助于维持投入；学习风格匹配、一心多用以及技术能够自动提升学习等流行观念则缺乏证据支持</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 xml:space="preserve">。伍绍杨和彭正梅注意到，学习科学内部存在强调情境与知识建构、强调神经与认知机制两种话语，神经机制要经过不同层次证据的转化才能进入课堂。他们综合元分析、心理学和神经科学材料，提炼出神经可塑性、双系统模型、认知负荷、社会脑、动机调控系统和神经普适性六个共通主题，并提醒警惕学习风格、左右脑等被简化和商业包装的概念</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 xml:space="preserve">。</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在课堂中通过学习意图、成功标准、学业进阶和反馈四个相互关联的要素运行。学习意图明确学生需要理解和掌握的内容。哈蒂在2005年的报告中提到，许多学生并不了解任务背后的学习目的，常把篇幅长、字迹工整、没有拼写错误当作优秀的标准。教师之间对学业进阶缺乏共同理解，则是制约学习改进的关键瓶颈</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 xml:space="preserve">。成功标准规定达到学习目标的具体证据，可以分阶段设置。马梓越、沈勍和伍绍杨以初中议论文写作为例说明这种分段，起步阶段要求学生辨识论点、论据和论证，中间阶段要求分析论证是否成立，最后要求面向真实受众组织表达</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 xml:space="preserve">。分阶段的标准让学生看到自己的理解在逐步加深。</w:t>
      </w:r>
    </w:p>
    <w:p w14:paraId="42D88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学业进阶描述学生在特定领域由朴素理解走向专家水平的阶梯式发展序列。洛林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麦克唐纳（Lorraine M. McDonnell）和斯蒂芬</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韦瑟福德（M. Stephen Weatherford）追踪了美国共同核心州立标准（Common Core State Standards, CCSS）从问题界定到政策采纳的过程，在111场访谈中发现，学业进阶的证据基础并不均衡，小学低段有经过实证检验的学习轨迹，初高中阶段的进阶序列更多是依据学科逻辑推演出来的假设，需要一线教师逐条比对课堂实际加以校准</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 xml:space="preserve">。学校自行构建的能力进阶描述，同样需要在教学实践中检验和修订。</w:t>
      </w:r>
    </w:p>
    <w:p w14:paraId="08D0F8E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哈蒂与海伦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廷珀利（Helen Timperley）把反馈组织为三个问题，学习要到达哪里，当前处于什么位置，下一步如何推进，并区分任务、过程和自我调节等不同层面</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 xml:space="preserve">。丹麦学者谢尔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弗雷登斯（Kjeld Fredens）强调反馈的双向性，学生的作业、提问和错误同样是教师判断教学效果的信息来源，学校可以由此建设持续追问下一步方向的反馈文化</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 xml:space="preserve">。教师对课堂的感知并不可靠。哈蒂在接受克努森（H. Knudsen）访谈时提到，新西兰学者格雷厄姆</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纳托尔（Graham Nuthall）多年的课堂观察发现，教师看不到也听不到课堂上约八成的事情。他的团队向七八千名教师展示其课堂话语转录后，教师原以为自己只讲了两三成时间，实际却占七到八成</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 xml:space="preserve">。反馈能否起作用，还取决于学习者的反馈素养。大卫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卡利斯（David Carless）和大卫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博德（David Boud）把它界定为理解反馈、判断其合理性、调节面对批评时的情绪并将建议转化为改进行动的能力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 xml:space="preserve">。</w:t>
      </w:r>
    </w:p>
    <w:p w14:paraId="678CC9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伍绍杨和彭正梅在引介反馈模型的同时作了扩展。他们回顾从行为主义、认知主义到建构主义的反馈观，指出学习者的先前知识、信念、情绪以及师生信任影响反馈能否被接受，课堂实施还要统筹反馈的时机、互动结构和媒介。他们也批评不同研究对反馈的界定和功能划分并不一致，影响元分析结果的可比性，创造性任务的质量标准具有开放性，需要通过协商与对话理解成功标准</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 xml:space="preserve">。李茂森和祝蕾蕾把中小学课堂反馈的困境概括为方式僵化、内容窄化、环节固化和效能弱化，具体表现为频繁判断对错、依赖个人表扬、同伴参与不足以及忽视学生对反馈的运用，并据此构建了包含情境、干预、机制和结果四个要素的课堂反馈模型</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 xml:space="preserve">。温英贝和伍绍杨关注反馈的接受与行动，主张以信任关系、欢迎错误的课堂文化以及围绕优秀作品和成功标准的共同讨论，把反馈组织为师生之间的双向对话，使评语真正进入学生的修订行动</w:t>
      </w:r>
      <w:r w:rsidRPr="00BF4EC4">
        <w:rPr>
          <w:rStyle w:val="a8"/>
          <w:rFonts w:ascii="Times New Roman" w:eastAsia="宋体" w:hAnsi="Times New Roman" w:cs="Times New Roman"/>
          <w:color w:val="000000"/>
          <w:kern w:val="0"/>
          <w:sz w:val="24"/>
        </w:rPr>
        <w:lastRenderedPageBreak/>
        <w:footnoteReference w:id="75"/>
      </w:r>
      <w:r w:rsidRPr="00BF4EC4">
        <w:rPr>
          <w:rFonts w:ascii="Times New Roman" w:eastAsia="宋体" w:hAnsi="Times New Roman" w:cs="Times New Roman"/>
          <w:color w:val="000000"/>
          <w:kern w:val="0"/>
          <w:sz w:val="24"/>
        </w:rPr>
        <w:t xml:space="preserve">。</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最终指向学生评价和调整自己的学习。陈丽莎、翁绮睿和彭正梅提出，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管理自主学习，自评能力因而是开展个性化教学的重要前提</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 xml:space="preserve">。在杭州闻涛中学，高嘉诚和梁锦芳记录了师生共同制订和优化成功标准的做法，生长式评价量表成为学生的学习支架，教师的元认知示范与学校领导组织的协作式专业对话共同支持了学生自评能力的发展</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 xml:space="preserve">。</w:t>
      </w:r>
    </w:p>
    <w:p w14:paraId="5687AC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）教师心智框架与教学模式</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2015年讨论可见的学习在高等教育中的适用性时进一步提出，教学质量的关键在于教师如何理解自身的角色，并把这种理解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 xml:space="preserve">。</w:t>
      </w:r>
    </w:p>
    <w:p w14:paraId="516AFD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施芳婷和伍绍杨把哈蒂与齐雷尔后来扩展的十个心智框架同《学记》中的教师信条作了比较。二者在教师专业责任、合作、教学时机和学生自主发展方面有共识，前者更突出学习证据与评价反馈，后者更重视社会责任以及学生离开教师后的独立性。作者据此把根据学生准备程度、任务难度和情境变化选择恰当支持的教育机敏视为卓越教师的核心</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 xml:space="preserve">。林心悦从心智框架推导教师的专业品质，认为批判性思维使教师能够检验自身方法、理解他者视角并调整决策，教学热忱经过长期反思与实践，会转化为捕捉学生状态、把握教学时机的教育直觉</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 xml:space="preserve">。</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高妍、缪秋英和邓莉把哈蒂及其合作者提出的诊断—干预—实施—评估模式（Diagnosis, Intervention, Implementation and Evaluation, DIIE）阐释为教师可以共享的教学语言。诊断关注学生的先前知识、学习意愿与动力，干预针对当前水平与目标之间的差距选择策略，实施强调明确目标、适当任务和差异化支持，评估依据成功标准收集证据并决定后续方向。支持方式可以分为补偿性支持与适应性支持，评估要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 xml:space="preserve">。有了共享的教学语言，教师才能围绕学生证据讨论和调整教学，这为建构四步调节的教学模型提供了直接参照。</w:t>
      </w:r>
    </w:p>
    <w:p w14:paraId="16EF75C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）学校改进、领导力与家校协同</w:t>
      </w:r>
    </w:p>
    <w:p w14:paraId="7B86BF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教师的专业判断需要学校组织的支持。挪威学者托马斯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诺达尔（Thomas Nordahl）把可见的学习放进斯堪的纳维亚的学校改进语境，主张通过教师协作研讨、同伴观课和跨年级共享进阶标准开展集体能力建设</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 xml:space="preserve">。克里斯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布朗（Chris Brown）和托比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格里尼（Toby Greany）调查了英格兰79所小学的696名教师和学校领导者，学校对研究价值的认同和教师之间的非正式分享都处在高位，薄弱环节在于评价干预成效、反思教学背后的假设和搭建正式的研讨论坛</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 xml:space="preserve">。马克</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里金森（Mark Rickinson）等对澳大利亚906名教育者的调查和访谈则显示，学校在日常排课中为教师保留专门的研讨时间，教师才能在互信的氛围中提出疑问、研读研究并结合班级学情设计教学尝试，研究证据也更可能真正进入课堂</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 xml:space="preserve">。</w:t>
      </w:r>
    </w:p>
    <w:p w14:paraId="7B71E63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形式上的教研活动并不必然带来学生学习的改善。特里恩</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埃多瓦尔德（Triin Edovald）和卡米拉</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内维尔（Camilla Nevill）回顾英国教育捐赠基金会（Education Endowment Foundation, EEF）前八年的随机对照试验时提到，课例研究项目中教师对协作的满意度很高，学生的数学和阅读统考成绩却没有显著提升，密集的研讨还挤占了备课和个别辅导时间</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 xml:space="preserve">。布朗和格里尼则建议把课例研究作为教师共同检验教学方案的正式机制，使教师自身的探究与外部研究证据结合起来</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 xml:space="preserve">。教研活动的关键在于是否聚焦学生真实的学习表现，并在多轮实践中检验改进是否有效。</w:t>
      </w:r>
    </w:p>
    <w:p w14:paraId="5B98BE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校领导者承担组织证据使用的责任。陈添认为，领导者首先应成为影响评估者，持续追问管理决策如何改变教师实践和学生学习，并从以证据评价改革、通过多维对话形成集体效能、设置明确且有挑战性的期望、建设目标与反馈清晰可见的学校文化四个方面转变领导方式</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 xml:space="preserve">。可见的学习的影响也延伸到家庭。陈丽莎和伍绍杨针对中国家庭中常见的作业焦虑和过度干预，建议父母把明确的界限与积极回应、自主空间结合起来，以具体的任务反馈替代笼统表扬，并示范承认错误、分析过程和制定改进计划，使家庭成为支持学生学习的力量</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 xml:space="preserve">。</w:t>
      </w:r>
    </w:p>
    <w:p w14:paraId="0DE0099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）学科教学与项目化学习中的应用</w:t>
      </w:r>
    </w:p>
    <w:p w14:paraId="66DDD59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近年来，国内研究开始把可见的学习转化为学科教学和项目化学习的具体设计。石修银针对语文课堂目标模糊和浅层学习等问题，提出从设计、过程和评价三个维度重构教学，确立主要目标，通过追问、讨论和教师示范促进学生的认知改变，并运用成就水平检查单考察表层知识、深层理解和概念性思维</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 xml:space="preserve">。邱惠芬依据初中化学课程标准构建了由目标、知识、实践和评价组成的学习分析框架，以酸性土壤改良为例，用方案设计、实验操作、定量分析和评价量表收集学习证据，诊断知识理解与实际表现之间的差距</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 xml:space="preserve">。马梓越等把表层、深度和迁移学习模型具体化为语文议论文、数学函数和科学生态系统的教学设计，强调教师要准确判断学生所处的阶段，避免在基础不足时过早提高复杂要求，或在学生已形成深度理解后继续重复表层练习</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 xml:space="preserve">。</w:t>
      </w:r>
    </w:p>
    <w:p w14:paraId="675861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项目化学习是另一类重要的应用场域。何光友、沈勍和伍绍杨结合巴克教育研究所（Buck Institute for Education, BIE）提出的项目式学习金标准，把项目式学习理解为整合多种高影响策略的开放框架，基础知识学习可以采用直接教学，深化理解和方案设计则需要适当的支架与启发，设计中需要明确目标与挑战性问题、分层指导、以评价反馈持续改进并重视学生声音与选择</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 xml:space="preserve">。沈勍介绍了七宝中学附属鑫都实验中学的前期探索，学校以大概念重构学习目标，通过有意对齐协调学习意图、任务、方法和评价，建立微项目、单元项目、跨单元项目和跨学科项目四级进阶，并借助学习档案、作品展示和自评互评呈现学生的思维过程</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 xml:space="preserve">。这些研究为可见的学习的本土转化提供了丰富案例，但多聚焦于单一学科、单一环节或单个项目，较少关注高阶能力的整体结构及其在多个场域中的持续发展。</w:t>
      </w:r>
    </w:p>
    <w:p w14:paraId="44A7A61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）全球迁移、学术争议与理论使用立场</w:t>
      </w:r>
    </w:p>
    <w:p w14:paraId="6E9C0A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可见的学习在国际上影响广泛，批评也一直存在。第一类批评针对用效应量给教学因素排序的做法。伊万</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斯努克（Ivan Snook）等指出，0.40的关节点缺乏充分依据，简单平均会掩盖重要差异，家庭作业的总体效应量为0.29，小学生只有0.15，高中生却达到0.64</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 xml:space="preserve">。克里斯托夫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韦克尔（Christof Wecker）等系统检验了二级元分析的方法，原始研究被重复计算、加权方式不一致等问题较为普遍，在一个案例中按正确方法重算后，基于网络的学习的效应量由0.59降至0.23，排名由第26位降至第98位</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 xml:space="preserve">。皮埃尔-热罗姆</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贝尔热龙（Pierre-Jérôme Bergeron）和里瓦尔（L. Rivard）用数值示例说明，同一组数据采用不同公式计算效应量，可能得出完全相反的排序</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 xml:space="preserve">。埃瓦尔德</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特哈特（Ewald Terhart）也认为，层层汇总的元分析会使原始研究中的具体信息丢失或被扭曲</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 xml:space="preserve">。</w:t>
      </w:r>
    </w:p>
    <w:p w14:paraId="733DC0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第二类批评针对核心概念的边界。尼尔森（K. Nielsen）和克利特默勒（J. Klitmøller）逐一细读了支撑反馈效应的五项主要元分析，这五项研究占反馈样本的92%，其中只有克鲁格（Avraham N. Kluger）和德尼西（Angelo DeNisi）1996年的元分析研究的是与哈蒂定义一致的反馈干预，其平均效应量仅为0.38，约38%的反馈干预反而降低了学生表现，其余几项涉及的则是奖励强化、教师亲和力等不同现象</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 xml:space="preserve">。拉尔斯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克沃特鲁普（Lars Qvortrup）认为，元分析所依据的多为标准化考试成绩，偏重表层知识，对深层理解和批判性思维的反映有限</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 xml:space="preserve">。反馈要具体指向任务和改进方法，并被学生理解和使用，才能发挥作用。</w:t>
      </w:r>
    </w:p>
    <w:p w14:paraId="231380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第三类批评针对理论在实践中的使用方式和适用范围。斯科特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伊科特（Scott Eacott）担心，行政部门若把可见的学习变成以高效应量方法清单考核教师的工具，会削弱教师依据具体情境作出专业判断的能力</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 xml:space="preserve">。俄罗斯学者戈洛夫钦（M. A. Golovchin）检验了哈蒂综合的133项效应量，认为其离散程度过高，原始元分析又主要来自英语国家，直接搬到俄罗斯这样的非英语国家和不同社会文化环境存在适应性问题</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 xml:space="preserve">。彼得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凯利（Peter Kelly）等访谈了英格兰、苏格兰和德国汉堡的9位校长和高级管理者，苏格兰校长面对此类流行理念时，会组织教师在本校课堂中开展实践者探究，检验其对本校学生是否适切，德国部分学校则把相关著作作为教师小组研读和讨论的参考</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 xml:space="preserve">。</w:t>
      </w:r>
    </w:p>
    <w:p w14:paraId="3E405D9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学界对这一理论同样有所保留。伍绍杨认为，可见的学习讲述的仍是一个未完成的故事，其研究主要来自发达英语国家，教育结果主要以考试分数界定时，创造力、批判力和公民责任等难以测量的成果容易被忽视，把改变学业分化的希望全部寄托于学校内部因素，也可能导向过于乐观的学校决定论</w:t>
      </w:r>
      <w:r w:rsidRPr="00BF4EC4">
        <w:rPr>
          <w:rStyle w:val="a8"/>
          <w:rFonts w:ascii="Times New Roman" w:eastAsia="宋体" w:hAnsi="Times New Roman" w:cs="Times New Roman"/>
          <w:color w:val="000000"/>
          <w:kern w:val="0"/>
          <w:sz w:val="24"/>
        </w:rPr>
        <w:footnoteReference w:id="103"/>
      </w:r>
      <w:r w:rsidRPr="00BF4EC4">
        <w:rPr>
          <w:rFonts w:ascii="Times New Roman" w:eastAsia="宋体" w:hAnsi="Times New Roman" w:cs="Times New Roman"/>
          <w:color w:val="000000"/>
          <w:kern w:val="0"/>
          <w:sz w:val="24"/>
        </w:rPr>
        <w:t xml:space="preserve">。彭正梅则强调，教育受到情境、互动和历史变化的影响，原始研究的质量和学业成就的界定都限制了综合结果的解释力，在肯定教育科学化价值的同时仍需保持方法的多样性</w:t>
      </w:r>
      <w:r w:rsidRPr="00BF4EC4">
        <w:rPr>
          <w:rStyle w:val="a8"/>
          <w:rFonts w:ascii="Times New Roman" w:eastAsia="宋体" w:hAnsi="Times New Roman" w:cs="Times New Roman"/>
          <w:color w:val="000000"/>
          <w:kern w:val="0"/>
          <w:sz w:val="24"/>
        </w:rPr>
        <w:footnoteReference w:id="104"/>
      </w:r>
      <w:r w:rsidRPr="00BF4EC4">
        <w:rPr>
          <w:rFonts w:ascii="Times New Roman" w:eastAsia="宋体" w:hAnsi="Times New Roman" w:cs="Times New Roman"/>
          <w:color w:val="000000"/>
          <w:kern w:val="0"/>
          <w:sz w:val="24"/>
        </w:rPr>
        <w:t xml:space="preserve">。</w:t>
      </w:r>
    </w:p>
    <w:p w14:paraId="465310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伍绍杨和彭正梅进一步把视角转向理论的跨国传播，归纳出英语国家的政策嵌入、德国日本及北欧的学术对话转化、北美的商业驱动扩散三种模式。理论在不同场域中被转化为政策语言、专业工具和服务产品，相对稳定的逻辑是满足当代教育治理对科学合法性的需求，掌握证据生产与传播渠道的行动者可能因此获得更大的话语权，教师的经验智慧和地方知识则面临被边缘化的风险</w:t>
      </w:r>
      <w:r w:rsidRPr="00BF4EC4">
        <w:rPr>
          <w:rStyle w:val="a8"/>
          <w:rFonts w:ascii="Times New Roman" w:eastAsia="宋体" w:hAnsi="Times New Roman" w:cs="Times New Roman"/>
          <w:color w:val="000000"/>
          <w:kern w:val="0"/>
          <w:sz w:val="24"/>
        </w:rPr>
        <w:footnoteReference w:id="105"/>
      </w:r>
      <w:r w:rsidRPr="00BF4EC4">
        <w:rPr>
          <w:rFonts w:ascii="Times New Roman" w:eastAsia="宋体" w:hAnsi="Times New Roman" w:cs="Times New Roman"/>
          <w:color w:val="000000"/>
          <w:kern w:val="0"/>
          <w:sz w:val="24"/>
        </w:rPr>
        <w:t xml:space="preserve">。伍绍杨在另一篇文章中提醒，复杂知识在传播中可能被简化为教学公式，评价可能被理解为监控工具，理论的科学性需要与教师的专业自主和创造性参与结合，才能支持真正的教育改进</w:t>
      </w:r>
      <w:r w:rsidRPr="00BF4EC4">
        <w:rPr>
          <w:rStyle w:val="a8"/>
          <w:rFonts w:ascii="Times New Roman" w:eastAsia="宋体" w:hAnsi="Times New Roman" w:cs="Times New Roman"/>
          <w:color w:val="000000"/>
          <w:kern w:val="0"/>
          <w:sz w:val="24"/>
        </w:rPr>
        <w:footnoteReference w:id="106"/>
      </w:r>
      <w:r w:rsidRPr="00BF4EC4">
        <w:rPr>
          <w:rFonts w:ascii="Times New Roman" w:eastAsia="宋体" w:hAnsi="Times New Roman" w:cs="Times New Roman"/>
          <w:color w:val="000000"/>
          <w:kern w:val="0"/>
          <w:sz w:val="24"/>
        </w:rPr>
        <w:t xml:space="preserve">。</w:t>
      </w:r>
    </w:p>
    <w:p w14:paraId="7BB34D6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基于上述讨论，学校对可见的学习采取有限而明确的使用立场。具体而言，不以效应量排名选择教学方法，也不以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 xml:space="preserve">作为判断成效的标准，主要采用该理论的几项教学主张，即学习意图与成功标准、学业进阶的共同语言、反馈三问，以及教师依据学生学习表现诊断、干预和评估，并通过本校课堂中的行动研究检验这些主张能否转化为识别和支持学生高阶能力的具体做法。</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可见的学习为判断内隐的高阶能力提供了可行路径</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伍绍杨和邓莉依据哈蒂的学习模型讨论了高阶能力的培养。他们认为高阶能力的发展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107"/>
      </w:r>
      <w:r w:rsidRPr="00BF4EC4">
        <w:rPr>
          <w:rFonts w:ascii="Times New Roman" w:eastAsia="宋体" w:hAnsi="Times New Roman" w:cs="Times New Roman"/>
          <w:color w:val="000000"/>
          <w:kern w:val="0"/>
          <w:sz w:val="24"/>
        </w:rPr>
        <w:t xml:space="preserve">。沈勍和伍绍杨结合安德斯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艾利克森（K. Anders Ericsson）的刻意练习研究，把高质量练习概括为三个相互联系的条件，即通过任务分析明确子技能和目标，以具体反馈持续调整表现，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108"/>
      </w:r>
      <w:r w:rsidRPr="00BF4EC4">
        <w:rPr>
          <w:rFonts w:ascii="Times New Roman" w:eastAsia="宋体" w:hAnsi="Times New Roman" w:cs="Times New Roman"/>
          <w:color w:val="000000"/>
          <w:kern w:val="0"/>
          <w:sz w:val="24"/>
        </w:rPr>
        <w:t xml:space="preserve">。学习进阶、有意对齐和反馈支架，是可见的学习连接高阶能力培养的关键概念。</w:t>
      </w:r>
    </w:p>
    <w:p w14:paraId="3B1C5D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目标需要被具体描述为学生能理解、教师能观察的表现，批判性思维的评价只有完整覆盖其技能与倾向，才能真正支持其发展，这与可见的学习关于明确学习意图和成功标准的主张一致。结构化对话、合作中的相互解释与质疑以及以图形呈现思路，都能让学生的思考过程外显，这正是可见的学习所说的使学习对教师可见。</w:t>
      </w:r>
    </w:p>
    <w:p w14:paraId="4A3C1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低利害、多轮修订和描述性的形成性反馈有利于批判性思维和创造力的发展，要求学生比较多源反馈并说明采纳理由，有助于他们在人工智能环境中保持独立判断，这些发现与反馈三问和反馈文化的主张相互印证。高阶能力研究还反复显示，同一种教学方法在不同学生、任务和使用周期中效果差异显著，教师因此需要依据学生的学习证据诊断、干预和评估。</w:t>
      </w:r>
    </w:p>
    <w:p w14:paraId="7EF5A8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二者的结合还依赖教师集体使用证据的机制。高阶能力的表现具有学科差异和情境差异，单个教师难以独立形成稳定的判断标准，需要在教研组中通过共同观课、比较学生作品和讨论进阶标准逐步形成共识</w:t>
      </w:r>
      <w:r w:rsidRPr="00BF4EC4">
        <w:rPr>
          <w:rStyle w:val="a8"/>
          <w:rFonts w:ascii="Times New Roman" w:eastAsia="宋体" w:hAnsi="Times New Roman" w:cs="Times New Roman"/>
          <w:color w:val="000000"/>
          <w:kern w:val="0"/>
          <w:sz w:val="24"/>
        </w:rPr>
        <w:footnoteReference w:id="109"/>
      </w:r>
      <w:r w:rsidRPr="00BF4EC4">
        <w:rPr>
          <w:rFonts w:ascii="Times New Roman" w:eastAsia="宋体" w:hAnsi="Times New Roman" w:cs="Times New Roman"/>
          <w:color w:val="000000"/>
          <w:kern w:val="0"/>
          <w:sz w:val="24"/>
        </w:rPr>
        <w:t xml:space="preserve">。苏格兰学校以实践者探究检验外部理念的经验也说明，学校吸收外部理论需要经过本校课堂证据的检验和校准</w:t>
      </w:r>
      <w:r w:rsidRPr="00BF4EC4">
        <w:rPr>
          <w:rStyle w:val="a8"/>
          <w:rFonts w:ascii="Times New Roman" w:eastAsia="宋体" w:hAnsi="Times New Roman" w:cs="Times New Roman"/>
          <w:color w:val="000000"/>
          <w:kern w:val="0"/>
          <w:sz w:val="24"/>
        </w:rPr>
        <w:footnoteReference w:id="110"/>
      </w:r>
      <w:r w:rsidRPr="00BF4EC4">
        <w:rPr>
          <w:rFonts w:ascii="Times New Roman" w:eastAsia="宋体" w:hAnsi="Times New Roman" w:cs="Times New Roman"/>
          <w:color w:val="000000"/>
          <w:kern w:val="0"/>
          <w:sz w:val="24"/>
        </w:rPr>
        <w:t xml:space="preserve">。课题组因此以教研组行动研究的方式生成和修正培育模型。</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可以在三处连接，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现有测评研究揭示了社会情感能力随年龄和情境变化的特点，但适用于课堂观察的进阶描述仍较为缺乏。</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进阶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在证据使用上，可见的学习的研究多关注学习目标、反馈和学业成绩，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111"/>
      </w:r>
      <w:r w:rsidRPr="00BF4EC4">
        <w:rPr>
          <w:rFonts w:ascii="Times New Roman" w:eastAsia="宋体" w:hAnsi="Times New Roman" w:cs="Times New Roman"/>
          <w:color w:val="000000"/>
          <w:kern w:val="0"/>
          <w:sz w:val="24"/>
        </w:rPr>
        <w:t>。</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sidRPr="00BF4EC4">
        <w:rPr>
          <w:rStyle w:val="a8"/>
          <w:rFonts w:ascii="Times New Roman" w:eastAsia="宋体" w:hAnsi="Times New Roman" w:cs="Times New Roman"/>
          <w:color w:val="000000"/>
          <w:kern w:val="0"/>
          <w:sz w:val="24"/>
        </w:rPr>
        <w:footnoteReference w:id="112"/>
      </w:r>
      <w:r w:rsidRPr="00BF4EC4">
        <w:rPr>
          <w:rFonts w:ascii="Times New Roman" w:eastAsia="宋体" w:hAnsi="Times New Roman" w:cs="Times New Roman"/>
          <w:color w:val="000000"/>
          <w:kern w:val="0"/>
          <w:sz w:val="24"/>
        </w:rPr>
        <w:t>，一所学校在多个学科和多种学习场域中持续开展、多轮改进的研究也较为缺乏。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持续观察和判断。</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该框架是依据学校实际形成的操作性</w:t>
      </w:r>
      <w:r w:rsidRPr="00BF4EC4">
        <w:rPr>
          <w:rFonts w:ascii="Times New Roman" w:eastAsia="宋体" w:hAnsi="Times New Roman" w:cs="Times New Roman"/>
          <w:color w:val="000000"/>
          <w:kern w:val="0"/>
          <w:sz w:val="24"/>
        </w:rPr>
        <w:lastRenderedPageBreak/>
        <w:t>结构，其合理性还需要通过工具检验和实践证据不断修正。</w:t>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二、思路与设计</w:t>
      </w:r>
      <w:bookmarkEnd w:id="16"/>
    </w:p>
    <w:p w14:paraId="65F52F7D"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7" w:name="_Toc244008893"/>
      <w:r w:rsidRPr="00BF4EC4">
        <w:rPr>
          <w:rFonts w:ascii="Times New Roman" w:eastAsia="宋体" w:hAnsi="Times New Roman" w:cs="Times New Roman"/>
          <w:b/>
          <w:bCs/>
          <w:color w:val="000000"/>
          <w:sz w:val="28"/>
          <w:szCs w:val="28"/>
        </w:rPr>
        <w:t>核心概念界定</w:t>
      </w:r>
      <w:bookmarkEnd w:id="17"/>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）高阶思维能力</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32BF89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）高阶社会情感能力</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学习证据</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学习证据按五个层面组织，即模型中的五见，包括目标可见、思维可见、证据可见、进步可见和能力可见。表2-1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研究立足学校真实教育教学情境，按照理论研究、现状诊断、模型建构、多场域实践、成效评价和持续优化的思路展开。整体上采用设计型研究（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113"/>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114"/>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15"/>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16"/>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17"/>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么、怎样研究、怎样评价的基本思路。在此基础上，课题组通过学生问卷、教师问卷、访谈、课堂观察和已有教学资料分析，了解学生高阶能力的初始状况，以及教师开展高阶能力培育的认识、实践、困难和专业需求；再依据理论研究和前期调查结果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基于可见的学习理论和前期调查结果，分析高阶能力形成与发展的关键要素，研究学习目标、学习任务、学习过程、学习层次与评价反馈之间的关系，形成初步的学习模型和教学模型。随后，课题组在学科课堂和科创项目两个场域实施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三、研究过程与结果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三年间，课题组先通过学生问卷、教师问卷、开放性回答和课堂观察，诊断学生高阶能力的起点和教师培育的基础；再以可见的学习和高阶能力理论为依据，建构学习模型与教学模型；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个维度上的自评表现；教师问卷了解教师对高阶能力培育的认知、课堂实践、自我效能和实施困难。两类调查分别从学习者和教学支持两端，为学习模型与教学模式的设计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1</w:t>
      </w:r>
      <w:r w:rsidRPr="00BF4EC4">
        <w:rPr>
          <w:rFonts w:ascii="Times New Roman" w:eastAsia="宋体" w:hAnsi="Times New Roman" w:cs="Times New Roman"/>
          <w:b/>
          <w:bCs/>
          <w:color w:val="C00000"/>
          <w:sz w:val="24"/>
        </w:rPr>
        <w:t>）测评维度的选取依据</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）高阶思维的三个维度</w:t>
      </w:r>
    </w:p>
    <w:p w14:paraId="3A4897A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高阶思维的测评需要明确认知过程及其在学习任务中的表现。布卢姆教育目标分类修订版将认知过程划分为记忆、理解、应用、分析、评价和创造六个层次，测评据此区分学习任务的认知要求。</w:t>
      </w:r>
      <w:r w:rsidRPr="00BF4EC4">
        <w:rPr>
          <w:rStyle w:val="a8"/>
          <w:rFonts w:ascii="Times New Roman" w:eastAsia="宋体" w:hAnsi="Times New Roman" w:cs="Times New Roman"/>
          <w:kern w:val="0"/>
          <w:sz w:val="24"/>
        </w:rPr>
        <w:footnoteReference w:id="118"/>
      </w:r>
      <w:r w:rsidRPr="00BF4EC4">
        <w:rPr>
          <w:rFonts w:ascii="Times New Roman" w:eastAsia="宋体" w:hAnsi="Times New Roman" w:cs="Times New Roman"/>
          <w:kern w:val="0"/>
          <w:sz w:val="24"/>
        </w:rPr>
        <w:t xml:space="preserve">高阶思维还体现为学生面对新材料和非程序化问题时的迁移、批判性思考与问题解决，其核心在于建立新旧知识之间的联系</w:t>
      </w:r>
      <w:r w:rsidRPr="00BF4EC4">
        <w:rPr>
          <w:rStyle w:val="a8"/>
          <w:rFonts w:ascii="Times New Roman" w:eastAsia="宋体" w:hAnsi="Times New Roman" w:cs="Times New Roman"/>
          <w:kern w:val="0"/>
          <w:sz w:val="24"/>
        </w:rPr>
        <w:footnoteReference w:id="119"/>
      </w:r>
      <w:r w:rsidRPr="00BF4EC4">
        <w:rPr>
          <w:rFonts w:ascii="Times New Roman" w:eastAsia="宋体" w:hAnsi="Times New Roman" w:cs="Times New Roman"/>
          <w:kern w:val="0"/>
          <w:sz w:val="24"/>
        </w:rPr>
        <w:t>。</w:t>
      </w:r>
    </w:p>
    <w:p w14:paraId="0DEDE1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据此自行编制《中学生高阶思维能力测评量表》（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0404A8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）高阶社会情感的四个维度</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复杂学习的持续推进，不仅需要认知加工，还需要学生面对困难、分歧和不确定结果时保持投入并调整行动。经合组织社会与情感能力调查从任务能力、情绪调节、协作能力、开放能力和交往能力等领域考察学生的发展状况。</w:t>
      </w:r>
      <w:r w:rsidRPr="00BF4EC4">
        <w:rPr>
          <w:rStyle w:val="a8"/>
          <w:rFonts w:ascii="Times New Roman" w:eastAsia="宋体" w:hAnsi="Times New Roman" w:cs="Times New Roman"/>
          <w:kern w:val="0"/>
          <w:sz w:val="24"/>
        </w:rPr>
        <w:footnoteReference w:id="120"/>
      </w:r>
      <w:r w:rsidRPr="00BF4EC4">
        <w:rPr>
          <w:rFonts w:ascii="Times New Roman" w:eastAsia="宋体" w:hAnsi="Times New Roman" w:cs="Times New Roman"/>
          <w:kern w:val="0"/>
          <w:sz w:val="24"/>
        </w:rPr>
        <w:t xml:space="preserve">测评参照国内基于社会与情感能力调查开展的测评框架</w:t>
      </w:r>
      <w:r w:rsidRPr="00BF4EC4">
        <w:rPr>
          <w:rStyle w:val="a8"/>
          <w:rFonts w:ascii="Times New Roman" w:eastAsia="宋体" w:hAnsi="Times New Roman" w:cs="Times New Roman"/>
          <w:kern w:val="0"/>
          <w:sz w:val="24"/>
        </w:rPr>
        <w:footnoteReference w:id="121"/>
      </w:r>
      <w:r w:rsidRPr="00BF4EC4">
        <w:rPr>
          <w:rFonts w:ascii="Times New Roman" w:eastAsia="宋体" w:hAnsi="Times New Roman" w:cs="Times New Roman"/>
          <w:kern w:val="0"/>
          <w:sz w:val="24"/>
        </w:rPr>
        <w:t>，围绕中学生高阶能力培育的需要，选取与责任承担、自我调节、合作协商和开放探索相关的内容，依据其内涵联系进行归并，形成责任担当、情绪调节、合作共情、包容创新四个理论维度。每个维度设置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题。七个维度的考察要点与题数见表3-1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w:t>
      </w:r>
    </w:p>
    <w:p w14:paraId="0FFBB6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学生高阶能力问卷的维度与考察要点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，表明问卷及各维度题项具有较好的内部一致性，具体结果见表3-2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，具体结果见表3-4</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表3-8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表3-9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表3-10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表3-11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表3-12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开放性回答中，学生提到的学习困难可归为五类（表3-13</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表3-13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道评分题（表3-14</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22"/>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表3-17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表3-18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表3-19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表3-21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表3-23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表3-24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结果如表3-24</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表3-25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分，表明观察者对本批课堂总体评价较为积极，同时不同评价记录之间存在差异。五维中，社会情感支持与学科内容建构均值较高，课堂互动、形成性评价与反馈相对靠后（表3-26</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表3-26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 xml:space="preserve">。汇总材料记录的学习活动包括讨论、练习、展示和探究，课堂组织涉及任务驱动、合作学习及教师引导等方式。</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教师评课关键词词云图补充呈现了观察者关注的课堂内容（图3-2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等词较为突出，说明现有评课意见涉及任务组织、学生参与及思考过程。</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希沃行为热力图补充呈现了各课例在学生参与、教师指导、互动交流和探究活动方面的分布（图3-3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3-27</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表3-27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w:t>
      </w:r>
      <w:r w:rsidRPr="00BF4EC4">
        <w:rPr>
          <w:rFonts w:ascii="Times New Roman" w:eastAsia="宋体" w:hAnsi="Times New Roman" w:cs="Times New Roman"/>
          <w:sz w:val="24"/>
        </w:rPr>
        <w:lastRenderedPageBreak/>
        <w:t>进一步关注学生思考的呈现、同伴观点的回应及反馈后的修订，将七维高阶能力落实为具体任务与表现标准，使学习过程和进步有据可察，为教学模式建构明确实践重点。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前测结果共同指向任务设计与过程支持</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、知识迁移困难和考试后难以调整等表现，进一步提示教学需要加强思考方法与自我调节支持。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6CEFF9C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6" w:name="_Toc244008921"/>
      <w:r w:rsidRPr="00BF4EC4">
        <w:rPr>
          <w:rFonts w:eastAsia="宋体"/>
          <w:b/>
          <w:bCs/>
          <w:color w:val="000000"/>
        </w:rPr>
        <w:t>（二）依据前测与理论建构培育模型和学习模型</w:t>
      </w:r>
      <w:bookmarkEnd w:id="46"/>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高阶能力培育总模型的初步建构</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）新课标要求与前测问题决定模型的设计重点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2AF1BDC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 xml:space="preserve">）则以平均额外进步月数呈现干预效果。两个数据库都以学业成就为主要结果变量，效应量也受原始研究质量和测量方式影响，因此这里用来判断证据的方向和稳健程度，不按效应量高低取舍教学方法。模型各环节对应的主要影响因素及效应量见表3-28</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表3-28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w:t>
      </w:r>
      <w:r w:rsidRPr="00BF4EC4">
        <w:rPr>
          <w:rFonts w:ascii="Times New Roman" w:eastAsia="宋体" w:hAnsi="Times New Roman" w:cs="Times New Roman"/>
          <w:sz w:val="24"/>
        </w:rPr>
        <w:lastRenderedPageBreak/>
        <w:t>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）的结果则说明，情绪状态与学习表现密切相关。模型因此不另设社会情感课程，而在同一任务中观察和支持责任担当、情绪调节、合作共情与包容创新。</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级，是工具包所列策略中进步月数最高的一项，这支持把反思迁移作为独立环节，要求学生提炼方法并在新条件下再次运用。开放性任务的证据则表明，设计时需要注意条件：项目式学习的效应量为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为组织思路，以前期调查为问题依据，以元分析证据为要素参照，构建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课题组依据新课标的核心素养要求，结合</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理论与前期调查结果，提出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图3-4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-29</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表3-29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2.</w:t>
      </w:r>
      <w:r w:rsidRPr="00BF4EC4">
        <w:rPr>
          <w:rFonts w:ascii="Times New Roman" w:hAnsi="Times New Roman" w:hint="default"/>
          <w:color w:val="000000"/>
          <w:kern w:val="2"/>
          <w:sz w:val="24"/>
          <w:szCs w:val="24"/>
        </w:rPr>
        <w:t>学习模型的初步设计</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图3-5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）以三层学习为进阶参照组织五环</w:t>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表3-30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（三）培育模型在学科课堂与科创项目两域的实施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图3-6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图3-6</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以目标为参照，将知识、实践与评价联系起来，并在每个要素中同时呈现学生行动与教师支持。表3-31</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表3-31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目标维度从课程标准与单元内容出发，依次明确任务目标、表现要求及相应证据。表3-32</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表3-32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-32</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3-7），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图3-7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图3-7</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在图3-7</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所示整体关系基础上，表3-33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表3-33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表3-33</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过程维度把教师活动与学生实践联系起来，依据证据反馈推动学习深化（图3-8），将五环学习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图3-8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图3-8</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表3-34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将图3-8</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多元评价围绕学习目标收集和解释证据，综合运用学生自评、同伴互评与教师评价，考察知识理解、关系建构、迁移运用及共同任务中的合作与调节。表3-35</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表3-35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从高阶能力培育看，比较图文差异与补充物件特征涉及分析，依据主旨判断细节的适切性涉及评价，重新组织物件、故事与情感则为观察创造表现提供了依据。图3-9</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图3-9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图3-9</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版本中的童年叙事。版本之间的差异呈现了表达内容的扩展，也使表3-31</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图3-10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的学习过程，与图3-8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及表3-34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表3-36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表3-37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图3-11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图3-12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表3-38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图3-13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图3-14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表3-39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表3-40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图3-15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图3-16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图3-17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图3-17</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保留同伴提问、学生回应、意见采纳及终稿变化，与图3-16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的版本记录相互参照，可追踪学生如何在交流后修正理解。评价重点是学生能否说明取舍理由、使表达更有依据，而非采纳意见的数量。表3-41</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表3-41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表3-42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图3-18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图3-19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互评表将核心观点、支持依据、建议与理由及语言表现分别列出，并要求在原文标示或补充建议。表中记录说明同伴参与了诊断；互评是否有效，还要看下一稿是否回应所指出的问题。图3-18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与图3-19</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以目标为参照，将知识、方案、实践与评价相互联系，并在五个要素中同时明确学生行动和教师支持。表3-43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表3-43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表3-44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表3-45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表3-45</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图3-21</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通过实践表征联系学习深度、学生行动与教师调节。方案草图、数据记录、原型或试行结果，使设计中的理解与困难能够被共同讨论；反馈后的修订及再次验证，又为教师评估支持是否适切提供依据。表3-46</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表3-46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-47</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表3-47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图3-22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图3-22</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图3-23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图3-23</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模拟听证会组织方案质询。同伴提出再利用用途需要具体，教师提示明确缩短淋浴的时间；学生在修改清单中补入浇花用途、占比说明和时间建议。图3-24</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图3-24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表3-48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表3-48</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图3-25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3-22</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图3-24</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评价上，机械臂案例的图书归架任务单留有另一小组的路径草图及约束说明（图3-25右侧），为考察新情境中的方法运用提供了更具体的材料，可用于分析学生是否关注到新的空间约束。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图3-26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图3-26</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图3-27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图3-27</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日的记录将多障碍物干扰作为调试问题，记载了时序振动、算法预测及调试显示等调整，并报告了修改前后的部分结果。表3-49</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表3-49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图3-28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表3-49</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分。该分配提示评价需同时关注设计依据、技术实现及验证改进，但权重属于工具设计，不是学生实际得分。表3-50</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表3-50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表3-51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表3-51</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（四）嵌入实践过程的评价与多源证据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23"/>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24"/>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，因此课堂中的评价以形成性反馈为主，分数主要用于研究层面的前后比较。在思维层次判断上，评价指标与研究设计中的表2-1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表3-52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（五）前后测比较与模型迭代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表3-53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表3-54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表3-55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表3-56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表3-57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表3-58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表3-59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表3-60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表3-61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表3-62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表3-63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表3-64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表3-65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表3-66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表3-67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 xml:space="preserve">）。</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表3-68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 xml:space="preserve">）。各学科人数不均衡，本次主要分析教师整体变化，不据此推断各学科具有同等成效。</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表3-69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表3-71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表3-73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表3-74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表3-75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表3-76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图3-29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侧重说明两域共用的教与学运行方式，总模型进一步呈现其与育人目标、发展参照、实践设计及评价证据的关系。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图3-30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四、研究成果与实践成效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3-49</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，七个维度均显著提高（表3-54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至表3-63</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份（见表3-36</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项次（表4-2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四个维度的变化幅度和含义不同（表3-69</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至表3-74</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47AAE78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唤醒家庭的力量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50-51.</w:t>
      </w:r>
    </w:p>
    <w:p w14:paraId="02800B6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陈添</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认识你的领导力：以可见的学习重塑教育变革</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48-49.</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哈蒂 J. 可见的学习：对800多项关于学业成就的元分析的综合报告[M]. 彭正梅, 邓莉, 高原, 等译. 北京: 教育科学出版社, 2015.</w:t>
      </w:r>
    </w:p>
    <w:p w14:paraId="5E9F98D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何光友</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可见的学习视角下的项目化设计</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44-45.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[8]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15396A5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李茂森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祝蕾蕾</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中小学课堂教学反馈的现实困境与改进路径：基于哈蒂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2022, 42(20): 77-84.</w:t>
      </w:r>
    </w:p>
    <w:p w14:paraId="56B1BD8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林心悦</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卓越教师的三个形象与十个心智框架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46-47.</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5119389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w:t>
      </w:r>
      <w:r w:rsidRPr="00BF4EC4">
        <w:rPr>
          <w:rFonts w:ascii="Times New Roman" w:eastAsia="楷体" w:hAnsi="Times New Roman" w:cs="Times New Roman"/>
          <w:kern w:val="0"/>
          <w:sz w:val="24"/>
        </w:rPr>
        <w:t>10</w:t>
      </w:r>
      <w:r w:rsidRPr="00BF4EC4">
        <w:rPr>
          <w:rFonts w:ascii="Times New Roman" w:eastAsia="楷体" w:hAnsi="Times New Roman" w:cs="Times New Roman"/>
          <w:kern w:val="0"/>
          <w:sz w:val="24"/>
        </w:rPr>
        <w:t>个心智框架：《可见的学习》与《学记》的比较</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湖南师范大学教育科学学报</w:t>
      </w:r>
      <w:r w:rsidRPr="00BF4EC4">
        <w:rPr>
          <w:rFonts w:ascii="Times New Roman" w:eastAsia="楷体" w:hAnsi="Times New Roman" w:cs="Times New Roman"/>
          <w:kern w:val="0"/>
          <w:sz w:val="24"/>
        </w:rPr>
        <w:t>, 2022, 21(5): 23-31.</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066EE2B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邱惠芬</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视域下初中化学学科实践学习分析框架的建构</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化学教学</w:t>
      </w:r>
      <w:r w:rsidRPr="00BF4EC4">
        <w:rPr>
          <w:rFonts w:ascii="Times New Roman" w:eastAsia="楷体" w:hAnsi="Times New Roman" w:cs="Times New Roman"/>
          <w:kern w:val="0"/>
          <w:sz w:val="24"/>
        </w:rPr>
        <w:t>, 2024(2): 27-33.</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585706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，探索学生高阶能力培养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54-55.</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70532A1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w:t>
      </w:r>
      <w:r w:rsidRPr="00BF4EC4">
        <w:rPr>
          <w:rFonts w:ascii="Times New Roman" w:eastAsia="楷体" w:hAnsi="Times New Roman" w:cs="Times New Roman"/>
          <w:kern w:val="0"/>
          <w:sz w:val="24"/>
        </w:rPr>
        <w:t>石修银</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理论的语文教学设计、过程及评价</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课程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教材</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教法</w:t>
      </w:r>
      <w:r w:rsidRPr="00BF4EC4">
        <w:rPr>
          <w:rFonts w:ascii="Times New Roman" w:eastAsia="楷体" w:hAnsi="Times New Roman" w:cs="Times New Roman"/>
          <w:kern w:val="0"/>
          <w:sz w:val="24"/>
        </w:rPr>
        <w:t>, 2021, 41(8): 83-89.</w:t>
      </w:r>
    </w:p>
    <w:p w14:paraId="4181ABF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w:t>
      </w:r>
      <w:r w:rsidRPr="00BF4EC4">
        <w:rPr>
          <w:rFonts w:ascii="Times New Roman" w:eastAsia="楷体" w:hAnsi="Times New Roman" w:cs="Times New Roman"/>
          <w:kern w:val="0"/>
          <w:sz w:val="24"/>
        </w:rPr>
        <w:t>温英贝</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有效反馈的艺术</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38-39.</w:t>
      </w:r>
    </w:p>
    <w:p w14:paraId="26AFCC4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可见的学习：未完成的故事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基础教育</w:t>
      </w:r>
      <w:r w:rsidRPr="00BF4EC4">
        <w:rPr>
          <w:rFonts w:ascii="Times New Roman" w:eastAsia="楷体" w:hAnsi="Times New Roman" w:cs="Times New Roman"/>
          <w:kern w:val="0"/>
          <w:sz w:val="24"/>
        </w:rPr>
        <w:t>, 2015, 12(5): 107-112.</w:t>
      </w:r>
    </w:p>
    <w:p w14:paraId="413C58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可见的学习的全球迁移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32-33.</w:t>
      </w:r>
    </w:p>
    <w:p w14:paraId="43113E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迈向更有效的反馈：哈蒂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的模式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开放教育研究</w:t>
      </w:r>
      <w:r w:rsidRPr="00BF4EC4">
        <w:rPr>
          <w:rFonts w:ascii="Times New Roman" w:eastAsia="楷体" w:hAnsi="Times New Roman" w:cs="Times New Roman"/>
          <w:kern w:val="0"/>
          <w:sz w:val="24"/>
        </w:rPr>
        <w:t>, 2021, 27(4): 27-40.</w:t>
      </w:r>
    </w:p>
    <w:p w14:paraId="0794AC8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学习科学证明了什么：哈蒂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2025, 45(8): 39-50.</w:t>
      </w:r>
    </w:p>
    <w:p w14:paraId="6DAB4A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教育知识的全球迁移与重构：以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比较教育研究</w:t>
      </w:r>
      <w:r w:rsidRPr="00BF4EC4">
        <w:rPr>
          <w:rFonts w:ascii="Times New Roman" w:eastAsia="楷体" w:hAnsi="Times New Roman" w:cs="Times New Roman"/>
          <w:kern w:val="0"/>
          <w:sz w:val="24"/>
        </w:rPr>
        <w:t>, 2026, 48(3): 92-101.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31DD13D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[38] </w:t>
      </w:r>
      <w:r w:rsidRPr="00BF4EC4">
        <w:rPr>
          <w:rFonts w:ascii="Times New Roman" w:eastAsia="楷体" w:hAnsi="Times New Roman" w:cs="Times New Roman"/>
          <w:kern w:val="0"/>
          <w:sz w:val="24"/>
        </w:rPr>
        <w:t>张诗琪</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学习的九个基本原则</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34-35.</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BERGERON L, ROGERS L. Teaching the Theory of Knowledge course in IB World Schools[R]. La Crosse: University of Wisconsin-La Crosse, 2015.</w:t>
      </w:r>
    </w:p>
    <w:p w14:paraId="391D7D6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BERGERON P J, RIVARD L. How to engage in pseudoscience with real data: A criticism of John Hattie's arguments in Visible Learning from the perspective of a statistician[J]. McGill Journal of Education, 2017, 52(1): 237-246.</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BOUCKAERT M. The assessment of students' creative and critical thinking skills in higher education across OECD countries: A review of policies and related practices[R]. Paris: OECD Publishing, 2023. DOI:10.1787/35dbd439-en.</w:t>
      </w:r>
    </w:p>
    <w:p w14:paraId="059795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BROWN C, GREANY T. The evidence-informed school system in England: Where should school leaders be focusing their </w:t>
      </w:r>
      <w:proofErr w:type="gramStart"/>
      <w:r w:rsidRPr="00BF4EC4">
        <w:rPr>
          <w:rFonts w:ascii="Times New Roman" w:eastAsia="楷体" w:hAnsi="Times New Roman" w:cs="Times New Roman"/>
          <w:kern w:val="0"/>
          <w:sz w:val="24"/>
        </w:rPr>
        <w:t>efforts?[</w:t>
      </w:r>
      <w:proofErr w:type="gramEnd"/>
      <w:r w:rsidRPr="00BF4EC4">
        <w:rPr>
          <w:rFonts w:ascii="Times New Roman" w:eastAsia="楷体" w:hAnsi="Times New Roman" w:cs="Times New Roman"/>
          <w:kern w:val="0"/>
          <w:sz w:val="24"/>
        </w:rPr>
        <w:t>J]. Leadership and Policy in Schools, 2018, 17(1): 115-137. DOI:10.1080/15700763.2016.1270330.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COHEN J. Statistical power analysis for the behavioral sciences[M]. 2nd ed. Hillsdale: Lawrence Erlbaum Associates, 1988.</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6BCFEDF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DE JONG T, LAZONDER A W, CHINN C A, et al. Let's talk evidence – The case for combining inquiry-based and direct instruction[J]. Educational Research Review, 2023, 39: 100536.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DURLAK J A, WEISSBERG R P, DYMNICKI A B, et al. The impact of enhancing students' social and emotional learning: A meta-analysis of school-based universal interventions[J]. Child Development, 2011, 82(1): 405-432.</w:t>
      </w:r>
    </w:p>
    <w:p w14:paraId="0E8FBB4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EACOTT S. Ranting, raving and complaining: Reflections on working against orthodoxy[J]. International Journal of Leadership in Education, 2019, 22(6): 774-782.</w:t>
      </w:r>
    </w:p>
    <w:p w14:paraId="3B0F903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EDOVALD T, NEVILL C. Working out what works: The case of the Education Endowment Foundation in England[J]. ECNU Review of Education, 2021, 4(1): 46-64.</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GLASS G V. Primary, secondary, and meta-analysis of research[J]. Educational Researcher, 1976, 5(10): 3-8.</w:t>
      </w:r>
    </w:p>
    <w:p w14:paraId="0CE236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GOLOVCHIN M A. What kind of teacher does the 'school of the future' </w:t>
      </w:r>
      <w:r w:rsidRPr="00BF4EC4">
        <w:rPr>
          <w:rFonts w:ascii="Times New Roman" w:eastAsia="楷体" w:hAnsi="Times New Roman" w:cs="Times New Roman"/>
          <w:kern w:val="0"/>
          <w:sz w:val="24"/>
        </w:rPr>
        <w:lastRenderedPageBreak/>
        <w:t>need? Possibility of using John Hattie's approach in Russian education[J]. Economic and Social Changes: Facts, Trends, Forecast, 2019, 12(5): 229-242.</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GÜNGÖR F, ALTUNBAŞAK İ, AYDIN A T, et al. A second-order meta-analysis on the effects of cooperative learning on students' academic achievement, higher-order thinking, and affective behaviors[J]. Current Psychology, 2026, 45: 552. DOI:10.1007/s12144-025-08943-0.</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HATTIE J. The applicability of Visible Learning to higher education[J]. Scholarship of Teaching and Learning in Psychology, 2015, 1(1): 79-91.</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HATTIE J, TIMPERLEY H. The power of feedback[J]. Review of Educational Research, 2007, 77(1): 81-112.</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HEDGES L V, OLKIN I. Statistical methods for meta-analysis[M]. Orlando: Academic Press, 1985.</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[70]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6A6EDA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KELLY P, BECK A, HOFBAUER S. Comparing school leaders' experiences of research use in England, Scotland and Germany[J]. Review of Education, 2025, 13(1): e70058. DOI:10.1002/rev3.70058.</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KNUDSEN H. John Hattie: I'm a statistician, I'm not a theoretician[J]. Nordic Journal of Studies in Educational Policy, 2017, 3(3): 253-261.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[74] KRAFT M A. The effect-size benchmark that matters most: Education interventions often fail[J]. Educational Researcher, 2023, 52(3): 183-187. DOI:10.3102/0013189X231155154.</w:t>
      </w:r>
    </w:p>
    <w:p w14:paraId="6F1CB27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[75]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[77]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3098C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LIU J, MBOWE A E, TAHRI D, et al. Meta-analysis on the influence of AI agents on K-12 student cognitive performance[J]. Computers in Human Behavior Reports, 2026, 21: 100973. </w:t>
      </w:r>
      <w:proofErr w:type="gramStart"/>
      <w:r w:rsidRPr="00BF4EC4">
        <w:rPr>
          <w:rFonts w:ascii="Times New Roman" w:eastAsia="楷体" w:hAnsi="Times New Roman" w:cs="Times New Roman"/>
          <w:kern w:val="0"/>
          <w:sz w:val="24"/>
        </w:rPr>
        <w:t>DOI:10.1016/j.chbr</w:t>
      </w:r>
      <w:proofErr w:type="gramEnd"/>
      <w:r w:rsidRPr="00BF4EC4">
        <w:rPr>
          <w:rFonts w:ascii="Times New Roman" w:eastAsia="楷体" w:hAnsi="Times New Roman" w:cs="Times New Roman"/>
          <w:kern w:val="0"/>
          <w:sz w:val="24"/>
        </w:rPr>
        <w:t>.2026.100973.</w:t>
      </w:r>
    </w:p>
    <w:p w14:paraId="6F74AB8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[79] MCDONNELL L M, WEATHERFORD M S. Evidence use and the Common Core State Standards movement: From problem definition to policy adoption[J]. American Journal of Education, 2013, 120(1): 1-25. DOI:10.1086/673163.</w:t>
      </w:r>
    </w:p>
    <w:p w14:paraId="69E60B9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[80] NIELSEN K, KLITMØLLER J. Blind spots in visible learning: A critique of John Hattie as an educational theorist[J]. Nordic Psychology, 2021.</w:t>
      </w:r>
    </w:p>
    <w:p w14:paraId="3957E27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[81] NORDAHL T. Visible Learning </w:t>
      </w:r>
      <w:proofErr w:type="spellStart"/>
      <w:r w:rsidRPr="00BF4EC4">
        <w:rPr>
          <w:rFonts w:ascii="Times New Roman" w:eastAsia="楷体" w:hAnsi="Times New Roman" w:cs="Times New Roman"/>
          <w:kern w:val="0"/>
          <w:sz w:val="24"/>
        </w:rPr>
        <w:t>som</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grunnlag</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evidens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forbedringsarbeid</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i</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utdanningssystemet</w:t>
      </w:r>
      <w:proofErr w:type="spellEnd"/>
      <w:r w:rsidRPr="00BF4EC4">
        <w:rPr>
          <w:rFonts w:ascii="Times New Roman" w:eastAsia="楷体" w:hAnsi="Times New Roman" w:cs="Times New Roman"/>
          <w:kern w:val="0"/>
          <w:sz w:val="24"/>
        </w:rPr>
        <w:t>[J]. Paideia, 2015(9): 61-69.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[82]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[83]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7469A7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[84] QVORTRUP L. </w:t>
      </w:r>
      <w:proofErr w:type="spellStart"/>
      <w:r w:rsidRPr="00BF4EC4">
        <w:rPr>
          <w:rFonts w:ascii="Times New Roman" w:eastAsia="楷体" w:hAnsi="Times New Roman" w:cs="Times New Roman"/>
          <w:kern w:val="0"/>
          <w:sz w:val="24"/>
        </w:rPr>
        <w:t>Baggrund</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diskussioner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af</w:t>
      </w:r>
      <w:proofErr w:type="spellEnd"/>
      <w:r w:rsidRPr="00BF4EC4">
        <w:rPr>
          <w:rFonts w:ascii="Times New Roman" w:eastAsia="楷体" w:hAnsi="Times New Roman" w:cs="Times New Roman"/>
          <w:kern w:val="0"/>
          <w:sz w:val="24"/>
        </w:rPr>
        <w:t xml:space="preserve"> Visible Learning med </w:t>
      </w:r>
      <w:proofErr w:type="spellStart"/>
      <w:r w:rsidRPr="00BF4EC4">
        <w:rPr>
          <w:rFonts w:ascii="Times New Roman" w:eastAsia="楷体" w:hAnsi="Times New Roman" w:cs="Times New Roman"/>
          <w:kern w:val="0"/>
          <w:sz w:val="24"/>
        </w:rPr>
        <w:t>særligt</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henblik</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på</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vidensbegrebet</w:t>
      </w:r>
      <w:proofErr w:type="spellEnd"/>
      <w:r w:rsidRPr="00BF4EC4">
        <w:rPr>
          <w:rFonts w:ascii="Times New Roman" w:eastAsia="楷体" w:hAnsi="Times New Roman" w:cs="Times New Roman"/>
          <w:kern w:val="0"/>
          <w:sz w:val="24"/>
        </w:rPr>
        <w:t>[J]. Paideia, 2015(9): 22-33.</w:t>
      </w:r>
    </w:p>
    <w:p w14:paraId="14504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[85] RICKINSON M, WALSH L, GLEESON J, et al. Using research well in educational practice[M]//RÉVAI N. Who cares about using education research in policy and practice? Strengthening research engagement. Paris: OECD Publishing, 2022: 182-199. DOI:10.1787/d7ff793d-en.</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[86] RUNCO M A, MAMMADOV S, SUI D, et al. Second-order meta-analysis of the creativity research[J/OL]. Creativity Research Journal, 2026. DOI:10.1080/10400419.2026.2644245.</w:t>
      </w:r>
    </w:p>
    <w:p w14:paraId="10563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[87] SNOOK I, O'NEILL J, CLARK J, et al. Invisible learnings? A commentary on John Hattie's book: Visible learning: A synthesis of over 800 meta-analyses relating to achievement[J]. New Zealand Journal of Educational Studies, 2009, 44(1): 93-106.</w:t>
      </w:r>
    </w:p>
    <w:p w14:paraId="55E64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[88] STEINER-KHAMSI G, MARTENS K, YDESEN C. Governance by numbers 2.0: Policy brokerage as an instrument of global governance in the era of information overload[J]. Comparative Education, 2024, 60(4): 537-554.</w:t>
      </w:r>
    </w:p>
    <w:p w14:paraId="7D53A9A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[89] TERHART E. Has John Hattie really found the holy grail of research on teaching? An extended review of Visible Learning[J]. Journal of Curriculum Studies, 2011, 43(3): 425-438.</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[90] ÜNAL E, KAYA M, UZUN A M, et al. A second-order meta-analysis on the effects of artificial intelligence applications on student outcomes[J]. Journal of Educational Computing Research, 2026, 64(5): 1360-1389. DOI:10.1177/07356331261424767.</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[91]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13A7D74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[92]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[93]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[94]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[95]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0">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2">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24">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2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3F877C8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4BC088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343237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0586D14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14:paraId="2016A2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1F67B3D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686A77F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578A63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7">
    <w:p w14:paraId="73134FB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46E6D4C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(2023-09-01)[2026-10-19]. https://edu.sh.gov.cn/xxgk2_zdgz_jcjy_01/20230901/d22c1043024d4d0e9d32b85fd3392186.html.</w:t>
      </w:r>
    </w:p>
  </w:footnote>
  <w:footnote w:id="39">
    <w:p w14:paraId="207DF5A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1B46620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762ACC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62E4F8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6">
    <w:p w14:paraId="696CF6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7">
    <w:p w14:paraId="14463E3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65CCBE7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9">
    <w:p w14:paraId="7AB374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518874B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1">
    <w:p w14:paraId="7AF1744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哈蒂 J. 可见的学习：对800多项关于学业成就的元分析的综合报告[M]. 彭正梅, 邓莉, 高原, 等译. 北京: 教育科学出版社, 2015.</w:t>
      </w:r>
    </w:p>
  </w:footnote>
  <w:footnote w:id="53">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4">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55">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56">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KRAFT M A. The effect-size benchmark that matters most: Education interventions often fail[J]. Educational Researcher, 2023, 52(3): 183-187. DOI:10.3102/0013189X231155154.</w:t>
      </w:r>
    </w:p>
  </w:footnote>
  <w:footnote w:id="57">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GLASS G V. Primary, secondary, and meta-analysis of research[J]. Educational Researcher, 1976, 5(10): 3-8.</w:t>
      </w:r>
    </w:p>
  </w:footnote>
  <w:footnote w:id="58">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59">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60">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61">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62">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63">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64">
    <w:p w14:paraId="248BECA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65">
    <w:p w14:paraId="2702F1E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6">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7">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68">
    <w:p w14:paraId="44FAF4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9">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70">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71">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72">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73">
    <w:p w14:paraId="30412E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74">
    <w:p w14:paraId="4F9E33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75">
    <w:p w14:paraId="03327E2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76">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7">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8">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9">
    <w:p w14:paraId="560327E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80">
    <w:p w14:paraId="521EFE3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81">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82">
    <w:p w14:paraId="1CA09DB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NORDAHL T. Visible Learning som grunnlag for evidens og forbedringsarbeid i utdanningssystemet[J]. Paideia, 2015(9): 61-69.</w:t>
      </w:r>
    </w:p>
  </w:footnote>
  <w:footnote w:id="83">
    <w:p w14:paraId="58CE80F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84">
    <w:p w14:paraId="053672A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85">
    <w:p w14:paraId="14D837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86">
    <w:p w14:paraId="45D109C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87">
    <w:p w14:paraId="7F71286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8">
    <w:p w14:paraId="3328D79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9">
    <w:p w14:paraId="40E33DE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90">
    <w:p w14:paraId="68C9B6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91">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92">
    <w:p w14:paraId="07E90A7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93">
    <w:p w14:paraId="1242268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94">
    <w:p w14:paraId="0ECDF47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95">
    <w:p w14:paraId="0E27919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96">
    <w:p w14:paraId="1F09B92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7">
    <w:p w14:paraId="53100E5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8">
    <w:p w14:paraId="2A01FF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9">
    <w:p w14:paraId="29B02BA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QVORTRUP L. Baggrund for og diskussioner af Visible Learning med særligt henblik på lærings- og vidensbegrebet[J]. Paideia, 2015(9): 22-33.</w:t>
      </w:r>
    </w:p>
  </w:footnote>
  <w:footnote w:id="100">
    <w:p w14:paraId="6687443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101">
    <w:p w14:paraId="6E51B63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102">
    <w:p w14:paraId="4FC774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3">
    <w:p w14:paraId="31CA78C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104">
    <w:p w14:paraId="3F8740F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105">
    <w:p w14:paraId="42D3BD5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106">
    <w:p w14:paraId="501461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7">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8">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9">
    <w:p w14:paraId="73EDF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10">
    <w:p w14:paraId="0BC6F9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11">
    <w:p w14:paraId="6B56C52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r>
        <w:rPr>
          <w:rFonts w:ascii="Times New Roman" w:eastAsia="宋体" w:hAnsi="Times New Roman" w:cs="Times New Roman"/>
          <w:sz w:val="18"/>
          <w:szCs w:val="18"/>
        </w:rPr>
        <w:t>；</w:t>
      </w:r>
      <w:r>
        <w:rPr>
          <w:rFonts w:ascii="Times New Roman" w:eastAsia="宋体" w:hAnsi="Times New Roman" w:cs="Times New Roman"/>
          <w:sz w:val="18"/>
          <w:szCs w:val="18"/>
        </w:rPr>
        <w:t>WECKER C, VOGEL F, HETMANEK A. Visionär und imposant – aber auch belastbar? Eine Kritik der Methodik von Hatties Visible Learning[J]. Zeitschrift für Erziehungswissenschaft, 2016, 20: 21-40. DOI:10.1007/s11618-016-0696-0.</w:t>
      </w:r>
    </w:p>
  </w:footnote>
  <w:footnote w:id="112">
    <w:p w14:paraId="7AD7571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r>
        <w:rPr>
          <w:rFonts w:ascii="Times New Roman" w:eastAsia="宋体" w:hAnsi="Times New Roman" w:cs="Times New Roman"/>
          <w:sz w:val="18"/>
          <w:szCs w:val="18"/>
        </w:rPr>
        <w:t>；</w:t>
      </w:r>
      <w:r>
        <w:rPr>
          <w:rFonts w:ascii="Times New Roman" w:eastAsia="宋体" w:hAnsi="Times New Roman" w:cs="Times New Roman"/>
          <w:sz w:val="18"/>
          <w:szCs w:val="18"/>
        </w:rPr>
        <w:t>LIU J, MBOWE A E, TAHRI D, et al. Meta-analysis on the influence of AI agents on K-12 student cognitive performance[J]. Computers in Human Behavior Reports, 2026, 21: 100973. DOI:10.1016/j.chbr.2026.100973.</w:t>
      </w:r>
    </w:p>
  </w:footnote>
  <w:footnote w:id="113">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4">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15">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16">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17">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8">
    <w:p w14:paraId="6190E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9">
    <w:p w14:paraId="0E821D0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20">
    <w:p w14:paraId="309F7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21">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22">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23">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24">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