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2EE3A0">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ascii="华文中宋" w:eastAsia="华文中宋"/>
          <w:b/>
          <w:sz w:val="36"/>
          <w:szCs w:val="36"/>
        </w:rPr>
      </w:pPr>
      <w:r>
        <w:rPr>
          <w:rFonts w:hint="eastAsia" w:ascii="华文中宋" w:eastAsia="华文中宋"/>
          <w:b/>
          <w:sz w:val="36"/>
          <w:szCs w:val="36"/>
        </w:rPr>
        <w:t>全国教育科学规划项目论证活页</w:t>
      </w:r>
    </w:p>
    <w:tbl>
      <w:tblPr>
        <w:tblStyle w:val="6"/>
        <w:tblW w:w="1042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80"/>
        <w:gridCol w:w="5145"/>
        <w:gridCol w:w="1125"/>
        <w:gridCol w:w="2295"/>
        <w:gridCol w:w="1078"/>
      </w:tblGrid>
      <w:tr w14:paraId="612C9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423" w:type="dxa"/>
            <w:gridSpan w:val="5"/>
          </w:tcPr>
          <w:p w14:paraId="57F4190C">
            <w:pPr>
              <w:keepNext w:val="0"/>
              <w:keepLines w:val="0"/>
              <w:pageBreakBefore w:val="0"/>
              <w:widowControl w:val="0"/>
              <w:kinsoku/>
              <w:wordWrap/>
              <w:overflowPunct/>
              <w:topLinePunct w:val="0"/>
              <w:autoSpaceDE/>
              <w:autoSpaceDN/>
              <w:bidi w:val="0"/>
              <w:adjustRightInd/>
              <w:snapToGrid/>
              <w:spacing w:line="460" w:lineRule="exact"/>
              <w:jc w:val="center"/>
              <w:textAlignment w:val="auto"/>
              <w:rPr>
                <w:rFonts w:hint="eastAsia" w:ascii="黑体" w:eastAsia="黑体"/>
                <w:sz w:val="30"/>
                <w:szCs w:val="30"/>
              </w:rPr>
            </w:pPr>
            <w:r>
              <w:rPr>
                <w:rFonts w:hint="eastAsia" w:ascii="黑体" w:eastAsia="黑体"/>
                <w:sz w:val="30"/>
                <w:szCs w:val="30"/>
              </w:rPr>
              <w:t>项目名称：地缘政治视角下全球高水平研究型大学改革动向研究</w:t>
            </w:r>
          </w:p>
        </w:tc>
      </w:tr>
      <w:tr w14:paraId="6F204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9" w:hRule="atLeast"/>
          <w:jc w:val="center"/>
        </w:trPr>
        <w:tc>
          <w:tcPr>
            <w:tcW w:w="10423" w:type="dxa"/>
            <w:gridSpan w:val="5"/>
          </w:tcPr>
          <w:p w14:paraId="67502520">
            <w:pPr>
              <w:keepNext w:val="0"/>
              <w:keepLines w:val="0"/>
              <w:pageBreakBefore w:val="0"/>
              <w:widowControl w:val="0"/>
              <w:kinsoku/>
              <w:wordWrap/>
              <w:overflowPunct/>
              <w:topLinePunct w:val="0"/>
              <w:autoSpaceDE/>
              <w:autoSpaceDN/>
              <w:bidi w:val="0"/>
              <w:adjustRightInd/>
              <w:snapToGrid/>
              <w:spacing w:before="63" w:beforeLines="20" w:line="360" w:lineRule="exact"/>
              <w:jc w:val="center"/>
              <w:textAlignment w:val="auto"/>
              <w:rPr>
                <w:rFonts w:hint="eastAsia" w:ascii="黑体" w:eastAsia="黑体"/>
                <w:sz w:val="30"/>
                <w:szCs w:val="30"/>
              </w:rPr>
            </w:pPr>
            <w:r>
              <w:rPr>
                <w:rFonts w:hint="eastAsia" w:ascii="黑体" w:eastAsia="黑体"/>
                <w:sz w:val="30"/>
                <w:szCs w:val="30"/>
              </w:rPr>
              <w:t>预期研究成果</w:t>
            </w:r>
          </w:p>
        </w:tc>
      </w:tr>
      <w:tr w14:paraId="4DFE53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jc w:val="center"/>
        </w:trPr>
        <w:tc>
          <w:tcPr>
            <w:tcW w:w="780" w:type="dxa"/>
            <w:vAlign w:val="center"/>
          </w:tcPr>
          <w:p w14:paraId="0F0FC740">
            <w:pPr>
              <w:keepNext w:val="0"/>
              <w:keepLines w:val="0"/>
              <w:pageBreakBefore w:val="0"/>
              <w:widowControl w:val="0"/>
              <w:kinsoku/>
              <w:wordWrap/>
              <w:overflowPunct/>
              <w:topLinePunct w:val="0"/>
              <w:autoSpaceDE/>
              <w:autoSpaceDN/>
              <w:bidi w:val="0"/>
              <w:adjustRightInd/>
              <w:snapToGrid/>
              <w:jc w:val="center"/>
              <w:textAlignment w:val="auto"/>
              <w:rPr>
                <w:rFonts w:hint="eastAsia" w:ascii="黑体" w:eastAsia="黑体"/>
                <w:bCs/>
                <w:sz w:val="30"/>
                <w:szCs w:val="30"/>
              </w:rPr>
            </w:pPr>
            <w:r>
              <w:rPr>
                <w:rFonts w:hint="eastAsia" w:ascii="宋体"/>
                <w:bCs/>
                <w:szCs w:val="21"/>
              </w:rPr>
              <w:t>序号</w:t>
            </w:r>
          </w:p>
        </w:tc>
        <w:tc>
          <w:tcPr>
            <w:tcW w:w="5145" w:type="dxa"/>
            <w:vAlign w:val="center"/>
          </w:tcPr>
          <w:p w14:paraId="05CED34C">
            <w:pPr>
              <w:jc w:val="center"/>
              <w:rPr>
                <w:rFonts w:hint="eastAsia" w:ascii="黑体" w:eastAsia="黑体"/>
                <w:bCs/>
                <w:sz w:val="30"/>
                <w:szCs w:val="30"/>
              </w:rPr>
            </w:pPr>
            <w:r>
              <w:rPr>
                <w:rFonts w:hint="eastAsia" w:ascii="宋体"/>
                <w:bCs/>
                <w:szCs w:val="21"/>
              </w:rPr>
              <w:t>成果名称</w:t>
            </w:r>
          </w:p>
        </w:tc>
        <w:tc>
          <w:tcPr>
            <w:tcW w:w="1125" w:type="dxa"/>
            <w:vAlign w:val="center"/>
          </w:tcPr>
          <w:p w14:paraId="5EEB9695">
            <w:pPr>
              <w:keepNext w:val="0"/>
              <w:keepLines w:val="0"/>
              <w:pageBreakBefore w:val="0"/>
              <w:widowControl w:val="0"/>
              <w:kinsoku/>
              <w:wordWrap/>
              <w:overflowPunct/>
              <w:topLinePunct w:val="0"/>
              <w:autoSpaceDE/>
              <w:autoSpaceDN/>
              <w:bidi w:val="0"/>
              <w:adjustRightInd/>
              <w:snapToGrid/>
              <w:jc w:val="center"/>
              <w:textAlignment w:val="auto"/>
              <w:rPr>
                <w:rFonts w:hint="eastAsia" w:ascii="黑体" w:eastAsia="黑体"/>
                <w:bCs/>
                <w:sz w:val="30"/>
                <w:szCs w:val="30"/>
              </w:rPr>
            </w:pPr>
            <w:r>
              <w:rPr>
                <w:rFonts w:hint="eastAsia" w:ascii="宋体"/>
                <w:bCs/>
                <w:szCs w:val="21"/>
              </w:rPr>
              <w:t>成果形式</w:t>
            </w:r>
          </w:p>
        </w:tc>
        <w:tc>
          <w:tcPr>
            <w:tcW w:w="2295" w:type="dxa"/>
            <w:vAlign w:val="center"/>
          </w:tcPr>
          <w:p w14:paraId="5E2045A1">
            <w:pPr>
              <w:jc w:val="center"/>
              <w:rPr>
                <w:rFonts w:hint="eastAsia" w:ascii="黑体" w:eastAsia="黑体"/>
                <w:bCs/>
                <w:sz w:val="30"/>
                <w:szCs w:val="30"/>
              </w:rPr>
            </w:pPr>
            <w:r>
              <w:rPr>
                <w:rFonts w:hint="eastAsia" w:ascii="宋体"/>
                <w:bCs/>
                <w:szCs w:val="21"/>
              </w:rPr>
              <w:t>成果等级</w:t>
            </w:r>
          </w:p>
        </w:tc>
        <w:tc>
          <w:tcPr>
            <w:tcW w:w="1078" w:type="dxa"/>
            <w:vAlign w:val="center"/>
          </w:tcPr>
          <w:p w14:paraId="05A8D232">
            <w:pPr>
              <w:jc w:val="center"/>
              <w:rPr>
                <w:rFonts w:hint="eastAsia" w:ascii="黑体" w:eastAsia="黑体"/>
                <w:bCs/>
                <w:sz w:val="30"/>
                <w:szCs w:val="30"/>
              </w:rPr>
            </w:pPr>
            <w:r>
              <w:rPr>
                <w:rFonts w:hint="eastAsia" w:ascii="宋体"/>
                <w:bCs/>
                <w:szCs w:val="21"/>
              </w:rPr>
              <w:t>完成时间</w:t>
            </w:r>
          </w:p>
        </w:tc>
      </w:tr>
      <w:tr w14:paraId="459CC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780" w:type="dxa"/>
            <w:vAlign w:val="center"/>
          </w:tcPr>
          <w:p w14:paraId="026FF49F">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黑体" w:eastAsia="黑体"/>
                <w:bCs/>
                <w:sz w:val="30"/>
                <w:szCs w:val="30"/>
              </w:rPr>
            </w:pPr>
            <w:r>
              <w:t>1</w:t>
            </w:r>
          </w:p>
        </w:tc>
        <w:tc>
          <w:tcPr>
            <w:tcW w:w="5145" w:type="dxa"/>
            <w:vAlign w:val="center"/>
          </w:tcPr>
          <w:p w14:paraId="6E8FA01A">
            <w:pPr>
              <w:keepNext w:val="0"/>
              <w:keepLines w:val="0"/>
              <w:pageBreakBefore w:val="0"/>
              <w:widowControl w:val="0"/>
              <w:kinsoku/>
              <w:wordWrap/>
              <w:overflowPunct/>
              <w:topLinePunct w:val="0"/>
              <w:autoSpaceDE/>
              <w:autoSpaceDN/>
              <w:bidi w:val="0"/>
              <w:adjustRightInd/>
              <w:snapToGrid/>
              <w:spacing w:line="240" w:lineRule="exact"/>
              <w:jc w:val="center"/>
              <w:textAlignment w:val="auto"/>
            </w:pPr>
            <w:r>
              <w:t>全球高水平研究型大学的改革趋势、驱动机制</w:t>
            </w:r>
          </w:p>
          <w:p w14:paraId="0CEDD74D">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黑体" w:eastAsia="黑体"/>
                <w:bCs/>
                <w:sz w:val="30"/>
                <w:szCs w:val="30"/>
              </w:rPr>
            </w:pPr>
            <w:r>
              <w:t>与效果评估</w:t>
            </w:r>
          </w:p>
        </w:tc>
        <w:tc>
          <w:tcPr>
            <w:tcW w:w="1125" w:type="dxa"/>
            <w:vAlign w:val="center"/>
          </w:tcPr>
          <w:p w14:paraId="372A61F5">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黑体" w:eastAsia="黑体"/>
                <w:bCs/>
                <w:sz w:val="30"/>
                <w:szCs w:val="30"/>
              </w:rPr>
            </w:pPr>
            <w:r>
              <w:t>论文</w:t>
            </w:r>
          </w:p>
        </w:tc>
        <w:tc>
          <w:tcPr>
            <w:tcW w:w="2295" w:type="dxa"/>
            <w:vAlign w:val="center"/>
          </w:tcPr>
          <w:p w14:paraId="16051F00">
            <w:pPr>
              <w:keepNext w:val="0"/>
              <w:keepLines w:val="0"/>
              <w:pageBreakBefore w:val="0"/>
              <w:widowControl w:val="0"/>
              <w:kinsoku/>
              <w:wordWrap/>
              <w:overflowPunct/>
              <w:topLinePunct w:val="0"/>
              <w:autoSpaceDE/>
              <w:autoSpaceDN/>
              <w:bidi w:val="0"/>
              <w:adjustRightInd/>
              <w:snapToGrid/>
              <w:spacing w:line="240" w:lineRule="exact"/>
              <w:jc w:val="center"/>
              <w:textAlignment w:val="auto"/>
            </w:pPr>
            <w:r>
              <w:t>南大CSSCI期刊</w:t>
            </w:r>
          </w:p>
          <w:p w14:paraId="5AEFB00C">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黑体" w:eastAsia="宋体"/>
                <w:bCs/>
                <w:sz w:val="30"/>
                <w:szCs w:val="30"/>
                <w:lang w:eastAsia="zh-CN"/>
              </w:rPr>
            </w:pPr>
            <w:r>
              <w:rPr>
                <w:rFonts w:hint="eastAsia"/>
                <w:lang w:eastAsia="zh-CN"/>
              </w:rPr>
              <w:t>（</w:t>
            </w:r>
            <w:r>
              <w:t>不含扩展版</w:t>
            </w:r>
            <w:r>
              <w:rPr>
                <w:rFonts w:hint="eastAsia"/>
                <w:lang w:eastAsia="zh-CN"/>
              </w:rPr>
              <w:t>）</w:t>
            </w:r>
          </w:p>
        </w:tc>
        <w:tc>
          <w:tcPr>
            <w:tcW w:w="1078" w:type="dxa"/>
            <w:vAlign w:val="center"/>
          </w:tcPr>
          <w:p w14:paraId="7990F720">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黑体" w:eastAsia="黑体"/>
                <w:bCs/>
                <w:sz w:val="30"/>
                <w:szCs w:val="30"/>
              </w:rPr>
            </w:pPr>
            <w:r>
              <w:t>2027-12</w:t>
            </w:r>
          </w:p>
        </w:tc>
      </w:tr>
      <w:tr w14:paraId="391D3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780" w:type="dxa"/>
            <w:vAlign w:val="center"/>
          </w:tcPr>
          <w:p w14:paraId="28172CC0">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黑体" w:eastAsia="黑体"/>
                <w:bCs/>
                <w:sz w:val="30"/>
                <w:szCs w:val="30"/>
              </w:rPr>
            </w:pPr>
            <w:r>
              <w:t>2</w:t>
            </w:r>
          </w:p>
        </w:tc>
        <w:tc>
          <w:tcPr>
            <w:tcW w:w="5145" w:type="dxa"/>
            <w:vAlign w:val="center"/>
          </w:tcPr>
          <w:p w14:paraId="63D3743D">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黑体" w:eastAsia="黑体"/>
                <w:bCs/>
                <w:sz w:val="30"/>
                <w:szCs w:val="30"/>
              </w:rPr>
            </w:pPr>
            <w:r>
              <w:t>全球高水平研究型大学改革的现实图景与模式比较</w:t>
            </w:r>
          </w:p>
        </w:tc>
        <w:tc>
          <w:tcPr>
            <w:tcW w:w="1125" w:type="dxa"/>
            <w:vAlign w:val="center"/>
          </w:tcPr>
          <w:p w14:paraId="172BEA04">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黑体" w:eastAsia="黑体"/>
                <w:bCs/>
                <w:sz w:val="30"/>
                <w:szCs w:val="30"/>
              </w:rPr>
            </w:pPr>
            <w:r>
              <w:t>论文</w:t>
            </w:r>
          </w:p>
        </w:tc>
        <w:tc>
          <w:tcPr>
            <w:tcW w:w="2295" w:type="dxa"/>
            <w:vAlign w:val="center"/>
          </w:tcPr>
          <w:p w14:paraId="4DEDB496">
            <w:pPr>
              <w:keepNext w:val="0"/>
              <w:keepLines w:val="0"/>
              <w:pageBreakBefore w:val="0"/>
              <w:widowControl w:val="0"/>
              <w:kinsoku/>
              <w:wordWrap/>
              <w:overflowPunct/>
              <w:topLinePunct w:val="0"/>
              <w:autoSpaceDE/>
              <w:autoSpaceDN/>
              <w:bidi w:val="0"/>
              <w:adjustRightInd/>
              <w:snapToGrid/>
              <w:spacing w:line="240" w:lineRule="exact"/>
              <w:jc w:val="center"/>
              <w:textAlignment w:val="auto"/>
            </w:pPr>
            <w:r>
              <w:t>南大CSSCI期刊</w:t>
            </w:r>
          </w:p>
          <w:p w14:paraId="77270953">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黑体" w:eastAsia="宋体"/>
                <w:bCs/>
                <w:sz w:val="30"/>
                <w:szCs w:val="30"/>
                <w:lang w:eastAsia="zh-CN"/>
              </w:rPr>
            </w:pPr>
            <w:r>
              <w:rPr>
                <w:rFonts w:hint="eastAsia"/>
                <w:lang w:eastAsia="zh-CN"/>
              </w:rPr>
              <w:t>（</w:t>
            </w:r>
            <w:r>
              <w:t>不含扩展版</w:t>
            </w:r>
            <w:r>
              <w:rPr>
                <w:rFonts w:hint="eastAsia"/>
                <w:lang w:eastAsia="zh-CN"/>
              </w:rPr>
              <w:t>）</w:t>
            </w:r>
          </w:p>
        </w:tc>
        <w:tc>
          <w:tcPr>
            <w:tcW w:w="1078" w:type="dxa"/>
            <w:vAlign w:val="center"/>
          </w:tcPr>
          <w:p w14:paraId="056537A5">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黑体" w:eastAsia="黑体"/>
                <w:bCs/>
                <w:sz w:val="30"/>
                <w:szCs w:val="30"/>
              </w:rPr>
            </w:pPr>
            <w:r>
              <w:t>2028-12</w:t>
            </w:r>
          </w:p>
        </w:tc>
      </w:tr>
      <w:tr w14:paraId="0C4D3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780" w:type="dxa"/>
            <w:vAlign w:val="center"/>
          </w:tcPr>
          <w:p w14:paraId="76E323B0">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黑体" w:eastAsia="黑体"/>
                <w:bCs/>
                <w:sz w:val="30"/>
                <w:szCs w:val="30"/>
              </w:rPr>
            </w:pPr>
            <w:r>
              <w:t>3</w:t>
            </w:r>
          </w:p>
        </w:tc>
        <w:tc>
          <w:tcPr>
            <w:tcW w:w="5145" w:type="dxa"/>
            <w:vAlign w:val="center"/>
          </w:tcPr>
          <w:p w14:paraId="3FD67350">
            <w:pPr>
              <w:keepNext w:val="0"/>
              <w:keepLines w:val="0"/>
              <w:pageBreakBefore w:val="0"/>
              <w:widowControl w:val="0"/>
              <w:kinsoku/>
              <w:wordWrap/>
              <w:overflowPunct/>
              <w:topLinePunct w:val="0"/>
              <w:autoSpaceDE/>
              <w:autoSpaceDN/>
              <w:bidi w:val="0"/>
              <w:adjustRightInd/>
              <w:snapToGrid/>
              <w:spacing w:line="240" w:lineRule="exact"/>
              <w:jc w:val="center"/>
              <w:textAlignment w:val="auto"/>
            </w:pPr>
            <w:r>
              <w:t>科技自立自强背景下中国研究型大学的</w:t>
            </w:r>
          </w:p>
          <w:p w14:paraId="70EB4BD5">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黑体" w:eastAsia="黑体"/>
                <w:bCs/>
                <w:sz w:val="30"/>
                <w:szCs w:val="30"/>
              </w:rPr>
            </w:pPr>
            <w:r>
              <w:t>战略调适与路径选择</w:t>
            </w:r>
          </w:p>
        </w:tc>
        <w:tc>
          <w:tcPr>
            <w:tcW w:w="1125" w:type="dxa"/>
            <w:vAlign w:val="center"/>
          </w:tcPr>
          <w:p w14:paraId="6C8437F2">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黑体" w:eastAsia="黑体"/>
                <w:bCs/>
                <w:sz w:val="30"/>
                <w:szCs w:val="30"/>
              </w:rPr>
            </w:pPr>
            <w:r>
              <w:t>论文</w:t>
            </w:r>
          </w:p>
        </w:tc>
        <w:tc>
          <w:tcPr>
            <w:tcW w:w="2295" w:type="dxa"/>
            <w:vAlign w:val="center"/>
          </w:tcPr>
          <w:p w14:paraId="117BCA29">
            <w:pPr>
              <w:keepNext w:val="0"/>
              <w:keepLines w:val="0"/>
              <w:pageBreakBefore w:val="0"/>
              <w:widowControl w:val="0"/>
              <w:kinsoku/>
              <w:wordWrap/>
              <w:overflowPunct/>
              <w:topLinePunct w:val="0"/>
              <w:autoSpaceDE/>
              <w:autoSpaceDN/>
              <w:bidi w:val="0"/>
              <w:adjustRightInd/>
              <w:snapToGrid/>
              <w:spacing w:line="240" w:lineRule="exact"/>
              <w:jc w:val="center"/>
              <w:textAlignment w:val="auto"/>
            </w:pPr>
            <w:r>
              <w:t>南大CSSCI期刊</w:t>
            </w:r>
          </w:p>
          <w:p w14:paraId="10B1942C">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黑体" w:eastAsia="宋体"/>
                <w:bCs/>
                <w:sz w:val="30"/>
                <w:szCs w:val="30"/>
                <w:lang w:eastAsia="zh-CN"/>
              </w:rPr>
            </w:pPr>
            <w:r>
              <w:rPr>
                <w:rFonts w:hint="eastAsia"/>
                <w:lang w:eastAsia="zh-CN"/>
              </w:rPr>
              <w:t>（</w:t>
            </w:r>
            <w:r>
              <w:t>不含扩展版</w:t>
            </w:r>
            <w:r>
              <w:rPr>
                <w:rFonts w:hint="eastAsia"/>
                <w:lang w:eastAsia="zh-CN"/>
              </w:rPr>
              <w:t>）</w:t>
            </w:r>
          </w:p>
        </w:tc>
        <w:tc>
          <w:tcPr>
            <w:tcW w:w="1078" w:type="dxa"/>
            <w:vAlign w:val="center"/>
          </w:tcPr>
          <w:p w14:paraId="13402F58">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黑体" w:eastAsia="黑体"/>
                <w:bCs/>
                <w:sz w:val="30"/>
                <w:szCs w:val="30"/>
              </w:rPr>
            </w:pPr>
            <w:r>
              <w:t>2029-12</w:t>
            </w:r>
          </w:p>
        </w:tc>
      </w:tr>
      <w:tr w14:paraId="5DDAD3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780" w:type="dxa"/>
            <w:vAlign w:val="center"/>
          </w:tcPr>
          <w:p w14:paraId="7DFC7E70">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黑体" w:eastAsia="黑体"/>
                <w:bCs/>
                <w:sz w:val="30"/>
                <w:szCs w:val="30"/>
              </w:rPr>
            </w:pPr>
            <w:r>
              <w:t>4</w:t>
            </w:r>
          </w:p>
        </w:tc>
        <w:tc>
          <w:tcPr>
            <w:tcW w:w="5145" w:type="dxa"/>
            <w:vAlign w:val="center"/>
          </w:tcPr>
          <w:p w14:paraId="5B5F8738">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黑体" w:eastAsia="黑体"/>
                <w:bCs/>
                <w:sz w:val="30"/>
                <w:szCs w:val="30"/>
              </w:rPr>
            </w:pPr>
            <w:r>
              <w:t>地缘政治压力下全球高水平研究型大学的战略回应</w:t>
            </w:r>
          </w:p>
        </w:tc>
        <w:tc>
          <w:tcPr>
            <w:tcW w:w="1125" w:type="dxa"/>
            <w:vAlign w:val="center"/>
          </w:tcPr>
          <w:p w14:paraId="35237401">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黑体" w:eastAsia="黑体"/>
                <w:bCs/>
                <w:sz w:val="30"/>
                <w:szCs w:val="30"/>
              </w:rPr>
            </w:pPr>
            <w:r>
              <w:t>咨询报告</w:t>
            </w:r>
          </w:p>
        </w:tc>
        <w:tc>
          <w:tcPr>
            <w:tcW w:w="2295" w:type="dxa"/>
            <w:vAlign w:val="center"/>
          </w:tcPr>
          <w:p w14:paraId="02C0B347">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黑体" w:eastAsia="黑体"/>
                <w:bCs/>
                <w:sz w:val="30"/>
                <w:szCs w:val="30"/>
              </w:rPr>
            </w:pPr>
            <w:r>
              <w:t>被《全国教育科学规划课题成果要报》编发</w:t>
            </w:r>
          </w:p>
        </w:tc>
        <w:tc>
          <w:tcPr>
            <w:tcW w:w="1078" w:type="dxa"/>
            <w:vAlign w:val="center"/>
          </w:tcPr>
          <w:p w14:paraId="23042C37">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黑体" w:eastAsia="黑体"/>
                <w:bCs/>
                <w:sz w:val="30"/>
                <w:szCs w:val="30"/>
              </w:rPr>
            </w:pPr>
            <w:r>
              <w:t>2030-12</w:t>
            </w:r>
          </w:p>
        </w:tc>
      </w:tr>
      <w:tr w14:paraId="73723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9" w:hRule="atLeast"/>
          <w:jc w:val="center"/>
        </w:trPr>
        <w:tc>
          <w:tcPr>
            <w:tcW w:w="780" w:type="dxa"/>
            <w:vAlign w:val="center"/>
          </w:tcPr>
          <w:p w14:paraId="3537A778">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黑体" w:eastAsia="黑体"/>
                <w:bCs/>
                <w:sz w:val="30"/>
                <w:szCs w:val="30"/>
              </w:rPr>
            </w:pPr>
            <w:r>
              <w:t>5</w:t>
            </w:r>
          </w:p>
        </w:tc>
        <w:tc>
          <w:tcPr>
            <w:tcW w:w="5145" w:type="dxa"/>
            <w:vAlign w:val="center"/>
          </w:tcPr>
          <w:p w14:paraId="71960706">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黑体" w:eastAsia="黑体"/>
                <w:bCs/>
                <w:sz w:val="30"/>
                <w:szCs w:val="30"/>
              </w:rPr>
            </w:pPr>
            <w:r>
              <w:t>地缘政治视角下全球高水平研究型大学改革动向研究</w:t>
            </w:r>
          </w:p>
        </w:tc>
        <w:tc>
          <w:tcPr>
            <w:tcW w:w="1125" w:type="dxa"/>
            <w:vAlign w:val="center"/>
          </w:tcPr>
          <w:p w14:paraId="442A6DA1">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黑体" w:eastAsia="黑体"/>
                <w:bCs/>
                <w:sz w:val="30"/>
                <w:szCs w:val="30"/>
              </w:rPr>
            </w:pPr>
            <w:r>
              <w:t>专著</w:t>
            </w:r>
          </w:p>
        </w:tc>
        <w:tc>
          <w:tcPr>
            <w:tcW w:w="2295" w:type="dxa"/>
            <w:vAlign w:val="center"/>
          </w:tcPr>
          <w:p w14:paraId="22C305FB">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黑体" w:eastAsia="黑体"/>
                <w:bCs/>
                <w:sz w:val="30"/>
                <w:szCs w:val="30"/>
              </w:rPr>
            </w:pPr>
          </w:p>
        </w:tc>
        <w:tc>
          <w:tcPr>
            <w:tcW w:w="1078" w:type="dxa"/>
            <w:vAlign w:val="center"/>
          </w:tcPr>
          <w:p w14:paraId="7FAAAC9D">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黑体" w:eastAsia="黑体"/>
                <w:bCs/>
                <w:sz w:val="30"/>
                <w:szCs w:val="30"/>
              </w:rPr>
            </w:pPr>
            <w:r>
              <w:t>2031-12</w:t>
            </w:r>
          </w:p>
        </w:tc>
      </w:tr>
      <w:tr w14:paraId="2B0F8D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423" w:type="dxa"/>
            <w:gridSpan w:val="5"/>
          </w:tcPr>
          <w:p w14:paraId="680D92A9">
            <w:pPr>
              <w:keepNext w:val="0"/>
              <w:keepLines w:val="0"/>
              <w:pageBreakBefore w:val="0"/>
              <w:widowControl w:val="0"/>
              <w:kinsoku/>
              <w:wordWrap/>
              <w:overflowPunct/>
              <w:topLinePunct w:val="0"/>
              <w:autoSpaceDE/>
              <w:autoSpaceDN/>
              <w:bidi w:val="0"/>
              <w:adjustRightInd/>
              <w:snapToGrid/>
              <w:spacing w:line="300" w:lineRule="exact"/>
              <w:ind w:firstLine="422" w:firstLineChars="200"/>
              <w:textAlignment w:val="auto"/>
              <w:rPr>
                <w:rFonts w:ascii="宋体"/>
                <w:b/>
                <w:bCs/>
                <w:sz w:val="21"/>
                <w:szCs w:val="21"/>
              </w:rPr>
            </w:pPr>
            <w:r>
              <w:rPr>
                <w:rFonts w:hint="eastAsia" w:ascii="宋体"/>
                <w:b/>
                <w:bCs/>
                <w:sz w:val="21"/>
                <w:szCs w:val="21"/>
              </w:rPr>
              <w:t>本活页参照以下提纲撰写，</w:t>
            </w:r>
            <w:r>
              <w:rPr>
                <w:rFonts w:hint="eastAsia" w:ascii="宋体"/>
                <w:b/>
                <w:color w:val="000000"/>
                <w:sz w:val="21"/>
                <w:szCs w:val="21"/>
              </w:rPr>
              <w:t>突出目标导向、问题意识、学科视角，要求逻辑清晰，层次分明，内容翔实，排版规范。</w:t>
            </w:r>
            <w:r>
              <w:rPr>
                <w:rFonts w:hint="eastAsia" w:ascii="宋体"/>
                <w:b/>
                <w:bCs/>
                <w:sz w:val="21"/>
                <w:szCs w:val="21"/>
              </w:rPr>
              <w:t>除“研究基础”外，本表与《申请书》表二内容一致，总字数不超过7000字（含图表）。</w:t>
            </w:r>
          </w:p>
          <w:p w14:paraId="54F48911">
            <w:pPr>
              <w:keepNext w:val="0"/>
              <w:keepLines w:val="0"/>
              <w:pageBreakBefore w:val="0"/>
              <w:widowControl w:val="0"/>
              <w:kinsoku/>
              <w:wordWrap/>
              <w:overflowPunct/>
              <w:topLinePunct w:val="0"/>
              <w:autoSpaceDE/>
              <w:autoSpaceDN/>
              <w:bidi w:val="0"/>
              <w:adjustRightInd/>
              <w:snapToGrid/>
              <w:spacing w:line="300" w:lineRule="exact"/>
              <w:ind w:left="1976" w:leftChars="182" w:hanging="1594" w:hangingChars="756"/>
              <w:textAlignment w:val="auto"/>
              <w:rPr>
                <w:rFonts w:ascii="宋体"/>
                <w:b/>
                <w:bCs/>
                <w:color w:val="000000"/>
                <w:sz w:val="21"/>
                <w:szCs w:val="21"/>
              </w:rPr>
            </w:pPr>
            <w:r>
              <w:rPr>
                <w:rFonts w:hint="eastAsia" w:ascii="宋体"/>
                <w:b/>
                <w:bCs/>
                <w:color w:val="000000"/>
                <w:sz w:val="21"/>
                <w:szCs w:val="21"/>
              </w:rPr>
              <w:t>1.</w:t>
            </w:r>
            <w:r>
              <w:rPr>
                <w:rFonts w:ascii="宋体"/>
                <w:b/>
                <w:bCs/>
                <w:color w:val="000000"/>
                <w:sz w:val="21"/>
                <w:szCs w:val="21"/>
              </w:rPr>
              <w:t xml:space="preserve"> </w:t>
            </w:r>
            <w:r>
              <w:rPr>
                <w:rFonts w:hint="eastAsia" w:ascii="宋体"/>
                <w:b/>
                <w:bCs/>
                <w:color w:val="000000"/>
                <w:sz w:val="21"/>
                <w:szCs w:val="21"/>
              </w:rPr>
              <w:t xml:space="preserve">[选题说明]  </w:t>
            </w:r>
            <w:r>
              <w:rPr>
                <w:rFonts w:hint="eastAsia" w:ascii="宋体"/>
                <w:color w:val="000000"/>
                <w:sz w:val="21"/>
                <w:szCs w:val="21"/>
              </w:rPr>
              <w:t>选题所研究的具体问题、研究视角和核心概念（300字以内）。</w:t>
            </w:r>
          </w:p>
          <w:p w14:paraId="085D45C3">
            <w:pPr>
              <w:keepNext w:val="0"/>
              <w:keepLines w:val="0"/>
              <w:pageBreakBefore w:val="0"/>
              <w:widowControl w:val="0"/>
              <w:kinsoku/>
              <w:wordWrap/>
              <w:overflowPunct/>
              <w:topLinePunct w:val="0"/>
              <w:autoSpaceDE/>
              <w:autoSpaceDN/>
              <w:bidi w:val="0"/>
              <w:adjustRightInd/>
              <w:snapToGrid/>
              <w:spacing w:line="300" w:lineRule="exact"/>
              <w:ind w:left="1976" w:leftChars="182" w:hanging="1594" w:hangingChars="756"/>
              <w:textAlignment w:val="auto"/>
              <w:rPr>
                <w:rFonts w:ascii="宋体"/>
                <w:color w:val="000000"/>
                <w:sz w:val="21"/>
                <w:szCs w:val="21"/>
              </w:rPr>
            </w:pPr>
            <w:r>
              <w:rPr>
                <w:rFonts w:hint="eastAsia" w:ascii="宋体"/>
                <w:b/>
                <w:bCs/>
                <w:color w:val="000000"/>
                <w:sz w:val="21"/>
                <w:szCs w:val="21"/>
              </w:rPr>
              <w:t>2. [选</w:t>
            </w:r>
            <w:r>
              <w:rPr>
                <w:rFonts w:hint="eastAsia" w:ascii="宋体"/>
                <w:b/>
                <w:color w:val="000000"/>
                <w:sz w:val="21"/>
                <w:szCs w:val="21"/>
              </w:rPr>
              <w:t>题依据]</w:t>
            </w:r>
            <w:r>
              <w:rPr>
                <w:rFonts w:hint="eastAsia" w:ascii="宋体"/>
                <w:color w:val="000000"/>
                <w:sz w:val="21"/>
                <w:szCs w:val="21"/>
              </w:rPr>
              <w:t xml:space="preserve">  国内外相关研究的学术史梳理及研究进展（略写）；相对于已有研究特别是全国教育科学规划同类项目的独到学术价值和应用价值。</w:t>
            </w:r>
          </w:p>
          <w:p w14:paraId="35BF74D0">
            <w:pPr>
              <w:keepNext w:val="0"/>
              <w:keepLines w:val="0"/>
              <w:pageBreakBefore w:val="0"/>
              <w:widowControl w:val="0"/>
              <w:kinsoku/>
              <w:wordWrap/>
              <w:overflowPunct/>
              <w:topLinePunct w:val="0"/>
              <w:autoSpaceDE/>
              <w:autoSpaceDN/>
              <w:bidi w:val="0"/>
              <w:adjustRightInd/>
              <w:snapToGrid/>
              <w:spacing w:line="300" w:lineRule="exact"/>
              <w:ind w:left="1976" w:leftChars="182" w:hanging="1594" w:hangingChars="756"/>
              <w:textAlignment w:val="auto"/>
              <w:rPr>
                <w:rFonts w:ascii="宋体"/>
                <w:color w:val="000000"/>
                <w:sz w:val="21"/>
                <w:szCs w:val="21"/>
              </w:rPr>
            </w:pPr>
            <w:r>
              <w:rPr>
                <w:rFonts w:hint="eastAsia" w:ascii="宋体"/>
                <w:b/>
                <w:bCs/>
                <w:color w:val="000000"/>
                <w:sz w:val="21"/>
                <w:szCs w:val="21"/>
              </w:rPr>
              <w:t>3. [研究内容]</w:t>
            </w:r>
            <w:r>
              <w:rPr>
                <w:rFonts w:hint="eastAsia" w:ascii="宋体"/>
                <w:color w:val="000000"/>
                <w:sz w:val="21"/>
                <w:szCs w:val="21"/>
              </w:rPr>
              <w:t xml:space="preserve">  项目研究的主要目标、重点难点、整体框架、研究计划及其可行性等。（框架思路要列出提纲或目录）</w:t>
            </w:r>
          </w:p>
          <w:p w14:paraId="201FCFA4">
            <w:pPr>
              <w:keepNext w:val="0"/>
              <w:keepLines w:val="0"/>
              <w:pageBreakBefore w:val="0"/>
              <w:widowControl w:val="0"/>
              <w:kinsoku/>
              <w:wordWrap/>
              <w:overflowPunct/>
              <w:topLinePunct w:val="0"/>
              <w:autoSpaceDE/>
              <w:autoSpaceDN/>
              <w:bidi w:val="0"/>
              <w:adjustRightInd/>
              <w:snapToGrid/>
              <w:spacing w:line="300" w:lineRule="exact"/>
              <w:ind w:left="1976" w:leftChars="182" w:hanging="1594" w:hangingChars="756"/>
              <w:textAlignment w:val="auto"/>
              <w:rPr>
                <w:rFonts w:ascii="宋体"/>
                <w:color w:val="000000"/>
                <w:sz w:val="21"/>
                <w:szCs w:val="21"/>
              </w:rPr>
            </w:pPr>
            <w:r>
              <w:rPr>
                <w:rFonts w:hint="eastAsia" w:ascii="宋体"/>
                <w:b/>
                <w:bCs/>
                <w:color w:val="000000"/>
                <w:sz w:val="21"/>
                <w:szCs w:val="21"/>
              </w:rPr>
              <w:t>4．[创新之处]</w:t>
            </w:r>
            <w:r>
              <w:rPr>
                <w:rFonts w:hint="eastAsia" w:ascii="宋体"/>
                <w:color w:val="000000"/>
                <w:sz w:val="21"/>
                <w:szCs w:val="21"/>
              </w:rPr>
              <w:t xml:space="preserve">  在学术观点、研究方法等方面的特色和创新。</w:t>
            </w:r>
          </w:p>
          <w:p w14:paraId="51050162">
            <w:pPr>
              <w:keepNext w:val="0"/>
              <w:keepLines w:val="0"/>
              <w:pageBreakBefore w:val="0"/>
              <w:widowControl w:val="0"/>
              <w:kinsoku/>
              <w:wordWrap/>
              <w:overflowPunct/>
              <w:topLinePunct w:val="0"/>
              <w:autoSpaceDE/>
              <w:autoSpaceDN/>
              <w:bidi w:val="0"/>
              <w:adjustRightInd/>
              <w:snapToGrid/>
              <w:spacing w:line="300" w:lineRule="exact"/>
              <w:ind w:left="1976" w:leftChars="182" w:hanging="1594" w:hangingChars="756"/>
              <w:textAlignment w:val="auto"/>
              <w:rPr>
                <w:rFonts w:ascii="宋体"/>
                <w:color w:val="000000"/>
                <w:sz w:val="21"/>
                <w:szCs w:val="21"/>
              </w:rPr>
            </w:pPr>
            <w:r>
              <w:rPr>
                <w:rFonts w:hint="eastAsia" w:ascii="宋体"/>
                <w:b/>
                <w:bCs/>
                <w:color w:val="000000"/>
                <w:sz w:val="21"/>
                <w:szCs w:val="21"/>
              </w:rPr>
              <w:t xml:space="preserve">5．[预期成果] </w:t>
            </w:r>
            <w:r>
              <w:rPr>
                <w:rFonts w:hint="eastAsia" w:ascii="宋体"/>
                <w:color w:val="000000"/>
                <w:sz w:val="21"/>
                <w:szCs w:val="21"/>
              </w:rPr>
              <w:t xml:space="preserve"> 成果形式、宣传转化及预期学术价值和社会效益等。（略写）</w:t>
            </w:r>
          </w:p>
          <w:p w14:paraId="33EE64A2">
            <w:pPr>
              <w:keepNext w:val="0"/>
              <w:keepLines w:val="0"/>
              <w:pageBreakBefore w:val="0"/>
              <w:widowControl w:val="0"/>
              <w:kinsoku/>
              <w:wordWrap/>
              <w:overflowPunct/>
              <w:topLinePunct w:val="0"/>
              <w:autoSpaceDE/>
              <w:autoSpaceDN/>
              <w:bidi w:val="0"/>
              <w:adjustRightInd/>
              <w:snapToGrid/>
              <w:spacing w:line="300" w:lineRule="exact"/>
              <w:ind w:left="1976" w:leftChars="182" w:hanging="1594" w:hangingChars="756"/>
              <w:textAlignment w:val="auto"/>
              <w:rPr>
                <w:rFonts w:ascii="宋体"/>
                <w:color w:val="000000"/>
                <w:sz w:val="21"/>
                <w:szCs w:val="21"/>
              </w:rPr>
            </w:pPr>
            <w:r>
              <w:rPr>
                <w:rFonts w:hint="eastAsia" w:ascii="宋体"/>
                <w:b/>
                <w:bCs/>
                <w:color w:val="000000"/>
                <w:sz w:val="21"/>
                <w:szCs w:val="21"/>
              </w:rPr>
              <w:t>6．[</w:t>
            </w:r>
            <w:r>
              <w:rPr>
                <w:rFonts w:ascii="宋体"/>
                <w:b/>
                <w:bCs/>
                <w:color w:val="000000"/>
                <w:sz w:val="21"/>
                <w:szCs w:val="21"/>
              </w:rPr>
              <w:t>研究基础</w:t>
            </w:r>
            <w:r>
              <w:rPr>
                <w:rFonts w:hint="eastAsia" w:ascii="宋体"/>
                <w:b/>
                <w:bCs/>
                <w:color w:val="000000"/>
                <w:sz w:val="21"/>
                <w:szCs w:val="21"/>
              </w:rPr>
              <w:t xml:space="preserve">] </w:t>
            </w:r>
            <w:r>
              <w:rPr>
                <w:rFonts w:hint="eastAsia" w:ascii="宋体"/>
                <w:color w:val="000000"/>
                <w:sz w:val="21"/>
                <w:szCs w:val="21"/>
              </w:rPr>
              <w:t xml:space="preserve"> </w:t>
            </w:r>
            <w:r>
              <w:rPr>
                <w:rFonts w:hint="eastAsia" w:ascii="宋体"/>
                <w:sz w:val="21"/>
                <w:szCs w:val="21"/>
              </w:rPr>
              <w:t>综述前期相关研究的核心观点，不得简单罗列研究成果（300字以内）</w:t>
            </w:r>
          </w:p>
          <w:p w14:paraId="6FCBD364">
            <w:pPr>
              <w:keepNext w:val="0"/>
              <w:keepLines w:val="0"/>
              <w:pageBreakBefore w:val="0"/>
              <w:widowControl w:val="0"/>
              <w:kinsoku/>
              <w:wordWrap/>
              <w:overflowPunct/>
              <w:topLinePunct w:val="0"/>
              <w:autoSpaceDE/>
              <w:autoSpaceDN/>
              <w:bidi w:val="0"/>
              <w:adjustRightInd/>
              <w:snapToGrid/>
              <w:spacing w:line="300" w:lineRule="exact"/>
              <w:ind w:left="1976" w:leftChars="182" w:hanging="1594" w:hangingChars="756"/>
              <w:textAlignment w:val="auto"/>
              <w:rPr>
                <w:rFonts w:hint="eastAsia" w:ascii="宋体"/>
                <w:color w:val="000000"/>
                <w:sz w:val="21"/>
                <w:szCs w:val="21"/>
              </w:rPr>
            </w:pPr>
            <w:r>
              <w:rPr>
                <w:rFonts w:hint="eastAsia" w:ascii="宋体"/>
                <w:b/>
                <w:bCs/>
                <w:color w:val="000000"/>
                <w:sz w:val="21"/>
                <w:szCs w:val="21"/>
              </w:rPr>
              <w:t>7．</w:t>
            </w:r>
            <w:r>
              <w:rPr>
                <w:rFonts w:ascii="宋体"/>
                <w:b/>
                <w:bCs/>
                <w:color w:val="000000"/>
                <w:sz w:val="21"/>
                <w:szCs w:val="21"/>
              </w:rPr>
              <w:t>[</w:t>
            </w:r>
            <w:r>
              <w:rPr>
                <w:rFonts w:hint="eastAsia" w:ascii="宋体"/>
                <w:b/>
                <w:bCs/>
                <w:color w:val="000000"/>
                <w:sz w:val="21"/>
                <w:szCs w:val="21"/>
              </w:rPr>
              <w:t>参考文献</w:t>
            </w:r>
            <w:r>
              <w:rPr>
                <w:rFonts w:ascii="宋体"/>
                <w:b/>
                <w:bCs/>
                <w:color w:val="000000"/>
                <w:sz w:val="21"/>
                <w:szCs w:val="21"/>
              </w:rPr>
              <w:t>] </w:t>
            </w:r>
            <w:r>
              <w:rPr>
                <w:rFonts w:ascii="宋体"/>
                <w:color w:val="000000"/>
                <w:sz w:val="21"/>
                <w:szCs w:val="21"/>
              </w:rPr>
              <w:t> </w:t>
            </w:r>
            <w:r>
              <w:rPr>
                <w:rFonts w:hint="eastAsia" w:ascii="宋体"/>
                <w:b/>
                <w:bCs/>
                <w:color w:val="000000"/>
                <w:sz w:val="21"/>
                <w:szCs w:val="21"/>
              </w:rPr>
              <w:t xml:space="preserve"> </w:t>
            </w:r>
            <w:r>
              <w:rPr>
                <w:rFonts w:hint="eastAsia" w:ascii="宋体"/>
                <w:color w:val="000000"/>
                <w:sz w:val="21"/>
                <w:szCs w:val="21"/>
              </w:rPr>
              <w:t>开展本</w:t>
            </w:r>
            <w:r>
              <w:rPr>
                <w:rFonts w:ascii="宋体"/>
                <w:color w:val="000000"/>
                <w:sz w:val="21"/>
                <w:szCs w:val="21"/>
              </w:rPr>
              <w:t>项目</w:t>
            </w:r>
            <w:r>
              <w:rPr>
                <w:rFonts w:hint="eastAsia" w:ascii="宋体"/>
                <w:color w:val="000000"/>
                <w:sz w:val="21"/>
                <w:szCs w:val="21"/>
              </w:rPr>
              <w:t>研究的主要中外参考文献。（略写）</w:t>
            </w:r>
          </w:p>
          <w:p w14:paraId="070596BB">
            <w:pPr>
              <w:keepNext w:val="0"/>
              <w:keepLines w:val="0"/>
              <w:pageBreakBefore w:val="0"/>
              <w:widowControl w:val="0"/>
              <w:kinsoku/>
              <w:wordWrap/>
              <w:overflowPunct/>
              <w:topLinePunct w:val="0"/>
              <w:autoSpaceDE/>
              <w:autoSpaceDN/>
              <w:bidi w:val="0"/>
              <w:adjustRightInd/>
              <w:snapToGrid/>
              <w:spacing w:before="126" w:beforeLines="40" w:after="126" w:afterLines="40" w:line="380" w:lineRule="exact"/>
              <w:ind w:firstLine="560" w:firstLineChars="200"/>
              <w:textAlignment w:val="auto"/>
              <w:rPr>
                <w:rFonts w:hint="eastAsia" w:ascii="黑体" w:hAnsi="黑体" w:eastAsia="黑体" w:cs="黑体"/>
                <w:sz w:val="28"/>
                <w:szCs w:val="28"/>
              </w:rPr>
            </w:pPr>
            <w:r>
              <w:rPr>
                <w:rFonts w:hint="eastAsia" w:ascii="黑体" w:hAnsi="黑体" w:eastAsia="黑体" w:cs="黑体"/>
                <w:sz w:val="28"/>
                <w:szCs w:val="28"/>
              </w:rPr>
              <w:t>一、选题说明</w:t>
            </w:r>
          </w:p>
          <w:p w14:paraId="68A551DC">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sz w:val="24"/>
              </w:rPr>
            </w:pPr>
            <w:r>
              <w:rPr>
                <w:rFonts w:hint="eastAsia"/>
                <w:sz w:val="24"/>
              </w:rPr>
              <w:t>本研究</w:t>
            </w:r>
            <w:r>
              <w:rPr>
                <w:rFonts w:hint="eastAsia" w:ascii="黑体" w:hAnsi="黑体" w:eastAsia="黑体" w:cs="黑体"/>
                <w:sz w:val="24"/>
              </w:rPr>
              <w:t>参考《指南》重要方向：“</w:t>
            </w:r>
            <w:r>
              <w:rPr>
                <w:rFonts w:eastAsia="黑体"/>
                <w:sz w:val="24"/>
              </w:rPr>
              <w:t>52. 全</w:t>
            </w:r>
            <w:r>
              <w:rPr>
                <w:rFonts w:hint="eastAsia" w:ascii="黑体" w:hAnsi="黑体" w:eastAsia="黑体" w:cs="黑体"/>
                <w:sz w:val="24"/>
              </w:rPr>
              <w:t>球高水平研究型大学改革动向研究”</w:t>
            </w:r>
            <w:r>
              <w:rPr>
                <w:rFonts w:hint="eastAsia"/>
                <w:sz w:val="24"/>
              </w:rPr>
              <w:t>。地缘政治竞争加剧正深刻重塑全球高水平研究型大学原有的开放合作格局</w:t>
            </w:r>
            <w:r>
              <w:rPr>
                <w:rFonts w:hint="eastAsia"/>
                <w:sz w:val="24"/>
                <w:lang w:eastAsia="zh-CN"/>
              </w:rPr>
              <w:t>，</w:t>
            </w:r>
            <w:r>
              <w:rPr>
                <w:rFonts w:hint="eastAsia"/>
                <w:sz w:val="24"/>
              </w:rPr>
              <w:t>各国高校在科研安全管控、战略学科重组与国际合作收窄之间的制度应对日趋分化，</w:t>
            </w:r>
            <w:r>
              <w:rPr>
                <w:rFonts w:hint="eastAsia"/>
                <w:sz w:val="24"/>
                <w:lang w:val="en-US" w:eastAsia="zh-CN"/>
              </w:rPr>
              <w:t>我</w:t>
            </w:r>
            <w:r>
              <w:rPr>
                <w:rFonts w:hint="eastAsia"/>
                <w:sz w:val="24"/>
              </w:rPr>
              <w:t>国一流大学面临发展路径的关键选择。</w:t>
            </w:r>
          </w:p>
          <w:p w14:paraId="0D0AD576">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sz w:val="24"/>
              </w:rPr>
            </w:pPr>
            <w:r>
              <w:rPr>
                <w:rFonts w:hint="eastAsia" w:ascii="黑体" w:hAnsi="黑体" w:eastAsia="黑体" w:cs="黑体"/>
                <w:sz w:val="24"/>
              </w:rPr>
              <w:t>具体问题：</w:t>
            </w:r>
            <w:r>
              <w:rPr>
                <w:rFonts w:hint="eastAsia"/>
                <w:sz w:val="24"/>
              </w:rPr>
              <w:t>地缘政治</w:t>
            </w:r>
            <w:r>
              <w:rPr>
                <w:rFonts w:hint="eastAsia"/>
                <w:sz w:val="24"/>
                <w:highlight w:val="none"/>
              </w:rPr>
              <w:t>变化</w:t>
            </w:r>
            <w:r>
              <w:rPr>
                <w:rFonts w:hint="eastAsia"/>
                <w:sz w:val="24"/>
              </w:rPr>
              <w:t>如何驱动全球高水平研究型大学的制度变革、形成何种改革模式，及中国一流大学如何据此建构自主发展路径？</w:t>
            </w:r>
          </w:p>
          <w:p w14:paraId="6154BBB6">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sz w:val="24"/>
              </w:rPr>
            </w:pPr>
            <w:r>
              <w:rPr>
                <w:rFonts w:hint="eastAsia" w:ascii="黑体" w:hAnsi="黑体" w:eastAsia="黑体" w:cs="黑体"/>
                <w:sz w:val="24"/>
              </w:rPr>
              <w:t>研究视角：</w:t>
            </w:r>
            <w:r>
              <w:rPr>
                <w:rFonts w:hint="eastAsia"/>
                <w:sz w:val="24"/>
              </w:rPr>
              <w:t>构建“</w:t>
            </w:r>
            <w:bookmarkStart w:id="0" w:name="OLE_LINK1"/>
            <w:r>
              <w:rPr>
                <w:rFonts w:hint="eastAsia"/>
                <w:sz w:val="24"/>
              </w:rPr>
              <w:t>国家—市场—学术”</w:t>
            </w:r>
            <w:bookmarkEnd w:id="0"/>
            <w:r>
              <w:rPr>
                <w:rFonts w:hint="eastAsia"/>
                <w:sz w:val="24"/>
              </w:rPr>
              <w:t>三种逻辑博弈宏观框架，整合新制度主义与制度逻辑理论，结合政策文本与科学计量开展跨国比较。</w:t>
            </w:r>
          </w:p>
          <w:p w14:paraId="1780E2DF">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sz w:val="24"/>
              </w:rPr>
            </w:pPr>
            <w:r>
              <w:rPr>
                <w:rFonts w:hint="eastAsia" w:ascii="黑体" w:hAnsi="黑体" w:eastAsia="黑体" w:cs="黑体"/>
                <w:sz w:val="24"/>
              </w:rPr>
              <w:t>核心概念：</w:t>
            </w:r>
            <w:bookmarkStart w:id="1" w:name="OLE_LINK2"/>
            <w:r>
              <w:rPr>
                <w:rFonts w:hint="eastAsia" w:ascii="黑体" w:hAnsi="黑体" w:eastAsia="黑体" w:cs="黑体"/>
                <w:sz w:val="24"/>
                <w:highlight w:val="none"/>
              </w:rPr>
              <w:t>地缘政治变化</w:t>
            </w:r>
            <w:bookmarkEnd w:id="1"/>
            <w:r>
              <w:rPr>
                <w:rFonts w:hint="eastAsia"/>
                <w:sz w:val="24"/>
                <w:highlight w:val="none"/>
              </w:rPr>
              <w:t>指大国博弈加剧、权力格局重组与国际秩序重塑，并由此深刻影响高等教育场域，驱动全球知识合作与大学制度安排的系统性调整</w:t>
            </w:r>
            <w:r>
              <w:rPr>
                <w:rFonts w:hint="eastAsia"/>
                <w:sz w:val="24"/>
                <w:highlight w:val="none"/>
                <w:lang w:eastAsia="zh-CN"/>
              </w:rPr>
              <w:t>；</w:t>
            </w:r>
            <w:r>
              <w:rPr>
                <w:rFonts w:hint="eastAsia" w:ascii="黑体" w:hAnsi="黑体" w:eastAsia="黑体" w:cs="黑体"/>
                <w:sz w:val="24"/>
                <w:highlight w:val="none"/>
              </w:rPr>
              <w:t>高水平研究型大学</w:t>
            </w:r>
            <w:r>
              <w:rPr>
                <w:rFonts w:hint="eastAsia"/>
                <w:sz w:val="24"/>
                <w:highlight w:val="none"/>
              </w:rPr>
              <w:t>指以知识创新与高层次人才培养为核心使命、具有全球影响力的研究型高校</w:t>
            </w:r>
            <w:r>
              <w:rPr>
                <w:rFonts w:hint="eastAsia"/>
                <w:sz w:val="24"/>
                <w:highlight w:val="none"/>
                <w:lang w:eastAsia="zh-CN"/>
              </w:rPr>
              <w:t>；</w:t>
            </w:r>
            <w:r>
              <w:rPr>
                <w:rFonts w:hint="eastAsia" w:ascii="黑体" w:hAnsi="黑体" w:eastAsia="黑体" w:cs="黑体"/>
                <w:sz w:val="24"/>
                <w:highlight w:val="none"/>
              </w:rPr>
              <w:t>改革动向</w:t>
            </w:r>
            <w:r>
              <w:rPr>
                <w:rFonts w:hint="eastAsia"/>
                <w:sz w:val="24"/>
                <w:highlight w:val="none"/>
              </w:rPr>
              <w:t>指全球高水平研究型大学在知识生产、人才培养、外部关系与治理结构维度上发生的制度变迁。</w:t>
            </w:r>
          </w:p>
          <w:p w14:paraId="2D72B74C">
            <w:pPr>
              <w:keepNext w:val="0"/>
              <w:keepLines w:val="0"/>
              <w:pageBreakBefore w:val="0"/>
              <w:widowControl w:val="0"/>
              <w:kinsoku/>
              <w:wordWrap/>
              <w:overflowPunct/>
              <w:topLinePunct w:val="0"/>
              <w:autoSpaceDE/>
              <w:autoSpaceDN/>
              <w:bidi w:val="0"/>
              <w:adjustRightInd/>
              <w:snapToGrid/>
              <w:spacing w:before="126" w:beforeLines="40" w:after="126" w:afterLines="40" w:line="380" w:lineRule="exact"/>
              <w:ind w:firstLine="560" w:firstLineChars="200"/>
              <w:textAlignment w:val="auto"/>
              <w:rPr>
                <w:rFonts w:hint="eastAsia" w:ascii="黑体" w:hAnsi="黑体" w:eastAsia="黑体" w:cs="黑体"/>
                <w:sz w:val="28"/>
                <w:szCs w:val="28"/>
              </w:rPr>
            </w:pPr>
            <w:r>
              <w:rPr>
                <w:rFonts w:hint="eastAsia" w:ascii="黑体" w:hAnsi="黑体" w:eastAsia="黑体" w:cs="黑体"/>
                <w:sz w:val="28"/>
                <w:szCs w:val="28"/>
              </w:rPr>
              <w:t>二、选题依据</w:t>
            </w:r>
          </w:p>
          <w:p w14:paraId="5E69C001">
            <w:pPr>
              <w:keepNext w:val="0"/>
              <w:keepLines w:val="0"/>
              <w:pageBreakBefore w:val="0"/>
              <w:widowControl w:val="0"/>
              <w:kinsoku/>
              <w:wordWrap/>
              <w:overflowPunct/>
              <w:topLinePunct w:val="0"/>
              <w:autoSpaceDE/>
              <w:autoSpaceDN/>
              <w:bidi w:val="0"/>
              <w:adjustRightInd/>
              <w:snapToGrid/>
              <w:spacing w:before="32" w:beforeLines="10" w:after="32" w:afterLines="10" w:line="360" w:lineRule="exact"/>
              <w:ind w:firstLine="480" w:firstLineChars="200"/>
              <w:textAlignment w:val="auto"/>
              <w:rPr>
                <w:rFonts w:hint="eastAsia" w:ascii="黑体" w:hAnsi="黑体" w:eastAsia="黑体" w:cs="黑体"/>
                <w:sz w:val="24"/>
                <w:szCs w:val="24"/>
              </w:rPr>
            </w:pPr>
            <w:r>
              <w:rPr>
                <w:rFonts w:hint="eastAsia" w:ascii="黑体" w:hAnsi="黑体" w:eastAsia="黑体" w:cs="黑体"/>
                <w:sz w:val="24"/>
                <w:szCs w:val="24"/>
              </w:rPr>
              <w:t>（一）国内外相关研究的学术史梳理及研究进展</w:t>
            </w:r>
          </w:p>
          <w:p w14:paraId="42DE8B38">
            <w:pPr>
              <w:keepNext w:val="0"/>
              <w:keepLines w:val="0"/>
              <w:pageBreakBefore w:val="0"/>
              <w:widowControl w:val="0"/>
              <w:kinsoku/>
              <w:wordWrap/>
              <w:overflowPunct/>
              <w:topLinePunct w:val="0"/>
              <w:autoSpaceDE/>
              <w:autoSpaceDN/>
              <w:bidi w:val="0"/>
              <w:adjustRightInd/>
              <w:snapToGrid/>
              <w:spacing w:before="62" w:beforeLines="20" w:line="360" w:lineRule="exact"/>
              <w:ind w:firstLine="482" w:firstLineChars="200"/>
              <w:textAlignment w:val="auto"/>
              <w:rPr>
                <w:rFonts w:eastAsia="黑体"/>
                <w:sz w:val="24"/>
              </w:rPr>
            </w:pPr>
            <w:r>
              <w:rPr>
                <w:rFonts w:eastAsia="黑体"/>
                <w:b/>
                <w:bCs/>
                <w:sz w:val="24"/>
              </w:rPr>
              <w:t xml:space="preserve">1. </w:t>
            </w:r>
            <w:r>
              <w:rPr>
                <w:rFonts w:eastAsia="黑体"/>
                <w:sz w:val="24"/>
              </w:rPr>
              <w:t>全球高水平研究型大学改革研究</w:t>
            </w:r>
          </w:p>
          <w:p w14:paraId="7B19009D">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sz w:val="24"/>
              </w:rPr>
            </w:pPr>
            <w:r>
              <w:rPr>
                <w:rFonts w:hint="eastAsia"/>
                <w:sz w:val="24"/>
              </w:rPr>
              <w:t>自19世纪初洪堡大学将“研究”确立为核心职能，研究型大学历经知识生产模式转型</w:t>
            </w:r>
            <w:r>
              <w:rPr>
                <w:sz w:val="24"/>
              </w:rPr>
              <w:t>（Gibbons et al.</w:t>
            </w:r>
            <w:r>
              <w:rPr>
                <w:rFonts w:hint="eastAsia"/>
                <w:sz w:val="24"/>
                <w:lang w:eastAsia="zh-CN"/>
              </w:rPr>
              <w:t>，</w:t>
            </w:r>
            <w:r>
              <w:rPr>
                <w:sz w:val="24"/>
              </w:rPr>
              <w:t>1994）与创业型大学兴起（Clark，1998）</w:t>
            </w:r>
            <w:r>
              <w:rPr>
                <w:rFonts w:hint="eastAsia"/>
                <w:sz w:val="24"/>
                <w:lang w:val="en-US" w:eastAsia="zh-CN"/>
              </w:rPr>
              <w:t>等变革进程，其改革趋势主要体现在</w:t>
            </w:r>
            <w:r>
              <w:rPr>
                <w:sz w:val="24"/>
              </w:rPr>
              <w:t>：</w:t>
            </w:r>
            <w:r>
              <w:rPr>
                <w:rFonts w:ascii="黑体" w:hAnsi="黑体" w:eastAsia="黑体" w:cs="黑体"/>
                <w:sz w:val="24"/>
              </w:rPr>
              <w:t>人才培养方面</w:t>
            </w:r>
            <w:r>
              <w:rPr>
                <w:sz w:val="24"/>
              </w:rPr>
              <w:t>，由知识传授转向创新能力培养，强调跨学科素养、创新精神与国家战略需求的衔接（Altbach &amp; Salmi，2011），</w:t>
            </w:r>
            <w:r>
              <w:rPr>
                <w:rFonts w:hint="eastAsia"/>
                <w:sz w:val="24"/>
                <w:lang w:val="en-US" w:eastAsia="zh-CN"/>
              </w:rPr>
              <w:t>关注重点</w:t>
            </w:r>
            <w:r>
              <w:rPr>
                <w:sz w:val="24"/>
                <w:highlight w:val="none"/>
              </w:rPr>
              <w:t>从国际排名</w:t>
            </w:r>
            <w:r>
              <w:rPr>
                <w:rFonts w:hint="eastAsia"/>
                <w:sz w:val="24"/>
                <w:highlight w:val="none"/>
                <w:lang w:val="en-US" w:eastAsia="zh-CN"/>
              </w:rPr>
              <w:t>与</w:t>
            </w:r>
            <w:r>
              <w:rPr>
                <w:sz w:val="24"/>
                <w:highlight w:val="none"/>
              </w:rPr>
              <w:t>资源竞争，转向全球合作质量、科研风险治理、可持续发展使命</w:t>
            </w:r>
            <w:r>
              <w:rPr>
                <w:rFonts w:hint="eastAsia"/>
                <w:sz w:val="24"/>
                <w:highlight w:val="none"/>
                <w:lang w:val="en-US" w:eastAsia="zh-CN"/>
              </w:rPr>
              <w:t>及</w:t>
            </w:r>
            <w:r>
              <w:rPr>
                <w:sz w:val="24"/>
                <w:highlight w:val="none"/>
              </w:rPr>
              <w:t>学生能力培养的综合平衡</w:t>
            </w:r>
            <w:r>
              <w:rPr>
                <w:rFonts w:hint="eastAsia"/>
                <w:sz w:val="24"/>
                <w:highlight w:val="none"/>
                <w:lang w:eastAsia="zh-CN"/>
              </w:rPr>
              <w:t>（Technical University of Munich, 2026; The University of Tokyo, 2024）</w:t>
            </w:r>
            <w:r>
              <w:rPr>
                <w:rFonts w:hint="eastAsia"/>
                <w:sz w:val="24"/>
              </w:rPr>
              <w:t>。</w:t>
            </w:r>
            <w:r>
              <w:rPr>
                <w:rFonts w:ascii="黑体" w:hAnsi="黑体" w:eastAsia="黑体" w:cs="黑体"/>
                <w:sz w:val="24"/>
              </w:rPr>
              <w:t>科研组织方面</w:t>
            </w:r>
            <w:r>
              <w:rPr>
                <w:sz w:val="24"/>
              </w:rPr>
              <w:t>，突破传统学科边界，知识生产从学科中心模式转向问题导向及政产学研互动（Etzkowitz</w:t>
            </w:r>
            <w:r>
              <w:rPr>
                <w:rFonts w:hint="eastAsia"/>
                <w:sz w:val="24"/>
                <w:lang w:val="en-US" w:eastAsia="zh-CN"/>
              </w:rPr>
              <w:t xml:space="preserve"> </w:t>
            </w:r>
            <w:r>
              <w:rPr>
                <w:sz w:val="24"/>
              </w:rPr>
              <w:t>&amp; Leydesdorff，2000</w:t>
            </w:r>
            <w:r>
              <w:rPr>
                <w:rFonts w:hint="eastAsia"/>
                <w:sz w:val="24"/>
                <w:lang w:eastAsia="zh-CN"/>
              </w:rPr>
              <w:t>；</w:t>
            </w:r>
            <w:r>
              <w:rPr>
                <w:sz w:val="24"/>
              </w:rPr>
              <w:t>Gibbons et al.，1994），科技成果转化与服务国家创新体系日益受到重视（李鹏虎，2025）。</w:t>
            </w:r>
            <w:r>
              <w:rPr>
                <w:rFonts w:ascii="黑体" w:hAnsi="黑体" w:eastAsia="黑体" w:cs="黑体"/>
                <w:sz w:val="24"/>
              </w:rPr>
              <w:t>治理体系方面</w:t>
            </w:r>
            <w:r>
              <w:rPr>
                <w:sz w:val="24"/>
              </w:rPr>
              <w:t>，从科层治理</w:t>
            </w:r>
            <w:r>
              <w:rPr>
                <w:rFonts w:hint="eastAsia"/>
                <w:sz w:val="24"/>
                <w:lang w:val="en-US" w:eastAsia="zh-CN"/>
              </w:rPr>
              <w:t>转型向灵活开放、战略导向的治理转型，治理</w:t>
            </w:r>
            <w:r>
              <w:rPr>
                <w:sz w:val="24"/>
              </w:rPr>
              <w:t>优化资源配置与组织适应能力（Clark，1998）</w:t>
            </w:r>
            <w:r>
              <w:rPr>
                <w:rFonts w:hint="eastAsia"/>
                <w:sz w:val="24"/>
                <w:lang w:eastAsia="zh-CN"/>
              </w:rPr>
              <w:t>。</w:t>
            </w:r>
            <w:r>
              <w:rPr>
                <w:rFonts w:hint="eastAsia" w:ascii="黑体" w:hAnsi="黑体" w:eastAsia="黑体" w:cs="黑体"/>
                <w:sz w:val="24"/>
                <w:lang w:val="en-US" w:eastAsia="zh-CN"/>
              </w:rPr>
              <w:t>评价制度方面，</w:t>
            </w:r>
            <w:r>
              <w:rPr>
                <w:sz w:val="24"/>
              </w:rPr>
              <w:t>突破单一论文计量体系，</w:t>
            </w:r>
            <w:r>
              <w:rPr>
                <w:rFonts w:hint="eastAsia"/>
                <w:sz w:val="24"/>
                <w:lang w:val="en-US" w:eastAsia="zh-CN"/>
              </w:rPr>
              <w:t>构建</w:t>
            </w:r>
            <w:r>
              <w:rPr>
                <w:sz w:val="24"/>
              </w:rPr>
              <w:t>社会服务、团队协作及知识转化</w:t>
            </w:r>
            <w:r>
              <w:rPr>
                <w:rFonts w:hint="eastAsia"/>
                <w:sz w:val="24"/>
                <w:lang w:val="en-US" w:eastAsia="zh-CN"/>
              </w:rPr>
              <w:t>的</w:t>
            </w:r>
            <w:r>
              <w:rPr>
                <w:sz w:val="24"/>
              </w:rPr>
              <w:t>多元评价（</w:t>
            </w:r>
            <w:r>
              <w:rPr>
                <w:sz w:val="24"/>
                <w:highlight w:val="none"/>
              </w:rPr>
              <w:t>谢维和，202</w:t>
            </w:r>
            <w:r>
              <w:rPr>
                <w:rFonts w:hint="eastAsia"/>
                <w:sz w:val="24"/>
                <w:highlight w:val="none"/>
              </w:rPr>
              <w:t>3</w:t>
            </w:r>
            <w:r>
              <w:rPr>
                <w:sz w:val="24"/>
              </w:rPr>
              <w:t>）。</w:t>
            </w:r>
          </w:p>
          <w:p w14:paraId="2643132E">
            <w:pPr>
              <w:keepNext w:val="0"/>
              <w:keepLines w:val="0"/>
              <w:pageBreakBefore w:val="0"/>
              <w:widowControl w:val="0"/>
              <w:numPr>
                <w:ilvl w:val="0"/>
                <w:numId w:val="1"/>
              </w:numPr>
              <w:kinsoku/>
              <w:wordWrap/>
              <w:overflowPunct/>
              <w:topLinePunct w:val="0"/>
              <w:autoSpaceDE/>
              <w:autoSpaceDN/>
              <w:bidi w:val="0"/>
              <w:adjustRightInd/>
              <w:snapToGrid/>
              <w:spacing w:line="360" w:lineRule="exact"/>
              <w:ind w:firstLine="480" w:firstLineChars="200"/>
              <w:textAlignment w:val="auto"/>
              <w:rPr>
                <w:rFonts w:eastAsia="黑体"/>
                <w:sz w:val="24"/>
              </w:rPr>
            </w:pPr>
            <w:r>
              <w:rPr>
                <w:rFonts w:eastAsia="黑体"/>
                <w:sz w:val="24"/>
              </w:rPr>
              <w:t>全球高等教育发展环境变迁研究</w:t>
            </w:r>
          </w:p>
          <w:p w14:paraId="7C9195D5">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sz w:val="24"/>
              </w:rPr>
            </w:pPr>
            <w:r>
              <w:rPr>
                <w:sz w:val="24"/>
              </w:rPr>
              <w:t>伴随全球化深入，高等教育国际化被视为提升竞争力的核心路径（Altbach &amp; Knight，2007；Knight，2004）。然而，近</w:t>
            </w:r>
            <w:r>
              <w:rPr>
                <w:rFonts w:hint="eastAsia"/>
                <w:sz w:val="24"/>
              </w:rPr>
              <w:t>些</w:t>
            </w:r>
            <w:r>
              <w:rPr>
                <w:sz w:val="24"/>
              </w:rPr>
              <w:t>年逆全球化、民族主义抬头与国际竞争加剧，显著改变了外部环境（杨启光，2025），科技安全、国家利益与战略竞争逐渐主导高等教育国际化议程（黄福涛，2025）</w:t>
            </w:r>
            <w:r>
              <w:rPr>
                <w:rFonts w:hint="eastAsia"/>
                <w:sz w:val="24"/>
                <w:highlight w:val="none"/>
              </w:rPr>
              <w:t>。</w:t>
            </w:r>
            <w:r>
              <w:rPr>
                <w:sz w:val="24"/>
                <w:highlight w:val="none"/>
              </w:rPr>
              <w:t>美国《CHIPS and Science Act》、NSPM-33及欧盟研究安全政策进一步表明，关键技术竞争、研究安全审查与战略自主正在成为高等教育国际合作的重要制度约束（Council of the European Union, 2024; The White House, 2021, 2022）。</w:t>
            </w:r>
            <w:r>
              <w:rPr>
                <w:sz w:val="24"/>
              </w:rPr>
              <w:t>同时，全球知识生产体系正经历重构：西方长期主导</w:t>
            </w:r>
            <w:r>
              <w:rPr>
                <w:rFonts w:hint="eastAsia" w:ascii="宋体" w:hAnsi="宋体" w:cs="宋体"/>
                <w:sz w:val="24"/>
              </w:rPr>
              <w:t>的“中心—边缘”格局受到挑战，以中国为代表的新兴国家及“全球东方”“全球南方”科研产出比重持续上升，知识权力多</w:t>
            </w:r>
            <w:r>
              <w:rPr>
                <w:sz w:val="24"/>
              </w:rPr>
              <w:t>极化趋势显现（文雯，2025）。在此背景下，</w:t>
            </w:r>
            <w:r>
              <w:rPr>
                <w:rFonts w:ascii="黑体" w:hAnsi="黑体" w:eastAsia="黑体" w:cs="黑体"/>
                <w:sz w:val="24"/>
              </w:rPr>
              <w:t>高等教育国际化由规模扩张转向质量提升，由资源获取转向战略自主，由单向流动转向多元合作</w:t>
            </w:r>
            <w:r>
              <w:rPr>
                <w:sz w:val="24"/>
              </w:rPr>
              <w:t>（De Wit，2024）。</w:t>
            </w:r>
          </w:p>
          <w:p w14:paraId="6B7824D1">
            <w:pPr>
              <w:keepNext w:val="0"/>
              <w:keepLines w:val="0"/>
              <w:pageBreakBefore w:val="0"/>
              <w:widowControl w:val="0"/>
              <w:numPr>
                <w:ilvl w:val="0"/>
                <w:numId w:val="1"/>
              </w:numPr>
              <w:kinsoku/>
              <w:wordWrap/>
              <w:overflowPunct/>
              <w:topLinePunct w:val="0"/>
              <w:autoSpaceDE/>
              <w:autoSpaceDN/>
              <w:bidi w:val="0"/>
              <w:adjustRightInd/>
              <w:snapToGrid/>
              <w:spacing w:line="360" w:lineRule="exact"/>
              <w:ind w:firstLine="480" w:firstLineChars="200"/>
              <w:textAlignment w:val="auto"/>
              <w:rPr>
                <w:rFonts w:eastAsia="黑体"/>
                <w:sz w:val="24"/>
              </w:rPr>
            </w:pPr>
            <w:r>
              <w:rPr>
                <w:rFonts w:eastAsia="黑体"/>
                <w:sz w:val="24"/>
              </w:rPr>
              <w:t>地缘政治视角下高等教育发展研究</w:t>
            </w:r>
          </w:p>
          <w:p w14:paraId="18457F6C">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sz w:val="24"/>
              </w:rPr>
            </w:pPr>
            <w:r>
              <w:rPr>
                <w:sz w:val="24"/>
              </w:rPr>
              <w:t>地缘政治正成为高等教育领域的新兴议题，将</w:t>
            </w:r>
            <w:r>
              <w:rPr>
                <w:rFonts w:hint="eastAsia"/>
                <w:sz w:val="24"/>
                <w:lang w:val="en-US" w:eastAsia="zh-CN"/>
              </w:rPr>
              <w:t>其</w:t>
            </w:r>
            <w:r>
              <w:rPr>
                <w:sz w:val="24"/>
              </w:rPr>
              <w:t>视为嵌入国家、区域及全球多重空间结构的复杂系统，</w:t>
            </w:r>
            <w:r>
              <w:rPr>
                <w:rFonts w:hint="eastAsia"/>
                <w:sz w:val="24"/>
                <w:lang w:val="en-US" w:eastAsia="zh-CN"/>
              </w:rPr>
              <w:t>以</w:t>
            </w:r>
            <w:r>
              <w:rPr>
                <w:sz w:val="24"/>
              </w:rPr>
              <w:t>知识、人才、资本及制度的跨界流动与重组</w:t>
            </w:r>
            <w:r>
              <w:rPr>
                <w:rFonts w:hint="eastAsia"/>
                <w:sz w:val="24"/>
                <w:lang w:val="en-US" w:eastAsia="zh-CN"/>
              </w:rPr>
              <w:t>实现运行</w:t>
            </w:r>
            <w:r>
              <w:rPr>
                <w:sz w:val="24"/>
              </w:rPr>
              <w:t>（Marginson &amp; Rhoades，2002</w:t>
            </w:r>
            <w:r>
              <w:rPr>
                <w:rFonts w:hint="eastAsia"/>
                <w:sz w:val="24"/>
              </w:rPr>
              <w:t>；邬大光，2026</w:t>
            </w:r>
            <w:r>
              <w:rPr>
                <w:sz w:val="24"/>
              </w:rPr>
              <w:t>），并</w:t>
            </w:r>
            <w:r>
              <w:rPr>
                <w:rFonts w:hint="eastAsia"/>
                <w:sz w:val="24"/>
                <w:lang w:val="en-US" w:eastAsia="zh-CN"/>
              </w:rPr>
              <w:t>深度</w:t>
            </w:r>
            <w:r>
              <w:rPr>
                <w:sz w:val="24"/>
              </w:rPr>
              <w:t>参与全球知识权力体系与国际秩序的重组（刘宝存，20</w:t>
            </w:r>
            <w:r>
              <w:rPr>
                <w:rFonts w:hint="eastAsia"/>
                <w:sz w:val="24"/>
              </w:rPr>
              <w:t>22</w:t>
            </w:r>
            <w:r>
              <w:rPr>
                <w:sz w:val="24"/>
              </w:rPr>
              <w:t>）。高等教育</w:t>
            </w:r>
            <w:r>
              <w:rPr>
                <w:rFonts w:hint="eastAsia"/>
                <w:sz w:val="24"/>
                <w:lang w:val="en-US" w:eastAsia="zh-CN"/>
              </w:rPr>
              <w:t>日益</w:t>
            </w:r>
            <w:r>
              <w:rPr>
                <w:sz w:val="24"/>
              </w:rPr>
              <w:t>成为国家软实力塑造、国际影响力竞争与全球治理参与</w:t>
            </w:r>
            <w:r>
              <w:rPr>
                <w:sz w:val="24"/>
                <w:highlight w:val="none"/>
              </w:rPr>
              <w:t>的重要</w:t>
            </w:r>
            <w:r>
              <w:rPr>
                <w:rFonts w:hint="eastAsia"/>
                <w:sz w:val="24"/>
                <w:highlight w:val="none"/>
                <w:lang w:val="en-US" w:eastAsia="zh-CN"/>
              </w:rPr>
              <w:t>载体</w:t>
            </w:r>
            <w:r>
              <w:rPr>
                <w:sz w:val="24"/>
                <w:highlight w:val="none"/>
              </w:rPr>
              <w:t>，科研合作</w:t>
            </w:r>
            <w:r>
              <w:rPr>
                <w:rFonts w:hint="eastAsia"/>
                <w:sz w:val="24"/>
                <w:highlight w:val="none"/>
                <w:lang w:val="en-US" w:eastAsia="zh-CN"/>
              </w:rPr>
              <w:t>与</w:t>
            </w:r>
            <w:r>
              <w:rPr>
                <w:sz w:val="24"/>
                <w:highlight w:val="none"/>
              </w:rPr>
              <w:t>学生流动</w:t>
            </w:r>
            <w:r>
              <w:rPr>
                <w:rFonts w:hint="eastAsia"/>
                <w:sz w:val="24"/>
                <w:highlight w:val="none"/>
                <w:lang w:val="en-US" w:eastAsia="zh-CN"/>
              </w:rPr>
              <w:t>不再</w:t>
            </w:r>
            <w:r>
              <w:rPr>
                <w:sz w:val="24"/>
                <w:highlight w:val="none"/>
              </w:rPr>
              <w:t>单纯由学术需求</w:t>
            </w:r>
            <w:r>
              <w:rPr>
                <w:rFonts w:hint="eastAsia"/>
                <w:sz w:val="24"/>
                <w:highlight w:val="none"/>
                <w:lang w:val="en-US" w:eastAsia="zh-CN"/>
              </w:rPr>
              <w:t>与</w:t>
            </w:r>
            <w:r>
              <w:rPr>
                <w:sz w:val="24"/>
                <w:highlight w:val="none"/>
              </w:rPr>
              <w:t>市场选择决定，</w:t>
            </w:r>
            <w:r>
              <w:rPr>
                <w:rFonts w:hint="eastAsia"/>
                <w:sz w:val="24"/>
                <w:highlight w:val="none"/>
                <w:lang w:val="en-US" w:eastAsia="zh-CN"/>
              </w:rPr>
              <w:t>愈加</w:t>
            </w:r>
            <w:r>
              <w:rPr>
                <w:sz w:val="24"/>
                <w:highlight w:val="none"/>
              </w:rPr>
              <w:t>受到国际政治关系、研究安全规则</w:t>
            </w:r>
            <w:r>
              <w:rPr>
                <w:rFonts w:hint="eastAsia"/>
                <w:sz w:val="24"/>
                <w:highlight w:val="none"/>
                <w:lang w:val="en-US" w:eastAsia="zh-CN"/>
              </w:rPr>
              <w:t>及</w:t>
            </w:r>
            <w:r>
              <w:rPr>
                <w:sz w:val="24"/>
                <w:highlight w:val="none"/>
              </w:rPr>
              <w:t>高校战略定位的共同</w:t>
            </w:r>
            <w:r>
              <w:rPr>
                <w:rFonts w:hint="eastAsia"/>
                <w:sz w:val="24"/>
                <w:highlight w:val="none"/>
                <w:lang w:val="en-US" w:eastAsia="zh-CN"/>
              </w:rPr>
              <w:t>规制</w:t>
            </w:r>
            <w:r>
              <w:rPr>
                <w:sz w:val="24"/>
                <w:highlight w:val="none"/>
              </w:rPr>
              <w:t>（Moscovitz &amp; Sabzalieva, 2023; The White House, 2022）。地缘政治变化经由政策规制、资源配置、合作边界</w:t>
            </w:r>
            <w:r>
              <w:rPr>
                <w:rFonts w:hint="eastAsia"/>
                <w:sz w:val="24"/>
                <w:highlight w:val="none"/>
                <w:lang w:val="en-US" w:eastAsia="zh-CN"/>
              </w:rPr>
              <w:t>及</w:t>
            </w:r>
            <w:r>
              <w:rPr>
                <w:sz w:val="24"/>
                <w:highlight w:val="none"/>
              </w:rPr>
              <w:t>战略规划等</w:t>
            </w:r>
            <w:r>
              <w:rPr>
                <w:rFonts w:hint="eastAsia"/>
                <w:sz w:val="24"/>
                <w:highlight w:val="none"/>
                <w:lang w:val="en-US" w:eastAsia="zh-CN"/>
              </w:rPr>
              <w:t>中介</w:t>
            </w:r>
            <w:r>
              <w:rPr>
                <w:rFonts w:hint="eastAsia"/>
                <w:sz w:val="24"/>
                <w:highlight w:val="none"/>
                <w:lang w:eastAsia="zh-CN"/>
              </w:rPr>
              <w:t>，</w:t>
            </w:r>
            <w:r>
              <w:rPr>
                <w:rFonts w:hint="eastAsia"/>
                <w:sz w:val="24"/>
                <w:highlight w:val="none"/>
                <w:lang w:val="en-US" w:eastAsia="zh-CN"/>
              </w:rPr>
              <w:t>嵌入</w:t>
            </w:r>
            <w:r>
              <w:rPr>
                <w:sz w:val="24"/>
                <w:highlight w:val="none"/>
              </w:rPr>
              <w:t>大学运行过程</w:t>
            </w:r>
            <w:r>
              <w:rPr>
                <w:rFonts w:hint="eastAsia"/>
                <w:sz w:val="24"/>
                <w:highlight w:val="none"/>
                <w:lang w:eastAsia="zh-CN"/>
              </w:rPr>
              <w:t>。</w:t>
            </w:r>
            <w:r>
              <w:rPr>
                <w:rFonts w:hint="eastAsia"/>
                <w:sz w:val="24"/>
                <w:highlight w:val="none"/>
                <w:lang w:val="en-US" w:eastAsia="zh-CN"/>
              </w:rPr>
              <w:t>相应地，</w:t>
            </w:r>
            <w:r>
              <w:rPr>
                <w:rFonts w:ascii="黑体" w:hAnsi="黑体" w:eastAsia="黑体" w:cs="黑体"/>
                <w:sz w:val="24"/>
              </w:rPr>
              <w:t>学界对国际化的理解由功能主义转向战略性与政治性视角，纳入国家战略竞争与知识权力分配的分析框架</w:t>
            </w:r>
            <w:r>
              <w:rPr>
                <w:sz w:val="24"/>
              </w:rPr>
              <w:t>（</w:t>
            </w:r>
            <w:r>
              <w:rPr>
                <w:rFonts w:hint="eastAsia"/>
                <w:sz w:val="24"/>
              </w:rPr>
              <w:t>别敦荣，2024</w:t>
            </w:r>
            <w:r>
              <w:rPr>
                <w:sz w:val="24"/>
              </w:rPr>
              <w:t>）。</w:t>
            </w:r>
          </w:p>
          <w:p w14:paraId="6811FFB6">
            <w:pPr>
              <w:keepNext w:val="0"/>
              <w:keepLines w:val="0"/>
              <w:pageBreakBefore w:val="0"/>
              <w:widowControl w:val="0"/>
              <w:numPr>
                <w:ilvl w:val="0"/>
                <w:numId w:val="1"/>
              </w:numPr>
              <w:kinsoku/>
              <w:wordWrap/>
              <w:overflowPunct/>
              <w:topLinePunct w:val="0"/>
              <w:autoSpaceDE/>
              <w:autoSpaceDN/>
              <w:bidi w:val="0"/>
              <w:adjustRightInd/>
              <w:snapToGrid/>
              <w:spacing w:line="360" w:lineRule="exact"/>
              <w:ind w:firstLine="480" w:firstLineChars="200"/>
              <w:textAlignment w:val="auto"/>
              <w:rPr>
                <w:rFonts w:eastAsia="黑体"/>
                <w:sz w:val="24"/>
              </w:rPr>
            </w:pPr>
            <w:r>
              <w:rPr>
                <w:rFonts w:eastAsia="黑体"/>
                <w:sz w:val="24"/>
              </w:rPr>
              <w:t>研究述评</w:t>
            </w:r>
          </w:p>
          <w:p w14:paraId="65FF9BC4">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sz w:val="24"/>
              </w:rPr>
            </w:pPr>
            <w:r>
              <w:rPr>
                <w:sz w:val="24"/>
              </w:rPr>
              <w:t>现有研究为理解全球研究型大学改革</w:t>
            </w:r>
            <w:r>
              <w:rPr>
                <w:rFonts w:hint="eastAsia"/>
                <w:sz w:val="24"/>
              </w:rPr>
              <w:t>变迁</w:t>
            </w:r>
            <w:r>
              <w:rPr>
                <w:sz w:val="24"/>
              </w:rPr>
              <w:t>奠定了重要基础，但仍存在以下有待深化的空间</w:t>
            </w:r>
            <w:r>
              <w:rPr>
                <w:rFonts w:hint="eastAsia"/>
                <w:sz w:val="24"/>
              </w:rPr>
              <w:t>：</w:t>
            </w:r>
            <w:r>
              <w:rPr>
                <w:rFonts w:eastAsia="黑体"/>
                <w:b/>
                <w:bCs/>
                <w:sz w:val="24"/>
              </w:rPr>
              <w:t>（1）</w:t>
            </w:r>
            <w:r>
              <w:rPr>
                <w:rFonts w:eastAsia="黑体"/>
                <w:sz w:val="24"/>
              </w:rPr>
              <w:t>大学变革研究多聚焦内部治理与组织调整，对地缘政治等外部结构性因素的关注相对不足；</w:t>
            </w:r>
            <w:r>
              <w:rPr>
                <w:rFonts w:eastAsia="黑体"/>
                <w:b/>
                <w:bCs/>
                <w:sz w:val="24"/>
              </w:rPr>
              <w:t>（2）</w:t>
            </w:r>
            <w:r>
              <w:rPr>
                <w:rFonts w:eastAsia="黑体"/>
                <w:sz w:val="24"/>
              </w:rPr>
              <w:t>地缘政治研究多停留宏观国际化议题，未能充分下沉至大学制度层面的具体变革；</w:t>
            </w:r>
            <w:r>
              <w:rPr>
                <w:rFonts w:eastAsia="黑体"/>
                <w:b/>
                <w:bCs/>
                <w:sz w:val="24"/>
              </w:rPr>
              <w:t>（3）</w:t>
            </w:r>
            <w:r>
              <w:rPr>
                <w:rFonts w:eastAsia="黑体"/>
                <w:sz w:val="24"/>
              </w:rPr>
              <w:t>单视角研究丰富，但将地缘政治</w:t>
            </w:r>
            <w:r>
              <w:rPr>
                <w:rFonts w:hint="eastAsia" w:eastAsia="黑体"/>
                <w:sz w:val="24"/>
                <w:highlight w:val="none"/>
              </w:rPr>
              <w:t>变化</w:t>
            </w:r>
            <w:r>
              <w:rPr>
                <w:rFonts w:eastAsia="黑体"/>
                <w:sz w:val="24"/>
              </w:rPr>
              <w:t>与大学制度变革加以系统整合、考察不同类型高水平研究型大学改革趋向及其内在逻辑的比较研究仍付</w:t>
            </w:r>
            <w:r>
              <w:rPr>
                <w:rFonts w:hint="eastAsia" w:eastAsia="黑体"/>
                <w:sz w:val="24"/>
                <w:lang w:val="en-US" w:eastAsia="zh-CN"/>
              </w:rPr>
              <w:t>诸</w:t>
            </w:r>
            <w:r>
              <w:rPr>
                <w:rFonts w:eastAsia="黑体"/>
                <w:sz w:val="24"/>
              </w:rPr>
              <w:t>阙如</w:t>
            </w:r>
            <w:r>
              <w:rPr>
                <w:sz w:val="24"/>
              </w:rPr>
              <w:t>。</w:t>
            </w:r>
            <w:r>
              <w:rPr>
                <w:sz w:val="24"/>
                <w:highlight w:val="none"/>
              </w:rPr>
              <w:t>为此，本研究从国际政治变化出发，考察外部政治压力如何被大学识别、转译并落实到知识生产、人才培养、外部关系与治理结构之中，</w:t>
            </w:r>
            <w:r>
              <w:rPr>
                <w:sz w:val="24"/>
              </w:rPr>
              <w:t>以期为</w:t>
            </w:r>
            <w:r>
              <w:rPr>
                <w:rFonts w:hint="eastAsia"/>
                <w:sz w:val="24"/>
                <w:lang w:val="en-US" w:eastAsia="zh-CN"/>
              </w:rPr>
              <w:t>我</w:t>
            </w:r>
            <w:r>
              <w:rPr>
                <w:sz w:val="24"/>
              </w:rPr>
              <w:t>国世界一流大学建构服务科技自立自强的自主发展路径提供理论参考与政策借鉴。</w:t>
            </w:r>
          </w:p>
          <w:p w14:paraId="40F24A1F">
            <w:pPr>
              <w:keepNext w:val="0"/>
              <w:keepLines w:val="0"/>
              <w:pageBreakBefore w:val="0"/>
              <w:widowControl w:val="0"/>
              <w:kinsoku/>
              <w:wordWrap/>
              <w:overflowPunct/>
              <w:topLinePunct w:val="0"/>
              <w:autoSpaceDE/>
              <w:autoSpaceDN/>
              <w:bidi w:val="0"/>
              <w:adjustRightInd/>
              <w:snapToGrid/>
              <w:spacing w:before="32" w:beforeLines="10" w:after="32" w:afterLines="10" w:line="360" w:lineRule="exact"/>
              <w:ind w:firstLine="480" w:firstLineChars="200"/>
              <w:textAlignment w:val="auto"/>
              <w:rPr>
                <w:rFonts w:hint="eastAsia" w:ascii="黑体" w:hAnsi="黑体" w:eastAsia="黑体" w:cs="黑体"/>
                <w:sz w:val="24"/>
                <w:szCs w:val="24"/>
              </w:rPr>
            </w:pPr>
            <w:r>
              <w:rPr>
                <w:rFonts w:hint="eastAsia" w:ascii="黑体" w:hAnsi="黑体" w:eastAsia="黑体" w:cs="黑体"/>
                <w:sz w:val="24"/>
                <w:szCs w:val="24"/>
              </w:rPr>
              <w:t>（</w:t>
            </w:r>
            <w:bookmarkStart w:id="2" w:name="OLE_LINK4"/>
            <w:r>
              <w:rPr>
                <w:rFonts w:hint="eastAsia" w:ascii="黑体" w:hAnsi="黑体" w:eastAsia="黑体" w:cs="黑体"/>
                <w:sz w:val="24"/>
                <w:szCs w:val="24"/>
              </w:rPr>
              <w:t>二）学术价值与应用价值</w:t>
            </w:r>
            <w:bookmarkEnd w:id="2"/>
          </w:p>
          <w:p w14:paraId="62846F41">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sz w:val="24"/>
              </w:rPr>
            </w:pPr>
            <w:r>
              <w:rPr>
                <w:sz w:val="24"/>
              </w:rPr>
              <w:t>在2021</w:t>
            </w:r>
            <w:r>
              <w:rPr>
                <w:rFonts w:hint="eastAsia"/>
                <w:sz w:val="24"/>
              </w:rPr>
              <w:t>—</w:t>
            </w:r>
            <w:r>
              <w:rPr>
                <w:sz w:val="24"/>
              </w:rPr>
              <w:t>2025年相关课题中，</w:t>
            </w:r>
            <w:r>
              <w:rPr>
                <w:rFonts w:hint="eastAsia" w:eastAsia="黑体"/>
                <w:sz w:val="24"/>
              </w:rPr>
              <w:t>尚无直接聚焦</w:t>
            </w:r>
            <w:r>
              <w:rPr>
                <w:rFonts w:eastAsia="黑体"/>
                <w:sz w:val="24"/>
              </w:rPr>
              <w:t>地缘政治与高水平研究型大学交叉领域的成果</w:t>
            </w:r>
            <w:r>
              <w:rPr>
                <w:sz w:val="24"/>
              </w:rPr>
              <w:t>：一项</w:t>
            </w:r>
            <w:r>
              <w:rPr>
                <w:rFonts w:hint="eastAsia"/>
                <w:sz w:val="24"/>
              </w:rPr>
              <w:t>“地缘政治风险视域下大学生国家安全意识培育策略研究”</w:t>
            </w:r>
            <w:r>
              <w:rPr>
                <w:sz w:val="24"/>
              </w:rPr>
              <w:t>未触及大学制度层面；另一项</w:t>
            </w:r>
            <w:r>
              <w:rPr>
                <w:rFonts w:hint="eastAsia"/>
                <w:sz w:val="24"/>
              </w:rPr>
              <w:t>“</w:t>
            </w:r>
            <w:r>
              <w:rPr>
                <w:sz w:val="24"/>
              </w:rPr>
              <w:t>双一流大学全球战略</w:t>
            </w:r>
            <w:r>
              <w:rPr>
                <w:rFonts w:hint="eastAsia"/>
                <w:sz w:val="24"/>
              </w:rPr>
              <w:t>研究”</w:t>
            </w:r>
            <w:r>
              <w:rPr>
                <w:sz w:val="24"/>
              </w:rPr>
              <w:t>未嵌入地缘政治</w:t>
            </w:r>
            <w:r>
              <w:rPr>
                <w:rFonts w:hint="eastAsia"/>
                <w:sz w:val="24"/>
              </w:rPr>
              <w:t>分析框架</w:t>
            </w:r>
            <w:r>
              <w:rPr>
                <w:sz w:val="24"/>
              </w:rPr>
              <w:t>。</w:t>
            </w:r>
            <w:r>
              <w:rPr>
                <w:rFonts w:hint="eastAsia"/>
                <w:sz w:val="24"/>
                <w:lang w:val="en-US" w:eastAsia="zh-CN"/>
              </w:rPr>
              <w:t>基于此，</w:t>
            </w:r>
            <w:r>
              <w:rPr>
                <w:sz w:val="24"/>
              </w:rPr>
              <w:t>本课题</w:t>
            </w:r>
            <w:r>
              <w:rPr>
                <w:rFonts w:eastAsia="黑体"/>
                <w:sz w:val="24"/>
              </w:rPr>
              <w:t>构建</w:t>
            </w:r>
            <w:r>
              <w:rPr>
                <w:rFonts w:hint="eastAsia" w:eastAsia="黑体"/>
                <w:sz w:val="24"/>
              </w:rPr>
              <w:t>“</w:t>
            </w:r>
            <w:r>
              <w:rPr>
                <w:rFonts w:eastAsia="黑体"/>
                <w:sz w:val="24"/>
              </w:rPr>
              <w:t>地缘政治驱动—大学战略调适—改革路径分化</w:t>
            </w:r>
            <w:r>
              <w:rPr>
                <w:rFonts w:hint="eastAsia" w:eastAsia="黑体"/>
                <w:sz w:val="24"/>
              </w:rPr>
              <w:t>”</w:t>
            </w:r>
            <w:r>
              <w:rPr>
                <w:rFonts w:eastAsia="黑体"/>
                <w:sz w:val="24"/>
              </w:rPr>
              <w:t>的分析框架</w:t>
            </w:r>
            <w:r>
              <w:rPr>
                <w:rFonts w:hint="eastAsia" w:eastAsia="黑体"/>
                <w:sz w:val="24"/>
              </w:rPr>
              <w:t>，为系统理解全球研究型大学改革动向提供理论支撑</w:t>
            </w:r>
            <w:r>
              <w:rPr>
                <w:sz w:val="24"/>
              </w:rPr>
              <w:t>。</w:t>
            </w:r>
          </w:p>
          <w:p w14:paraId="7AC48DE9">
            <w:pPr>
              <w:keepNext w:val="0"/>
              <w:keepLines w:val="0"/>
              <w:pageBreakBefore w:val="0"/>
              <w:widowControl w:val="0"/>
              <w:numPr>
                <w:ilvl w:val="0"/>
                <w:numId w:val="2"/>
              </w:numPr>
              <w:kinsoku/>
              <w:wordWrap/>
              <w:overflowPunct/>
              <w:topLinePunct w:val="0"/>
              <w:autoSpaceDE/>
              <w:autoSpaceDN/>
              <w:bidi w:val="0"/>
              <w:adjustRightInd/>
              <w:snapToGrid/>
              <w:spacing w:line="360" w:lineRule="exact"/>
              <w:ind w:firstLine="480" w:firstLineChars="200"/>
              <w:textAlignment w:val="auto"/>
              <w:rPr>
                <w:sz w:val="24"/>
              </w:rPr>
            </w:pPr>
            <w:r>
              <w:rPr>
                <w:rFonts w:hint="eastAsia" w:ascii="黑体" w:hAnsi="黑体" w:eastAsia="黑体" w:cs="黑体"/>
                <w:sz w:val="24"/>
              </w:rPr>
              <w:t>学术价值</w:t>
            </w:r>
          </w:p>
          <w:p w14:paraId="639F0B57">
            <w:pPr>
              <w:keepNext w:val="0"/>
              <w:keepLines w:val="0"/>
              <w:pageBreakBefore w:val="0"/>
              <w:widowControl w:val="0"/>
              <w:numPr>
                <w:ilvl w:val="0"/>
                <w:numId w:val="3"/>
              </w:numPr>
              <w:kinsoku/>
              <w:wordWrap/>
              <w:overflowPunct/>
              <w:topLinePunct w:val="0"/>
              <w:autoSpaceDE/>
              <w:autoSpaceDN/>
              <w:bidi w:val="0"/>
              <w:adjustRightInd/>
              <w:snapToGrid/>
              <w:spacing w:line="360" w:lineRule="exact"/>
              <w:ind w:firstLine="480" w:firstLineChars="200"/>
              <w:textAlignment w:val="auto"/>
              <w:rPr>
                <w:rFonts w:hint="eastAsia" w:ascii="宋体" w:hAnsi="宋体" w:cs="宋体"/>
                <w:sz w:val="24"/>
              </w:rPr>
            </w:pPr>
            <w:r>
              <w:rPr>
                <w:rFonts w:hint="eastAsia" w:ascii="Times New Roman" w:hAnsi="Times New Roman" w:eastAsia="黑体" w:cs="Times New Roman"/>
                <w:sz w:val="24"/>
              </w:rPr>
              <w:t>拓展理论边界：</w:t>
            </w:r>
            <w:r>
              <w:rPr>
                <w:rFonts w:hint="eastAsia" w:ascii="宋体" w:hAnsi="宋体" w:cs="宋体"/>
                <w:sz w:val="24"/>
              </w:rPr>
              <w:t>将“地缘政治竞争”引入全球研究型大学改革研究，</w:t>
            </w:r>
            <w:r>
              <w:rPr>
                <w:rFonts w:ascii="宋体" w:hAnsi="宋体" w:cs="宋体"/>
                <w:sz w:val="24"/>
                <w:highlight w:val="none"/>
              </w:rPr>
              <w:t>推动高等教育国际化理论从单一开放合作范式，转向开放合作、战略竞争与风险治理并重的解释框架</w:t>
            </w:r>
            <w:r>
              <w:rPr>
                <w:rFonts w:hint="eastAsia" w:ascii="宋体" w:hAnsi="宋体" w:cs="宋体"/>
                <w:sz w:val="24"/>
              </w:rPr>
              <w:t>；</w:t>
            </w:r>
          </w:p>
          <w:p w14:paraId="341DD0AD">
            <w:pPr>
              <w:keepNext w:val="0"/>
              <w:keepLines w:val="0"/>
              <w:pageBreakBefore w:val="0"/>
              <w:widowControl w:val="0"/>
              <w:numPr>
                <w:ilvl w:val="0"/>
                <w:numId w:val="3"/>
              </w:numPr>
              <w:kinsoku/>
              <w:wordWrap/>
              <w:overflowPunct/>
              <w:topLinePunct w:val="0"/>
              <w:autoSpaceDE/>
              <w:autoSpaceDN/>
              <w:bidi w:val="0"/>
              <w:adjustRightInd/>
              <w:snapToGrid/>
              <w:spacing w:line="360" w:lineRule="exact"/>
              <w:ind w:firstLine="480" w:firstLineChars="200"/>
              <w:textAlignment w:val="auto"/>
              <w:rPr>
                <w:sz w:val="24"/>
              </w:rPr>
            </w:pPr>
            <w:r>
              <w:rPr>
                <w:rFonts w:hint="eastAsia" w:ascii="黑体" w:hAnsi="黑体" w:eastAsia="黑体" w:cs="黑体"/>
                <w:sz w:val="24"/>
              </w:rPr>
              <w:t>建构分析框架：</w:t>
            </w:r>
            <w:r>
              <w:rPr>
                <w:rFonts w:hint="eastAsia" w:ascii="宋体" w:hAnsi="宋体" w:cs="宋体"/>
                <w:sz w:val="24"/>
              </w:rPr>
              <w:t>整合新制度主义与制度逻辑理论，搭建“外部政治变化—政策规制转译—大学战略调适”的分析框架，推进比较高等教育研究问题域的拓展。</w:t>
            </w:r>
          </w:p>
          <w:p w14:paraId="7D8D0677">
            <w:pPr>
              <w:keepNext w:val="0"/>
              <w:keepLines w:val="0"/>
              <w:pageBreakBefore w:val="0"/>
              <w:widowControl w:val="0"/>
              <w:numPr>
                <w:ilvl w:val="0"/>
                <w:numId w:val="3"/>
              </w:numPr>
              <w:kinsoku/>
              <w:wordWrap/>
              <w:overflowPunct/>
              <w:topLinePunct w:val="0"/>
              <w:autoSpaceDE/>
              <w:autoSpaceDN/>
              <w:bidi w:val="0"/>
              <w:adjustRightInd/>
              <w:snapToGrid/>
              <w:spacing w:line="360" w:lineRule="exact"/>
              <w:ind w:firstLine="480" w:firstLineChars="200"/>
              <w:textAlignment w:val="auto"/>
              <w:rPr>
                <w:sz w:val="24"/>
              </w:rPr>
            </w:pPr>
            <w:r>
              <w:rPr>
                <w:rFonts w:hint="eastAsia" w:ascii="黑体" w:hAnsi="黑体" w:eastAsia="黑体" w:cs="黑体"/>
                <w:sz w:val="24"/>
                <w:lang w:val="en-US" w:eastAsia="zh-CN"/>
              </w:rPr>
              <w:t>延展</w:t>
            </w:r>
            <w:r>
              <w:rPr>
                <w:rFonts w:hint="eastAsia" w:ascii="黑体" w:hAnsi="黑体" w:eastAsia="黑体" w:cs="黑体"/>
                <w:sz w:val="24"/>
              </w:rPr>
              <w:t>研究</w:t>
            </w:r>
            <w:r>
              <w:rPr>
                <w:rFonts w:hint="eastAsia" w:ascii="黑体" w:hAnsi="黑体" w:eastAsia="黑体" w:cs="黑体"/>
                <w:sz w:val="24"/>
                <w:lang w:val="en-US" w:eastAsia="zh-CN"/>
              </w:rPr>
              <w:t>工具</w:t>
            </w:r>
            <w:r>
              <w:rPr>
                <w:rFonts w:hint="eastAsia" w:ascii="黑体" w:hAnsi="黑体" w:eastAsia="黑体" w:cs="黑体"/>
                <w:sz w:val="24"/>
              </w:rPr>
              <w:t>：</w:t>
            </w:r>
            <w:r>
              <w:rPr>
                <w:rFonts w:hint="eastAsia"/>
                <w:sz w:val="24"/>
              </w:rPr>
              <w:t>贯通国际关系与大学组织研究，为解释地缘压力如何转化为知识生产、人才培养、国际合作与内部治理变迁提供中层理论工具</w:t>
            </w:r>
            <w:r>
              <w:rPr>
                <w:rFonts w:hint="eastAsia"/>
                <w:sz w:val="24"/>
                <w:lang w:eastAsia="zh-CN"/>
              </w:rPr>
              <w:t>。</w:t>
            </w:r>
          </w:p>
          <w:p w14:paraId="7AD58B94">
            <w:pPr>
              <w:keepNext w:val="0"/>
              <w:keepLines w:val="0"/>
              <w:pageBreakBefore w:val="0"/>
              <w:widowControl w:val="0"/>
              <w:numPr>
                <w:ilvl w:val="0"/>
                <w:numId w:val="2"/>
              </w:numPr>
              <w:kinsoku/>
              <w:wordWrap/>
              <w:overflowPunct/>
              <w:topLinePunct w:val="0"/>
              <w:autoSpaceDE/>
              <w:autoSpaceDN/>
              <w:bidi w:val="0"/>
              <w:adjustRightInd/>
              <w:snapToGrid/>
              <w:spacing w:line="360" w:lineRule="exact"/>
              <w:ind w:firstLine="480" w:firstLineChars="200"/>
              <w:textAlignment w:val="auto"/>
              <w:rPr>
                <w:rFonts w:hint="eastAsia" w:ascii="黑体" w:hAnsi="黑体" w:eastAsia="黑体" w:cs="黑体"/>
                <w:sz w:val="24"/>
              </w:rPr>
            </w:pPr>
            <w:r>
              <w:rPr>
                <w:rFonts w:hint="eastAsia" w:ascii="黑体" w:hAnsi="黑体" w:eastAsia="黑体" w:cs="黑体"/>
                <w:sz w:val="24"/>
              </w:rPr>
              <w:t>应用价值</w:t>
            </w:r>
          </w:p>
          <w:p w14:paraId="0C8F06BC">
            <w:pPr>
              <w:keepNext w:val="0"/>
              <w:keepLines w:val="0"/>
              <w:pageBreakBefore w:val="0"/>
              <w:widowControl w:val="0"/>
              <w:numPr>
                <w:ilvl w:val="0"/>
                <w:numId w:val="4"/>
              </w:numPr>
              <w:kinsoku/>
              <w:wordWrap/>
              <w:overflowPunct/>
              <w:topLinePunct w:val="0"/>
              <w:autoSpaceDE/>
              <w:autoSpaceDN/>
              <w:bidi w:val="0"/>
              <w:adjustRightInd/>
              <w:snapToGrid/>
              <w:spacing w:line="360" w:lineRule="exact"/>
              <w:ind w:firstLine="480" w:firstLineChars="200"/>
              <w:textAlignment w:val="auto"/>
              <w:rPr>
                <w:rFonts w:hint="eastAsia"/>
                <w:sz w:val="24"/>
              </w:rPr>
            </w:pPr>
            <w:r>
              <w:rPr>
                <w:rFonts w:hint="eastAsia" w:ascii="Times New Roman" w:hAnsi="Times New Roman" w:eastAsia="黑体" w:cs="Times New Roman"/>
                <w:sz w:val="24"/>
              </w:rPr>
              <w:t>风险识别评估：</w:t>
            </w:r>
            <w:r>
              <w:rPr>
                <w:sz w:val="24"/>
                <w:highlight w:val="none"/>
              </w:rPr>
              <w:t>比较美、欧、东亚、东南亚等不同地缘板块的政策取向与高校战略回应</w:t>
            </w:r>
            <w:r>
              <w:rPr>
                <w:sz w:val="24"/>
              </w:rPr>
              <w:t>，提炼可借鉴</w:t>
            </w:r>
            <w:r>
              <w:rPr>
                <w:rFonts w:hint="eastAsia"/>
                <w:sz w:val="24"/>
              </w:rPr>
              <w:t>路径</w:t>
            </w:r>
            <w:r>
              <w:rPr>
                <w:sz w:val="24"/>
              </w:rPr>
              <w:t>与需规避风险，支撑教育对外开放的</w:t>
            </w:r>
            <w:r>
              <w:rPr>
                <w:rFonts w:hint="eastAsia"/>
                <w:sz w:val="24"/>
              </w:rPr>
              <w:t>安全</w:t>
            </w:r>
            <w:r>
              <w:rPr>
                <w:sz w:val="24"/>
              </w:rPr>
              <w:t>评估</w:t>
            </w:r>
            <w:r>
              <w:rPr>
                <w:rFonts w:hint="eastAsia"/>
                <w:sz w:val="24"/>
              </w:rPr>
              <w:t>；</w:t>
            </w:r>
          </w:p>
          <w:p w14:paraId="480532DE">
            <w:pPr>
              <w:keepNext w:val="0"/>
              <w:keepLines w:val="0"/>
              <w:pageBreakBefore w:val="0"/>
              <w:widowControl w:val="0"/>
              <w:numPr>
                <w:ilvl w:val="0"/>
                <w:numId w:val="4"/>
              </w:numPr>
              <w:kinsoku/>
              <w:wordWrap/>
              <w:overflowPunct/>
              <w:topLinePunct w:val="0"/>
              <w:autoSpaceDE/>
              <w:autoSpaceDN/>
              <w:bidi w:val="0"/>
              <w:adjustRightInd/>
              <w:snapToGrid/>
              <w:spacing w:line="360" w:lineRule="exact"/>
              <w:ind w:firstLine="480" w:firstLineChars="200"/>
              <w:textAlignment w:val="auto"/>
              <w:rPr>
                <w:sz w:val="24"/>
              </w:rPr>
            </w:pPr>
            <w:r>
              <w:rPr>
                <w:rFonts w:hint="eastAsia" w:ascii="黑体" w:hAnsi="黑体" w:eastAsia="黑体" w:cs="黑体"/>
                <w:sz w:val="24"/>
                <w:lang w:val="en-US" w:eastAsia="zh-CN"/>
              </w:rPr>
              <w:t>战略决策参考：</w:t>
            </w:r>
            <w:r>
              <w:rPr>
                <w:sz w:val="24"/>
              </w:rPr>
              <w:t>服务教育强国与科技自立自强战略，</w:t>
            </w:r>
            <w:r>
              <w:rPr>
                <w:sz w:val="24"/>
                <w:highlight w:val="none"/>
              </w:rPr>
              <w:t>为中国高水平研究型大学优化全球合作策略、学科布局、科研安全管理和</w:t>
            </w:r>
            <w:r>
              <w:rPr>
                <w:rFonts w:hint="eastAsia"/>
                <w:sz w:val="24"/>
                <w:highlight w:val="none"/>
              </w:rPr>
              <w:t>人才</w:t>
            </w:r>
            <w:r>
              <w:rPr>
                <w:sz w:val="24"/>
                <w:highlight w:val="none"/>
              </w:rPr>
              <w:t>培养提供政策依据</w:t>
            </w:r>
            <w:r>
              <w:rPr>
                <w:sz w:val="24"/>
              </w:rPr>
              <w:t>。</w:t>
            </w:r>
          </w:p>
          <w:p w14:paraId="70D4B457">
            <w:pPr>
              <w:keepNext w:val="0"/>
              <w:keepLines w:val="0"/>
              <w:pageBreakBefore w:val="0"/>
              <w:widowControl w:val="0"/>
              <w:kinsoku/>
              <w:wordWrap/>
              <w:overflowPunct/>
              <w:topLinePunct w:val="0"/>
              <w:autoSpaceDE/>
              <w:autoSpaceDN/>
              <w:bidi w:val="0"/>
              <w:adjustRightInd/>
              <w:snapToGrid/>
              <w:spacing w:before="126" w:beforeLines="40" w:after="126" w:afterLines="40" w:line="380" w:lineRule="exact"/>
              <w:ind w:firstLine="560" w:firstLineChars="200"/>
              <w:textAlignment w:val="auto"/>
              <w:rPr>
                <w:rFonts w:hint="eastAsia" w:ascii="黑体" w:hAnsi="黑体" w:eastAsia="黑体" w:cs="黑体"/>
                <w:sz w:val="28"/>
                <w:szCs w:val="28"/>
              </w:rPr>
            </w:pPr>
            <w:bookmarkStart w:id="4" w:name="_GoBack"/>
            <w:r>
              <w:rPr>
                <w:rFonts w:hint="eastAsia" w:ascii="黑体" w:hAnsi="黑体" w:eastAsia="黑体" w:cs="黑体"/>
                <w:sz w:val="28"/>
                <w:szCs w:val="28"/>
              </w:rPr>
              <w:t>三、研究内容</w:t>
            </w:r>
          </w:p>
          <w:bookmarkEnd w:id="4"/>
          <w:p w14:paraId="05FFD50A">
            <w:pPr>
              <w:keepNext w:val="0"/>
              <w:keepLines w:val="0"/>
              <w:pageBreakBefore w:val="0"/>
              <w:widowControl w:val="0"/>
              <w:kinsoku/>
              <w:wordWrap/>
              <w:overflowPunct/>
              <w:topLinePunct w:val="0"/>
              <w:autoSpaceDE/>
              <w:autoSpaceDN/>
              <w:bidi w:val="0"/>
              <w:adjustRightInd/>
              <w:snapToGrid/>
              <w:spacing w:before="32" w:beforeLines="10" w:after="32" w:afterLines="10" w:line="360" w:lineRule="exact"/>
              <w:ind w:firstLine="480" w:firstLineChars="200"/>
              <w:textAlignment w:val="auto"/>
              <w:rPr>
                <w:rFonts w:hint="eastAsia" w:ascii="黑体" w:hAnsi="黑体" w:eastAsia="黑体" w:cs="黑体"/>
                <w:sz w:val="24"/>
                <w:szCs w:val="24"/>
              </w:rPr>
            </w:pPr>
            <w:r>
              <w:rPr>
                <w:rFonts w:hint="eastAsia" w:ascii="黑体" w:hAnsi="黑体" w:eastAsia="黑体" w:cs="黑体"/>
                <w:sz w:val="24"/>
                <w:szCs w:val="24"/>
              </w:rPr>
              <w:t>（一）主要目标</w:t>
            </w:r>
          </w:p>
          <w:p w14:paraId="08CC3BE9">
            <w:pPr>
              <w:keepNext w:val="0"/>
              <w:keepLines w:val="0"/>
              <w:pageBreakBefore w:val="0"/>
              <w:widowControl w:val="0"/>
              <w:kinsoku/>
              <w:wordWrap/>
              <w:overflowPunct/>
              <w:topLinePunct w:val="0"/>
              <w:autoSpaceDE/>
              <w:autoSpaceDN/>
              <w:bidi w:val="0"/>
              <w:adjustRightInd/>
              <w:snapToGrid/>
              <w:spacing w:line="360" w:lineRule="exact"/>
              <w:ind w:firstLine="482" w:firstLineChars="200"/>
              <w:textAlignment w:val="auto"/>
              <w:rPr>
                <w:sz w:val="24"/>
                <w:highlight w:val="none"/>
              </w:rPr>
            </w:pPr>
            <w:r>
              <w:rPr>
                <w:rFonts w:eastAsia="黑体"/>
                <w:b/>
                <w:bCs/>
                <w:sz w:val="24"/>
              </w:rPr>
              <w:t xml:space="preserve">1. </w:t>
            </w:r>
            <w:r>
              <w:rPr>
                <w:rFonts w:ascii="黑体" w:hAnsi="黑体" w:eastAsia="黑体" w:cs="黑体"/>
                <w:sz w:val="24"/>
              </w:rPr>
              <w:t>理论</w:t>
            </w:r>
            <w:r>
              <w:rPr>
                <w:rFonts w:hint="eastAsia" w:ascii="黑体" w:hAnsi="黑体" w:eastAsia="黑体" w:cs="黑体"/>
                <w:sz w:val="24"/>
              </w:rPr>
              <w:t>演绎</w:t>
            </w:r>
            <w:r>
              <w:rPr>
                <w:rFonts w:ascii="黑体" w:hAnsi="黑体" w:eastAsia="黑体" w:cs="黑体"/>
                <w:sz w:val="24"/>
              </w:rPr>
              <w:t>：</w:t>
            </w:r>
            <w:r>
              <w:rPr>
                <w:sz w:val="24"/>
                <w:highlight w:val="none"/>
              </w:rPr>
              <w:t>立足地缘政治视角，整合新制度主义与制度逻辑理论，构建涵盖知识生产、人才培养、对外关系与内部治理的</w:t>
            </w:r>
            <w:r>
              <w:rPr>
                <w:rFonts w:hint="eastAsia"/>
                <w:sz w:val="24"/>
                <w:highlight w:val="none"/>
                <w:lang w:val="en-US" w:eastAsia="zh-CN"/>
              </w:rPr>
              <w:t>完整分析</w:t>
            </w:r>
            <w:r>
              <w:rPr>
                <w:sz w:val="24"/>
                <w:highlight w:val="none"/>
              </w:rPr>
              <w:t>体系。</w:t>
            </w:r>
          </w:p>
          <w:p w14:paraId="4C195284">
            <w:pPr>
              <w:keepNext w:val="0"/>
              <w:keepLines w:val="0"/>
              <w:pageBreakBefore w:val="0"/>
              <w:widowControl w:val="0"/>
              <w:kinsoku/>
              <w:wordWrap/>
              <w:overflowPunct/>
              <w:topLinePunct w:val="0"/>
              <w:autoSpaceDE/>
              <w:autoSpaceDN/>
              <w:bidi w:val="0"/>
              <w:adjustRightInd/>
              <w:snapToGrid/>
              <w:spacing w:line="360" w:lineRule="exact"/>
              <w:ind w:firstLine="482" w:firstLineChars="200"/>
              <w:textAlignment w:val="auto"/>
              <w:rPr>
                <w:sz w:val="24"/>
                <w:highlight w:val="none"/>
              </w:rPr>
            </w:pPr>
            <w:r>
              <w:rPr>
                <w:rFonts w:hint="eastAsia" w:eastAsia="黑体"/>
                <w:b/>
                <w:bCs/>
                <w:sz w:val="24"/>
                <w:highlight w:val="none"/>
              </w:rPr>
              <w:t xml:space="preserve">2. </w:t>
            </w:r>
            <w:r>
              <w:rPr>
                <w:rFonts w:hint="eastAsia" w:ascii="黑体" w:hAnsi="黑体" w:eastAsia="黑体" w:cs="黑体"/>
                <w:sz w:val="24"/>
                <w:highlight w:val="none"/>
              </w:rPr>
              <w:t>全球透视：</w:t>
            </w:r>
            <w:r>
              <w:rPr>
                <w:sz w:val="24"/>
                <w:highlight w:val="none"/>
              </w:rPr>
              <w:t>以全球顶尖研究型大学为主要分析单元，优先以各高校自身的战略规划、年度报告、治理委员会审议文件等高校自身文本为核心材料，结合国家政策框架，透视各高校在地缘政治压力下的自主判断与制度响应，剖析不同地缘板块中研究型大学的改革趋势与内在机制，综合评估各类改革模式的实施成效与制度短板。</w:t>
            </w:r>
          </w:p>
          <w:p w14:paraId="7A4C422B">
            <w:pPr>
              <w:keepNext w:val="0"/>
              <w:keepLines w:val="0"/>
              <w:pageBreakBefore w:val="0"/>
              <w:widowControl w:val="0"/>
              <w:kinsoku/>
              <w:wordWrap/>
              <w:overflowPunct/>
              <w:topLinePunct w:val="0"/>
              <w:autoSpaceDE/>
              <w:autoSpaceDN/>
              <w:bidi w:val="0"/>
              <w:adjustRightInd/>
              <w:snapToGrid/>
              <w:spacing w:line="360" w:lineRule="exact"/>
              <w:ind w:firstLine="482" w:firstLineChars="200"/>
              <w:textAlignment w:val="auto"/>
              <w:rPr>
                <w:sz w:val="24"/>
                <w:highlight w:val="none"/>
              </w:rPr>
            </w:pPr>
            <w:r>
              <w:rPr>
                <w:rFonts w:hint="eastAsia" w:eastAsia="黑体"/>
                <w:b/>
                <w:bCs/>
                <w:sz w:val="24"/>
                <w:highlight w:val="none"/>
              </w:rPr>
              <w:t xml:space="preserve">3. </w:t>
            </w:r>
            <w:r>
              <w:rPr>
                <w:rFonts w:ascii="黑体" w:hAnsi="黑体" w:eastAsia="黑体" w:cs="黑体"/>
                <w:sz w:val="24"/>
                <w:highlight w:val="none"/>
              </w:rPr>
              <w:t>路径</w:t>
            </w:r>
            <w:r>
              <w:rPr>
                <w:rFonts w:hint="eastAsia" w:ascii="黑体" w:hAnsi="黑体" w:eastAsia="黑体" w:cs="黑体"/>
                <w:sz w:val="24"/>
                <w:highlight w:val="none"/>
              </w:rPr>
              <w:t>规制</w:t>
            </w:r>
            <w:r>
              <w:rPr>
                <w:rFonts w:ascii="黑体" w:hAnsi="黑体" w:eastAsia="黑体" w:cs="黑体"/>
                <w:sz w:val="24"/>
                <w:highlight w:val="none"/>
              </w:rPr>
              <w:t>：</w:t>
            </w:r>
            <w:r>
              <w:rPr>
                <w:sz w:val="24"/>
                <w:highlight w:val="none"/>
              </w:rPr>
              <w:t>立足我国高水平研究型大学自身的组织逻辑与制度情境，基于比较视野系统审视各国研究型大学应对地缘政治压力的经验模式，研判域外路径的适用边界与移植障碍，从国家制度保障、大学组织治理与战略学科建设三个层次，探索我国研究型大学在地缘新格局下统筹战略服务与学术自主的自主发展路径。</w:t>
            </w:r>
          </w:p>
          <w:p w14:paraId="46430CBA">
            <w:pPr>
              <w:keepNext w:val="0"/>
              <w:keepLines w:val="0"/>
              <w:pageBreakBefore w:val="0"/>
              <w:widowControl w:val="0"/>
              <w:kinsoku/>
              <w:wordWrap/>
              <w:overflowPunct/>
              <w:topLinePunct w:val="0"/>
              <w:autoSpaceDE/>
              <w:autoSpaceDN/>
              <w:bidi w:val="0"/>
              <w:adjustRightInd/>
              <w:snapToGrid/>
              <w:spacing w:before="32" w:beforeLines="10" w:after="32" w:afterLines="10" w:line="360" w:lineRule="exact"/>
              <w:ind w:firstLine="480" w:firstLineChars="200"/>
              <w:textAlignment w:val="auto"/>
              <w:rPr>
                <w:rFonts w:hint="eastAsia" w:ascii="黑体" w:hAnsi="黑体" w:eastAsia="黑体" w:cs="黑体"/>
                <w:sz w:val="24"/>
                <w:szCs w:val="24"/>
              </w:rPr>
            </w:pPr>
            <w:r>
              <w:rPr>
                <w:rFonts w:hint="eastAsia" w:ascii="黑体" w:hAnsi="黑体" w:eastAsia="黑体" w:cs="黑体"/>
                <w:sz w:val="24"/>
                <w:szCs w:val="24"/>
              </w:rPr>
              <w:t>（二）重点难点</w:t>
            </w:r>
          </w:p>
          <w:p w14:paraId="27E3E349">
            <w:pPr>
              <w:keepNext w:val="0"/>
              <w:keepLines w:val="0"/>
              <w:pageBreakBefore w:val="0"/>
              <w:widowControl w:val="0"/>
              <w:kinsoku/>
              <w:wordWrap/>
              <w:overflowPunct/>
              <w:topLinePunct w:val="0"/>
              <w:autoSpaceDE/>
              <w:autoSpaceDN/>
              <w:bidi w:val="0"/>
              <w:adjustRightInd/>
              <w:snapToGrid/>
              <w:spacing w:line="360" w:lineRule="exact"/>
              <w:ind w:firstLine="482" w:firstLineChars="200"/>
              <w:textAlignment w:val="auto"/>
              <w:rPr>
                <w:rFonts w:hint="eastAsia" w:ascii="黑体" w:hAnsi="黑体" w:eastAsia="黑体" w:cs="黑体"/>
                <w:sz w:val="24"/>
              </w:rPr>
            </w:pPr>
            <w:r>
              <w:rPr>
                <w:rFonts w:hint="eastAsia" w:eastAsia="黑体"/>
                <w:b/>
                <w:bCs/>
                <w:sz w:val="24"/>
              </w:rPr>
              <w:t xml:space="preserve">1. </w:t>
            </w:r>
            <w:r>
              <w:rPr>
                <w:rFonts w:ascii="黑体" w:hAnsi="黑体" w:eastAsia="黑体" w:cs="黑体"/>
                <w:sz w:val="24"/>
              </w:rPr>
              <w:t>研究重点</w:t>
            </w:r>
          </w:p>
          <w:p w14:paraId="6B523332">
            <w:pPr>
              <w:keepNext w:val="0"/>
              <w:keepLines w:val="0"/>
              <w:pageBreakBefore w:val="0"/>
              <w:widowControl w:val="0"/>
              <w:kinsoku/>
              <w:wordWrap/>
              <w:overflowPunct/>
              <w:topLinePunct w:val="0"/>
              <w:autoSpaceDE/>
              <w:autoSpaceDN/>
              <w:bidi w:val="0"/>
              <w:adjustRightInd/>
              <w:snapToGrid/>
              <w:spacing w:line="360" w:lineRule="exact"/>
              <w:ind w:firstLine="482" w:firstLineChars="200"/>
              <w:textAlignment w:val="auto"/>
              <w:rPr>
                <w:rFonts w:hint="eastAsia"/>
                <w:sz w:val="24"/>
              </w:rPr>
            </w:pPr>
            <w:r>
              <w:rPr>
                <w:rFonts w:hint="eastAsia"/>
                <w:b/>
                <w:bCs/>
                <w:sz w:val="24"/>
              </w:rPr>
              <w:t>（1）</w:t>
            </w:r>
            <w:r>
              <w:rPr>
                <w:rFonts w:hint="eastAsia" w:ascii="Times New Roman" w:hAnsi="Times New Roman" w:eastAsia="黑体" w:cs="Times New Roman"/>
                <w:sz w:val="24"/>
              </w:rPr>
              <w:t>比较不同时期的改革走向：</w:t>
            </w:r>
            <w:r>
              <w:rPr>
                <w:rFonts w:hint="eastAsia"/>
                <w:sz w:val="24"/>
              </w:rPr>
              <w:t>对比全球化排名竞争期与地缘政治</w:t>
            </w:r>
            <w:r>
              <w:rPr>
                <w:sz w:val="24"/>
                <w:highlight w:val="none"/>
              </w:rPr>
              <w:t>变化</w:t>
            </w:r>
            <w:r>
              <w:rPr>
                <w:rFonts w:hint="eastAsia"/>
                <w:sz w:val="24"/>
                <w:highlight w:val="none"/>
                <w:lang w:val="en-US" w:eastAsia="zh-CN"/>
              </w:rPr>
              <w:t>时</w:t>
            </w:r>
            <w:r>
              <w:rPr>
                <w:sz w:val="24"/>
                <w:highlight w:val="none"/>
              </w:rPr>
              <w:t>期</w:t>
            </w:r>
            <w:r>
              <w:rPr>
                <w:rFonts w:hint="eastAsia"/>
                <w:sz w:val="24"/>
                <w:highlight w:val="none"/>
              </w:rPr>
              <w:t>，</w:t>
            </w:r>
            <w:r>
              <w:rPr>
                <w:rFonts w:hint="eastAsia"/>
                <w:sz w:val="24"/>
              </w:rPr>
              <w:t>全球高水平研究型大学在改革重点、战略方向、制度响应等阶段性差异。</w:t>
            </w:r>
          </w:p>
          <w:p w14:paraId="77A3A342">
            <w:pPr>
              <w:keepNext w:val="0"/>
              <w:keepLines w:val="0"/>
              <w:pageBreakBefore w:val="0"/>
              <w:widowControl w:val="0"/>
              <w:kinsoku/>
              <w:wordWrap/>
              <w:overflowPunct/>
              <w:topLinePunct w:val="0"/>
              <w:autoSpaceDE/>
              <w:autoSpaceDN/>
              <w:bidi w:val="0"/>
              <w:adjustRightInd/>
              <w:snapToGrid/>
              <w:spacing w:line="360" w:lineRule="exact"/>
              <w:ind w:firstLine="482" w:firstLineChars="200"/>
              <w:textAlignment w:val="auto"/>
              <w:rPr>
                <w:sz w:val="24"/>
              </w:rPr>
            </w:pPr>
            <w:r>
              <w:rPr>
                <w:rFonts w:hint="eastAsia"/>
                <w:b/>
                <w:bCs/>
                <w:sz w:val="24"/>
              </w:rPr>
              <w:t>（2）</w:t>
            </w:r>
            <w:r>
              <w:rPr>
                <w:rFonts w:hint="eastAsia" w:ascii="Times New Roman" w:hAnsi="Times New Roman" w:eastAsia="黑体" w:cs="Times New Roman"/>
                <w:sz w:val="24"/>
              </w:rPr>
              <w:t>揭示驱动机制与现实影响：</w:t>
            </w:r>
            <w:r>
              <w:rPr>
                <w:rFonts w:hint="eastAsia"/>
                <w:sz w:val="24"/>
              </w:rPr>
              <w:t>阐</w:t>
            </w:r>
            <w:r>
              <w:rPr>
                <w:rFonts w:hint="eastAsia"/>
                <w:sz w:val="24"/>
                <w:highlight w:val="none"/>
              </w:rPr>
              <w:t>释</w:t>
            </w:r>
            <w:r>
              <w:rPr>
                <w:sz w:val="24"/>
                <w:highlight w:val="none"/>
              </w:rPr>
              <w:t>地缘政治变化经由国家政策、科研安全规则与高校战略文件影响大学改革</w:t>
            </w:r>
            <w:r>
              <w:rPr>
                <w:rFonts w:hint="eastAsia"/>
                <w:sz w:val="24"/>
                <w:highlight w:val="none"/>
                <w:lang w:val="en-US" w:eastAsia="zh-CN"/>
              </w:rPr>
              <w:t>的路径</w:t>
            </w:r>
            <w:r>
              <w:rPr>
                <w:rFonts w:hint="eastAsia"/>
                <w:sz w:val="24"/>
                <w:highlight w:val="none"/>
              </w:rPr>
              <w:t>，评估其在知识生产、人才</w:t>
            </w:r>
            <w:r>
              <w:rPr>
                <w:rFonts w:hint="eastAsia"/>
                <w:sz w:val="24"/>
              </w:rPr>
              <w:t>培养、国际合作及治理结构上的实际效应</w:t>
            </w:r>
            <w:r>
              <w:rPr>
                <w:sz w:val="24"/>
              </w:rPr>
              <w:t>。</w:t>
            </w:r>
          </w:p>
          <w:p w14:paraId="67BF3D58">
            <w:pPr>
              <w:keepNext w:val="0"/>
              <w:keepLines w:val="0"/>
              <w:pageBreakBefore w:val="0"/>
              <w:widowControl w:val="0"/>
              <w:kinsoku/>
              <w:wordWrap/>
              <w:overflowPunct/>
              <w:topLinePunct w:val="0"/>
              <w:autoSpaceDE/>
              <w:autoSpaceDN/>
              <w:bidi w:val="0"/>
              <w:adjustRightInd/>
              <w:snapToGrid/>
              <w:spacing w:line="360" w:lineRule="exact"/>
              <w:ind w:firstLine="482" w:firstLineChars="200"/>
              <w:textAlignment w:val="auto"/>
              <w:rPr>
                <w:rFonts w:hint="eastAsia" w:ascii="黑体" w:hAnsi="黑体" w:eastAsia="黑体" w:cs="黑体"/>
                <w:sz w:val="24"/>
              </w:rPr>
            </w:pPr>
            <w:r>
              <w:rPr>
                <w:rFonts w:hint="eastAsia" w:eastAsia="黑体"/>
                <w:b/>
                <w:bCs/>
                <w:sz w:val="24"/>
              </w:rPr>
              <w:t xml:space="preserve">2. </w:t>
            </w:r>
            <w:r>
              <w:rPr>
                <w:rFonts w:ascii="黑体" w:hAnsi="黑体" w:eastAsia="黑体" w:cs="黑体"/>
                <w:sz w:val="24"/>
              </w:rPr>
              <w:t>研究难点</w:t>
            </w:r>
          </w:p>
          <w:p w14:paraId="5AA8A842">
            <w:pPr>
              <w:keepNext w:val="0"/>
              <w:keepLines w:val="0"/>
              <w:pageBreakBefore w:val="0"/>
              <w:widowControl w:val="0"/>
              <w:kinsoku/>
              <w:wordWrap/>
              <w:overflowPunct/>
              <w:topLinePunct w:val="0"/>
              <w:autoSpaceDE/>
              <w:autoSpaceDN/>
              <w:bidi w:val="0"/>
              <w:adjustRightInd/>
              <w:snapToGrid/>
              <w:spacing w:line="360" w:lineRule="exact"/>
              <w:ind w:firstLine="482" w:firstLineChars="200"/>
              <w:textAlignment w:val="auto"/>
              <w:rPr>
                <w:rFonts w:hint="eastAsia"/>
                <w:sz w:val="24"/>
                <w:highlight w:val="none"/>
              </w:rPr>
            </w:pPr>
            <w:r>
              <w:rPr>
                <w:rFonts w:hint="eastAsia"/>
                <w:b/>
                <w:bCs/>
                <w:sz w:val="24"/>
              </w:rPr>
              <w:t>（1）</w:t>
            </w:r>
            <w:r>
              <w:rPr>
                <w:rFonts w:hint="eastAsia" w:ascii="Times New Roman" w:hAnsi="Times New Roman" w:eastAsia="黑体" w:cs="Times New Roman"/>
                <w:sz w:val="24"/>
              </w:rPr>
              <w:t>多源数据</w:t>
            </w:r>
            <w:r>
              <w:rPr>
                <w:rFonts w:hint="eastAsia" w:ascii="Times New Roman" w:hAnsi="Times New Roman" w:eastAsia="黑体" w:cs="Times New Roman"/>
                <w:sz w:val="24"/>
                <w:lang w:val="en-US" w:eastAsia="zh-CN"/>
              </w:rPr>
              <w:t>的</w:t>
            </w:r>
            <w:r>
              <w:rPr>
                <w:rFonts w:hint="eastAsia" w:ascii="Times New Roman" w:hAnsi="Times New Roman" w:eastAsia="黑体" w:cs="Times New Roman"/>
                <w:sz w:val="24"/>
              </w:rPr>
              <w:t>衔接与核验：</w:t>
            </w:r>
            <w:r>
              <w:rPr>
                <w:rFonts w:hint="eastAsia"/>
                <w:sz w:val="24"/>
                <w:highlight w:val="none"/>
              </w:rPr>
              <w:t>研究涉及</w:t>
            </w:r>
            <w:r>
              <w:rPr>
                <w:sz w:val="24"/>
                <w:highlight w:val="none"/>
              </w:rPr>
              <w:t>国家政策、高校战略、统计数据</w:t>
            </w:r>
            <w:r>
              <w:rPr>
                <w:rFonts w:hint="eastAsia"/>
                <w:sz w:val="24"/>
                <w:highlight w:val="none"/>
                <w:lang w:val="en-US" w:eastAsia="zh-CN"/>
              </w:rPr>
              <w:t>及</w:t>
            </w:r>
            <w:r>
              <w:rPr>
                <w:sz w:val="24"/>
                <w:highlight w:val="none"/>
              </w:rPr>
              <w:t>科学计量资料</w:t>
            </w:r>
            <w:r>
              <w:rPr>
                <w:rFonts w:hint="eastAsia"/>
                <w:sz w:val="24"/>
                <w:highlight w:val="none"/>
              </w:rPr>
              <w:t>，在</w:t>
            </w:r>
            <w:r>
              <w:rPr>
                <w:sz w:val="24"/>
                <w:highlight w:val="none"/>
              </w:rPr>
              <w:t>文本公开程度、统计口径</w:t>
            </w:r>
            <w:r>
              <w:rPr>
                <w:rFonts w:hint="eastAsia"/>
                <w:sz w:val="24"/>
                <w:highlight w:val="none"/>
                <w:lang w:val="en-US" w:eastAsia="zh-CN"/>
              </w:rPr>
              <w:t>及</w:t>
            </w:r>
            <w:r>
              <w:rPr>
                <w:sz w:val="24"/>
                <w:highlight w:val="none"/>
              </w:rPr>
              <w:t>和制度语境上存在差异，制约数据整合、跨国比较与交叉验证。</w:t>
            </w:r>
          </w:p>
          <w:p w14:paraId="15ABB975">
            <w:pPr>
              <w:keepNext w:val="0"/>
              <w:keepLines w:val="0"/>
              <w:pageBreakBefore w:val="0"/>
              <w:widowControl w:val="0"/>
              <w:kinsoku/>
              <w:wordWrap/>
              <w:overflowPunct/>
              <w:topLinePunct w:val="0"/>
              <w:autoSpaceDE/>
              <w:autoSpaceDN/>
              <w:bidi w:val="0"/>
              <w:adjustRightInd/>
              <w:snapToGrid/>
              <w:spacing w:line="360" w:lineRule="exact"/>
              <w:ind w:firstLine="482" w:firstLineChars="200"/>
              <w:textAlignment w:val="auto"/>
              <w:rPr>
                <w:sz w:val="24"/>
              </w:rPr>
            </w:pPr>
            <w:r>
              <w:rPr>
                <w:rFonts w:hint="eastAsia"/>
                <w:b/>
                <w:bCs/>
                <w:sz w:val="24"/>
                <w:highlight w:val="none"/>
              </w:rPr>
              <w:t>（2）</w:t>
            </w:r>
            <w:r>
              <w:rPr>
                <w:rFonts w:hint="eastAsia" w:ascii="Times New Roman" w:hAnsi="Times New Roman" w:eastAsia="黑体" w:cs="Times New Roman"/>
                <w:sz w:val="24"/>
              </w:rPr>
              <w:t>域外经验</w:t>
            </w:r>
            <w:r>
              <w:rPr>
                <w:rFonts w:hint="eastAsia" w:ascii="Times New Roman" w:hAnsi="Times New Roman" w:eastAsia="黑体" w:cs="Times New Roman"/>
                <w:sz w:val="24"/>
                <w:lang w:val="en-US" w:eastAsia="zh-CN"/>
              </w:rPr>
              <w:t>的</w:t>
            </w:r>
            <w:r>
              <w:rPr>
                <w:rFonts w:hint="eastAsia" w:ascii="Times New Roman" w:hAnsi="Times New Roman" w:eastAsia="黑体" w:cs="Times New Roman"/>
                <w:sz w:val="24"/>
              </w:rPr>
              <w:t>本土化</w:t>
            </w:r>
            <w:r>
              <w:rPr>
                <w:rFonts w:hint="eastAsia" w:ascii="Times New Roman" w:hAnsi="Times New Roman" w:eastAsia="黑体" w:cs="Times New Roman"/>
                <w:sz w:val="24"/>
                <w:lang w:val="en-US" w:eastAsia="zh-CN"/>
              </w:rPr>
              <w:t>转化</w:t>
            </w:r>
            <w:r>
              <w:rPr>
                <w:rFonts w:hint="eastAsia" w:ascii="Times New Roman" w:hAnsi="Times New Roman" w:eastAsia="黑体" w:cs="Times New Roman"/>
                <w:sz w:val="24"/>
              </w:rPr>
              <w:t>：</w:t>
            </w:r>
            <w:r>
              <w:rPr>
                <w:b w:val="0"/>
                <w:bCs w:val="0"/>
                <w:sz w:val="24"/>
                <w:highlight w:val="none"/>
              </w:rPr>
              <w:t>地缘政治影响</w:t>
            </w:r>
            <w:r>
              <w:rPr>
                <w:rFonts w:hint="eastAsia"/>
                <w:b w:val="0"/>
                <w:bCs w:val="0"/>
                <w:sz w:val="24"/>
                <w:highlight w:val="none"/>
                <w:lang w:val="en-US" w:eastAsia="zh-CN"/>
              </w:rPr>
              <w:t>经由</w:t>
            </w:r>
            <w:r>
              <w:rPr>
                <w:b w:val="0"/>
                <w:bCs w:val="0"/>
                <w:sz w:val="24"/>
                <w:highlight w:val="none"/>
              </w:rPr>
              <w:t>政策规制、资源配置</w:t>
            </w:r>
            <w:r>
              <w:rPr>
                <w:rFonts w:hint="eastAsia"/>
                <w:b w:val="0"/>
                <w:bCs w:val="0"/>
                <w:sz w:val="24"/>
                <w:highlight w:val="none"/>
                <w:lang w:val="en-US" w:eastAsia="zh-CN"/>
              </w:rPr>
              <w:t>及高校</w:t>
            </w:r>
            <w:r>
              <w:rPr>
                <w:b w:val="0"/>
                <w:bCs w:val="0"/>
                <w:sz w:val="24"/>
                <w:highlight w:val="none"/>
              </w:rPr>
              <w:t>战略调适等中介机制</w:t>
            </w:r>
            <w:r>
              <w:rPr>
                <w:rFonts w:hint="eastAsia"/>
                <w:b w:val="0"/>
                <w:bCs w:val="0"/>
                <w:sz w:val="24"/>
                <w:highlight w:val="none"/>
                <w:lang w:val="en-US" w:eastAsia="zh-CN"/>
              </w:rPr>
              <w:t>传导，</w:t>
            </w:r>
            <w:r>
              <w:rPr>
                <w:rFonts w:hint="eastAsia"/>
                <w:sz w:val="24"/>
                <w:highlight w:val="none"/>
              </w:rPr>
              <w:t>域外改革需立足实证比较形成具有解释力与适应性</w:t>
            </w:r>
            <w:r>
              <w:rPr>
                <w:rFonts w:hint="eastAsia"/>
                <w:sz w:val="24"/>
              </w:rPr>
              <w:t>的客观结论</w:t>
            </w:r>
            <w:r>
              <w:rPr>
                <w:rFonts w:hint="eastAsia"/>
                <w:sz w:val="24"/>
                <w:lang w:eastAsia="zh-CN"/>
              </w:rPr>
              <w:t>，</w:t>
            </w:r>
            <w:r>
              <w:rPr>
                <w:rFonts w:hint="eastAsia"/>
                <w:sz w:val="24"/>
                <w:lang w:val="en-US" w:eastAsia="zh-CN"/>
              </w:rPr>
              <w:t>避免简单移植</w:t>
            </w:r>
            <w:r>
              <w:rPr>
                <w:rFonts w:hint="eastAsia"/>
                <w:sz w:val="24"/>
              </w:rPr>
              <w:t>。</w:t>
            </w:r>
          </w:p>
          <w:p w14:paraId="0B43644A">
            <w:pPr>
              <w:keepNext w:val="0"/>
              <w:keepLines w:val="0"/>
              <w:pageBreakBefore w:val="0"/>
              <w:widowControl w:val="0"/>
              <w:kinsoku/>
              <w:wordWrap/>
              <w:overflowPunct/>
              <w:topLinePunct w:val="0"/>
              <w:autoSpaceDE/>
              <w:autoSpaceDN/>
              <w:bidi w:val="0"/>
              <w:adjustRightInd/>
              <w:snapToGrid/>
              <w:spacing w:before="32" w:beforeLines="10" w:after="32" w:afterLines="10" w:line="360" w:lineRule="exact"/>
              <w:ind w:firstLine="480" w:firstLineChars="200"/>
              <w:textAlignment w:val="auto"/>
              <w:rPr>
                <w:rFonts w:hint="eastAsia" w:ascii="黑体" w:hAnsi="黑体" w:eastAsia="黑体" w:cs="黑体"/>
                <w:sz w:val="24"/>
                <w:szCs w:val="24"/>
              </w:rPr>
            </w:pPr>
            <w:r>
              <w:rPr>
                <w:rFonts w:hint="eastAsia" w:ascii="黑体" w:hAnsi="黑体" w:eastAsia="黑体" w:cs="黑体"/>
                <w:sz w:val="24"/>
                <w:szCs w:val="24"/>
              </w:rPr>
              <w:t>（三）整体框架</w:t>
            </w:r>
          </w:p>
          <w:p w14:paraId="7C2A841B">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sz w:val="24"/>
              </w:rPr>
            </w:pPr>
            <w:r>
              <w:rPr>
                <w:rFonts w:hint="eastAsia"/>
                <w:sz w:val="24"/>
              </w:rPr>
              <w:t>围绕“</w:t>
            </w:r>
            <w:r>
              <w:rPr>
                <w:rFonts w:hint="eastAsia" w:ascii="黑体" w:hAnsi="黑体" w:eastAsia="黑体" w:cs="黑体"/>
                <w:sz w:val="24"/>
              </w:rPr>
              <w:t>地缘政治</w:t>
            </w:r>
            <w:r>
              <w:rPr>
                <w:rFonts w:hint="eastAsia" w:ascii="黑体" w:hAnsi="黑体" w:eastAsia="黑体" w:cs="黑体"/>
                <w:sz w:val="24"/>
                <w:highlight w:val="none"/>
              </w:rPr>
              <w:t>变化</w:t>
            </w:r>
            <w:r>
              <w:rPr>
                <w:rFonts w:hint="eastAsia" w:ascii="黑体" w:hAnsi="黑体" w:eastAsia="黑体" w:cs="黑体"/>
                <w:sz w:val="24"/>
              </w:rPr>
              <w:t>如何驱动全球高水平研究型大学变革</w:t>
            </w:r>
            <w:r>
              <w:rPr>
                <w:rFonts w:hint="eastAsia"/>
                <w:sz w:val="24"/>
              </w:rPr>
              <w:t>”核心问题，遵循“</w:t>
            </w:r>
            <w:r>
              <w:rPr>
                <w:rFonts w:hint="eastAsia" w:ascii="黑体" w:hAnsi="黑体" w:eastAsia="黑体" w:cs="黑体"/>
                <w:sz w:val="24"/>
              </w:rPr>
              <w:t>理论建构—现实图景—趋势机制—案例深描—中国路径</w:t>
            </w:r>
            <w:r>
              <w:rPr>
                <w:rFonts w:hint="eastAsia"/>
                <w:sz w:val="24"/>
              </w:rPr>
              <w:t>”</w:t>
            </w:r>
            <w:r>
              <w:rPr>
                <w:sz w:val="24"/>
              </w:rPr>
              <w:t>的逻辑</w:t>
            </w:r>
            <w:r>
              <w:rPr>
                <w:rFonts w:hint="eastAsia"/>
                <w:sz w:val="24"/>
              </w:rPr>
              <w:t>主线推进。具体如下</w:t>
            </w:r>
            <w:r>
              <w:rPr>
                <w:sz w:val="24"/>
              </w:rPr>
              <w:t>：</w:t>
            </w:r>
          </w:p>
          <w:p w14:paraId="0AEB245D">
            <w:pPr>
              <w:keepNext w:val="0"/>
              <w:keepLines w:val="0"/>
              <w:pageBreakBefore w:val="0"/>
              <w:widowControl w:val="0"/>
              <w:numPr>
                <w:ilvl w:val="0"/>
                <w:numId w:val="5"/>
              </w:numPr>
              <w:kinsoku/>
              <w:wordWrap/>
              <w:overflowPunct/>
              <w:topLinePunct w:val="0"/>
              <w:autoSpaceDE/>
              <w:autoSpaceDN/>
              <w:bidi w:val="0"/>
              <w:adjustRightInd/>
              <w:snapToGrid/>
              <w:spacing w:before="62" w:beforeLines="20" w:line="360" w:lineRule="exact"/>
              <w:ind w:firstLine="480" w:firstLineChars="200"/>
              <w:textAlignment w:val="auto"/>
              <w:rPr>
                <w:rFonts w:hint="eastAsia" w:eastAsia="黑体"/>
                <w:sz w:val="24"/>
              </w:rPr>
            </w:pPr>
            <w:r>
              <w:rPr>
                <w:rFonts w:hint="eastAsia" w:eastAsia="黑体"/>
                <w:sz w:val="24"/>
              </w:rPr>
              <w:t>地缘政治视角下全球高水平研究型大学改革的理论框架</w:t>
            </w:r>
          </w:p>
          <w:p w14:paraId="43C2B39E">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sz w:val="24"/>
              </w:rPr>
            </w:pPr>
            <w:bookmarkStart w:id="3" w:name="OLE_LINK3"/>
            <w:r>
              <w:rPr>
                <w:sz w:val="24"/>
              </w:rPr>
              <w:t>应以何种理论框架理解地缘政</w:t>
            </w:r>
            <w:r>
              <w:rPr>
                <w:sz w:val="24"/>
                <w:highlight w:val="none"/>
              </w:rPr>
              <w:t>治变化下的研究型大学改革？研究型大学</w:t>
            </w:r>
            <w:r>
              <w:rPr>
                <w:rFonts w:hint="eastAsia"/>
                <w:sz w:val="24"/>
                <w:highlight w:val="none"/>
              </w:rPr>
              <w:t>制度运行始终内嵌三重逻辑</w:t>
            </w:r>
            <w:r>
              <w:rPr>
                <w:sz w:val="24"/>
                <w:highlight w:val="none"/>
              </w:rPr>
              <w:t>的</w:t>
            </w:r>
            <w:r>
              <w:rPr>
                <w:rFonts w:hint="eastAsia"/>
                <w:sz w:val="24"/>
                <w:highlight w:val="none"/>
              </w:rPr>
              <w:t>动态</w:t>
            </w:r>
            <w:r>
              <w:rPr>
                <w:sz w:val="24"/>
                <w:highlight w:val="none"/>
              </w:rPr>
              <w:t>博弈：</w:t>
            </w:r>
            <w:r>
              <w:rPr>
                <w:rFonts w:ascii="黑体" w:hAnsi="黑体" w:eastAsia="黑体" w:cs="黑体"/>
                <w:sz w:val="24"/>
                <w:highlight w:val="none"/>
              </w:rPr>
              <w:t>国家逻辑</w:t>
            </w:r>
            <w:r>
              <w:rPr>
                <w:sz w:val="24"/>
                <w:highlight w:val="none"/>
              </w:rPr>
              <w:t>将大学视</w:t>
            </w:r>
            <w:r>
              <w:rPr>
                <w:rFonts w:hint="eastAsia"/>
                <w:sz w:val="24"/>
                <w:highlight w:val="none"/>
              </w:rPr>
              <w:t>作</w:t>
            </w:r>
            <w:r>
              <w:rPr>
                <w:sz w:val="24"/>
                <w:highlight w:val="none"/>
              </w:rPr>
              <w:t>战略资产，服务科技竞争与</w:t>
            </w:r>
            <w:r>
              <w:rPr>
                <w:rFonts w:hint="eastAsia"/>
                <w:sz w:val="24"/>
                <w:highlight w:val="none"/>
              </w:rPr>
              <w:t>高端</w:t>
            </w:r>
            <w:r>
              <w:rPr>
                <w:sz w:val="24"/>
                <w:highlight w:val="none"/>
              </w:rPr>
              <w:t>人才供给；</w:t>
            </w:r>
            <w:r>
              <w:rPr>
                <w:rFonts w:ascii="黑体" w:hAnsi="黑体" w:eastAsia="黑体" w:cs="黑体"/>
                <w:sz w:val="24"/>
                <w:highlight w:val="none"/>
              </w:rPr>
              <w:t>市场逻辑</w:t>
            </w:r>
            <w:r>
              <w:rPr>
                <w:sz w:val="24"/>
                <w:highlight w:val="none"/>
              </w:rPr>
              <w:t>将大学</w:t>
            </w:r>
            <w:r>
              <w:rPr>
                <w:rFonts w:hint="eastAsia"/>
                <w:sz w:val="24"/>
                <w:highlight w:val="none"/>
              </w:rPr>
              <w:t>置于</w:t>
            </w:r>
            <w:r>
              <w:rPr>
                <w:sz w:val="24"/>
                <w:highlight w:val="none"/>
              </w:rPr>
              <w:t>竞争</w:t>
            </w:r>
            <w:r>
              <w:rPr>
                <w:rFonts w:hint="eastAsia"/>
                <w:sz w:val="24"/>
                <w:highlight w:val="none"/>
              </w:rPr>
              <w:t>场域</w:t>
            </w:r>
            <w:r>
              <w:rPr>
                <w:sz w:val="24"/>
                <w:highlight w:val="none"/>
              </w:rPr>
              <w:t>，</w:t>
            </w:r>
            <w:r>
              <w:rPr>
                <w:rFonts w:hint="eastAsia"/>
                <w:sz w:val="24"/>
                <w:highlight w:val="none"/>
              </w:rPr>
              <w:t>以</w:t>
            </w:r>
            <w:r>
              <w:rPr>
                <w:sz w:val="24"/>
                <w:highlight w:val="none"/>
              </w:rPr>
              <w:t>争夺资源、声誉与人才；</w:t>
            </w:r>
            <w:r>
              <w:rPr>
                <w:rFonts w:ascii="黑体" w:hAnsi="黑体" w:eastAsia="黑体" w:cs="黑体"/>
                <w:sz w:val="24"/>
                <w:highlight w:val="none"/>
              </w:rPr>
              <w:t>学术逻辑</w:t>
            </w:r>
            <w:r>
              <w:rPr>
                <w:rFonts w:hint="eastAsia"/>
                <w:sz w:val="24"/>
                <w:highlight w:val="none"/>
              </w:rPr>
              <w:t>遵循</w:t>
            </w:r>
            <w:r>
              <w:rPr>
                <w:sz w:val="24"/>
                <w:highlight w:val="none"/>
              </w:rPr>
              <w:t>知识自治与同行评议，维系学术共同体属性。</w:t>
            </w:r>
            <w:r>
              <w:rPr>
                <w:rFonts w:hint="eastAsia"/>
                <w:sz w:val="24"/>
                <w:highlight w:val="none"/>
              </w:rPr>
              <w:t>三者在任何阶段均</w:t>
            </w:r>
            <w:r>
              <w:rPr>
                <w:rFonts w:hint="eastAsia"/>
                <w:sz w:val="24"/>
                <w:highlight w:val="none"/>
                <w:lang w:val="en-US" w:eastAsia="zh-CN"/>
              </w:rPr>
              <w:t>共</w:t>
            </w:r>
            <w:r>
              <w:rPr>
                <w:rFonts w:hint="eastAsia"/>
                <w:sz w:val="24"/>
                <w:highlight w:val="none"/>
              </w:rPr>
              <w:t>存，其主导逻辑的历史性更迭构成了三个阶段的分期依据</w:t>
            </w:r>
            <w:r>
              <w:rPr>
                <w:rFonts w:hint="eastAsia"/>
                <w:sz w:val="24"/>
                <w:highlight w:val="none"/>
                <w:lang w:eastAsia="zh-CN"/>
              </w:rPr>
              <w:t>：</w:t>
            </w:r>
            <w:r>
              <w:rPr>
                <w:rFonts w:hint="eastAsia"/>
                <w:sz w:val="24"/>
                <w:highlight w:val="none"/>
                <w:lang w:val="en-US" w:eastAsia="zh-CN"/>
              </w:rPr>
              <w:t>市场</w:t>
            </w:r>
            <w:r>
              <w:rPr>
                <w:rFonts w:hint="eastAsia"/>
                <w:sz w:val="24"/>
                <w:highlight w:val="none"/>
              </w:rPr>
              <w:t>化期</w:t>
            </w:r>
            <w:r>
              <w:rPr>
                <w:rFonts w:hint="eastAsia"/>
                <w:sz w:val="24"/>
                <w:highlight w:val="none"/>
                <w:lang w:eastAsia="zh-CN"/>
              </w:rPr>
              <w:t>（</w:t>
            </w:r>
            <w:r>
              <w:rPr>
                <w:sz w:val="24"/>
              </w:rPr>
              <w:t>新自由主义改革推动市场逻辑持续</w:t>
            </w:r>
            <w:r>
              <w:rPr>
                <w:rFonts w:hint="eastAsia"/>
                <w:sz w:val="24"/>
              </w:rPr>
              <w:t>扩张</w:t>
            </w:r>
            <w:r>
              <w:rPr>
                <w:rFonts w:hint="eastAsia"/>
                <w:sz w:val="24"/>
                <w:highlight w:val="none"/>
                <w:lang w:eastAsia="zh-CN"/>
              </w:rPr>
              <w:t>）</w:t>
            </w:r>
            <w:r>
              <w:rPr>
                <w:rFonts w:hint="eastAsia"/>
                <w:sz w:val="24"/>
                <w:highlight w:val="none"/>
                <w:lang w:val="en-US" w:eastAsia="zh-CN"/>
              </w:rPr>
              <w:t>→</w:t>
            </w:r>
            <w:r>
              <w:rPr>
                <w:rFonts w:hint="eastAsia"/>
                <w:sz w:val="24"/>
                <w:highlight w:val="none"/>
              </w:rPr>
              <w:t>全球化排名竞争期</w:t>
            </w:r>
            <w:r>
              <w:rPr>
                <w:rFonts w:hint="eastAsia"/>
                <w:sz w:val="24"/>
                <w:highlight w:val="none"/>
                <w:lang w:eastAsia="zh-CN"/>
              </w:rPr>
              <w:t>（</w:t>
            </w:r>
            <w:r>
              <w:rPr>
                <w:sz w:val="24"/>
              </w:rPr>
              <w:t>全球化与排名竞争引发制度同构</w:t>
            </w:r>
            <w:r>
              <w:rPr>
                <w:rFonts w:hint="eastAsia"/>
                <w:sz w:val="24"/>
              </w:rPr>
              <w:t>，</w:t>
            </w:r>
            <w:r>
              <w:rPr>
                <w:sz w:val="24"/>
              </w:rPr>
              <w:t>各国大学改革呈现趋同态势</w:t>
            </w:r>
            <w:r>
              <w:rPr>
                <w:rFonts w:hint="eastAsia"/>
                <w:sz w:val="24"/>
                <w:highlight w:val="none"/>
                <w:lang w:eastAsia="zh-CN"/>
              </w:rPr>
              <w:t>）</w:t>
            </w:r>
            <w:r>
              <w:rPr>
                <w:rFonts w:hint="eastAsia"/>
                <w:sz w:val="24"/>
                <w:highlight w:val="none"/>
                <w:lang w:val="en-US" w:eastAsia="zh-CN"/>
              </w:rPr>
              <w:t>→地缘政治变化期（</w:t>
            </w:r>
            <w:r>
              <w:rPr>
                <w:rFonts w:hint="eastAsia"/>
                <w:sz w:val="24"/>
                <w:highlight w:val="none"/>
              </w:rPr>
              <w:t>大国博弈与战略脱钩驱</w:t>
            </w:r>
            <w:r>
              <w:rPr>
                <w:rFonts w:hint="eastAsia"/>
                <w:sz w:val="24"/>
              </w:rPr>
              <w:t>动国家逻辑</w:t>
            </w:r>
            <w:r>
              <w:rPr>
                <w:rFonts w:hint="eastAsia"/>
                <w:sz w:val="24"/>
                <w:lang w:val="en-US" w:eastAsia="zh-CN"/>
              </w:rPr>
              <w:t>全面回归，市场逻辑与学术逻辑发生差异化调适</w:t>
            </w:r>
            <w:r>
              <w:rPr>
                <w:rFonts w:hint="eastAsia"/>
                <w:sz w:val="24"/>
                <w:lang w:eastAsia="zh-CN"/>
              </w:rPr>
              <w:t>）。</w:t>
            </w:r>
            <w:bookmarkEnd w:id="3"/>
            <w:r>
              <w:rPr>
                <w:sz w:val="24"/>
              </w:rPr>
              <w:t xml:space="preserve">三重逻辑在地缘政治变化期并非单一逻辑取代其余，而是以"协调-张力"为常态：国家逻辑的统摄权重全面上升，但市场逻辑的声誉竞争冲动与学术逻辑的知识自治诉求并未消弭。研究型大学在三者之间的实际协调方式表现为：对国家要求进行战略性选择合规（顺应安全审查要求但保护核心学科独立）、以学术话语重新框架政策导向（将战略动员包装为学科发展机遇）、以及依托制度弹性形成缓冲空间（通过院系自主权、伦理委员会、学者联合抵制等机制抵御过度干预）。不同地缘板块的高校形成各异的协调均衡，产生了差异化的改革路径。基于此，形成以下</w:t>
            </w:r>
            <w:r>
              <w:rPr>
                <w:sz w:val="24"/>
              </w:rPr>
              <w:t>分析层次</w:t>
            </w:r>
            <w:r>
              <w:rPr>
                <w:rFonts w:hint="eastAsia"/>
                <w:sz w:val="24"/>
              </w:rPr>
              <w:t>：</w:t>
            </w:r>
          </w:p>
          <w:p w14:paraId="595FCB65">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default" w:eastAsia="宋体"/>
                <w:sz w:val="24"/>
                <w:lang w:val="en-US" w:eastAsia="zh-CN"/>
              </w:rPr>
            </w:pPr>
            <w:r>
              <w:rPr>
                <w:rFonts w:eastAsia="黑体"/>
                <w:sz w:val="24"/>
              </w:rPr>
              <w:t>①宏观层：</w:t>
            </w:r>
            <w:r>
              <w:rPr>
                <w:sz w:val="24"/>
              </w:rPr>
              <w:t>贯穿知识生产、人才培养、外部关系、治理结构，阐释改革</w:t>
            </w:r>
            <w:r>
              <w:rPr>
                <w:rFonts w:hint="eastAsia"/>
                <w:sz w:val="24"/>
                <w:lang w:val="en-US" w:eastAsia="zh-CN"/>
              </w:rPr>
              <w:t>总</w:t>
            </w:r>
            <w:r>
              <w:rPr>
                <w:sz w:val="24"/>
              </w:rPr>
              <w:t>趋势</w:t>
            </w:r>
            <w:r>
              <w:rPr>
                <w:rFonts w:hint="eastAsia"/>
                <w:sz w:val="24"/>
                <w:lang w:val="en-US" w:eastAsia="zh-CN"/>
              </w:rPr>
              <w:t>与阶段特征</w:t>
            </w:r>
          </w:p>
          <w:p w14:paraId="2C38D73A">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sz w:val="24"/>
              </w:rPr>
            </w:pPr>
            <w:r>
              <w:rPr>
                <w:rFonts w:eastAsia="黑体"/>
                <w:sz w:val="24"/>
              </w:rPr>
              <w:t>②中观层：</w:t>
            </w:r>
            <w:r>
              <w:rPr>
                <w:sz w:val="24"/>
              </w:rPr>
              <w:t>据新制度主义的强制性、模仿性、规范性同构，厘清全球制度趋同与在地分化</w:t>
            </w:r>
          </w:p>
          <w:p w14:paraId="65EDEA0A">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sz w:val="24"/>
              </w:rPr>
            </w:pPr>
            <w:r>
              <w:rPr>
                <w:rFonts w:eastAsia="黑体"/>
                <w:sz w:val="24"/>
              </w:rPr>
              <w:t>③微观</w:t>
            </w:r>
            <w:r>
              <w:rPr>
                <w:rFonts w:hint="eastAsia" w:ascii="黑体" w:hAnsi="黑体" w:eastAsia="黑体" w:cs="黑体"/>
                <w:sz w:val="24"/>
              </w:rPr>
              <w:t>层：</w:t>
            </w:r>
            <w:r>
              <w:rPr>
                <w:rFonts w:hint="eastAsia"/>
                <w:sz w:val="24"/>
              </w:rPr>
              <w:t>按</w:t>
            </w:r>
            <w:r>
              <w:rPr>
                <w:sz w:val="24"/>
              </w:rPr>
              <w:t>制度逻辑理论</w:t>
            </w:r>
            <w:r>
              <w:rPr>
                <w:rFonts w:hint="eastAsia"/>
                <w:sz w:val="24"/>
              </w:rPr>
              <w:t>的组织感知、选择性适配、局部调试，</w:t>
            </w:r>
            <w:r>
              <w:rPr>
                <w:rFonts w:hint="eastAsia"/>
                <w:sz w:val="24"/>
                <w:lang w:val="en-US" w:eastAsia="zh-CN"/>
              </w:rPr>
              <w:t>解释</w:t>
            </w:r>
            <w:r>
              <w:rPr>
                <w:sz w:val="24"/>
              </w:rPr>
              <w:t>政策落地变形机制</w:t>
            </w:r>
          </w:p>
          <w:p w14:paraId="2513F5D8">
            <w:pPr>
              <w:keepNext w:val="0"/>
              <w:keepLines w:val="0"/>
              <w:pageBreakBefore w:val="0"/>
              <w:widowControl w:val="0"/>
              <w:numPr>
                <w:ilvl w:val="0"/>
                <w:numId w:val="5"/>
              </w:numPr>
              <w:kinsoku/>
              <w:wordWrap/>
              <w:overflowPunct/>
              <w:topLinePunct w:val="0"/>
              <w:autoSpaceDE/>
              <w:autoSpaceDN/>
              <w:bidi w:val="0"/>
              <w:adjustRightInd/>
              <w:snapToGrid/>
              <w:spacing w:before="62" w:beforeLines="20" w:line="360" w:lineRule="exact"/>
              <w:ind w:firstLine="480" w:firstLineChars="200"/>
              <w:textAlignment w:val="auto"/>
              <w:rPr>
                <w:rFonts w:eastAsia="黑体"/>
                <w:sz w:val="24"/>
              </w:rPr>
            </w:pPr>
            <w:r>
              <w:rPr>
                <w:rFonts w:eastAsia="黑体"/>
                <w:sz w:val="24"/>
              </w:rPr>
              <w:t>地缘政治视角下全球高水平研究型大学改革的现实图景</w:t>
            </w:r>
          </w:p>
          <w:p w14:paraId="5C8D2054">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sz w:val="24"/>
              </w:rPr>
            </w:pPr>
            <w:r>
              <w:rPr>
                <w:sz w:val="24"/>
              </w:rPr>
              <w:t>全球</w:t>
            </w:r>
            <w:r>
              <w:rPr>
                <w:rFonts w:hint="eastAsia"/>
                <w:sz w:val="24"/>
              </w:rPr>
              <w:t>高水平</w:t>
            </w:r>
            <w:r>
              <w:rPr>
                <w:sz w:val="24"/>
              </w:rPr>
              <w:t>研究型大学</w:t>
            </w:r>
            <w:r>
              <w:rPr>
                <w:rFonts w:hint="eastAsia"/>
                <w:sz w:val="24"/>
              </w:rPr>
              <w:t>在</w:t>
            </w:r>
            <w:r>
              <w:rPr>
                <w:sz w:val="24"/>
              </w:rPr>
              <w:t>地缘</w:t>
            </w:r>
            <w:r>
              <w:rPr>
                <w:rFonts w:hint="eastAsia"/>
                <w:sz w:val="24"/>
              </w:rPr>
              <w:t>政治格局深度调整背景下呈现何种发展态势</w:t>
            </w:r>
            <w:r>
              <w:rPr>
                <w:sz w:val="24"/>
              </w:rPr>
              <w:t>？不同</w:t>
            </w:r>
            <w:r>
              <w:rPr>
                <w:rFonts w:hint="eastAsia"/>
                <w:sz w:val="24"/>
              </w:rPr>
              <w:t>地缘板块是否形成差异化路径</w:t>
            </w:r>
            <w:r>
              <w:rPr>
                <w:sz w:val="24"/>
              </w:rPr>
              <w:t>？</w:t>
            </w:r>
            <w:r>
              <w:rPr>
                <w:rFonts w:hint="eastAsia"/>
                <w:sz w:val="24"/>
              </w:rPr>
              <w:t>以QS、THE、ARWU三大国际排名前50高校为主池样本，经去重整合后，纳入阿卜杜拉国王科</w:t>
            </w:r>
            <w:r>
              <w:rPr>
                <w:rFonts w:hint="eastAsia"/>
                <w:sz w:val="24"/>
                <w:highlight w:val="none"/>
              </w:rPr>
              <w:t>技大学、巴黎萨克雷大学等新兴研究型大学为补充样本，构建兼具代表性与典型性的全球样本库。</w:t>
            </w:r>
            <w:r>
              <w:rPr>
                <w:sz w:val="24"/>
                <w:highlight w:val="none"/>
              </w:rPr>
              <w:t>以各高校战略规划、年度报告、学术委员会审议文件及研究安全管理规程等高校自身文本为核心语料，辅以国家政策框架文件，</w:t>
            </w:r>
            <w:r>
              <w:rPr>
                <w:rFonts w:hint="eastAsia" w:ascii="黑体" w:hAnsi="黑体" w:eastAsia="黑体" w:cs="黑体"/>
                <w:sz w:val="24"/>
              </w:rPr>
              <w:t>采用政策文本与话语分析相结合的方法，识别研究型大学在三重逻辑框架下的制度选择，</w:t>
            </w:r>
            <w:r>
              <w:rPr>
                <w:sz w:val="24"/>
              </w:rPr>
              <w:t>观测指标维度，试图</w:t>
            </w:r>
            <w:r>
              <w:rPr>
                <w:rFonts w:ascii="黑体" w:hAnsi="黑体" w:eastAsia="黑体" w:cs="黑体"/>
                <w:sz w:val="24"/>
              </w:rPr>
              <w:t>归纳英美市场</w:t>
            </w:r>
            <w:r>
              <w:rPr>
                <w:rFonts w:hint="eastAsia" w:ascii="黑体" w:hAnsi="黑体" w:eastAsia="黑体" w:cs="黑体"/>
                <w:sz w:val="24"/>
                <w:lang w:val="en-US" w:eastAsia="zh-CN"/>
              </w:rPr>
              <w:t>竞争</w:t>
            </w:r>
            <w:r>
              <w:rPr>
                <w:rFonts w:ascii="黑体" w:hAnsi="黑体" w:eastAsia="黑体" w:cs="黑体"/>
                <w:sz w:val="24"/>
              </w:rPr>
              <w:t>型、欧陆协商治理型、东亚国家</w:t>
            </w:r>
            <w:r>
              <w:rPr>
                <w:rFonts w:hint="eastAsia" w:ascii="黑体" w:hAnsi="黑体" w:eastAsia="黑体" w:cs="黑体"/>
                <w:sz w:val="24"/>
                <w:lang w:val="en-US" w:eastAsia="zh-CN"/>
              </w:rPr>
              <w:t>牵引</w:t>
            </w:r>
            <w:r>
              <w:rPr>
                <w:rFonts w:ascii="黑体" w:hAnsi="黑体" w:eastAsia="黑体" w:cs="黑体"/>
                <w:sz w:val="24"/>
              </w:rPr>
              <w:t>型</w:t>
            </w:r>
            <w:r>
              <w:rPr>
                <w:rFonts w:hint="eastAsia" w:ascii="黑体" w:hAnsi="黑体" w:eastAsia="黑体" w:cs="黑体"/>
                <w:sz w:val="24"/>
              </w:rPr>
              <w:t>、中东新兴</w:t>
            </w:r>
            <w:r>
              <w:rPr>
                <w:rFonts w:hint="eastAsia" w:ascii="黑体" w:hAnsi="黑体" w:eastAsia="黑体" w:cs="黑体"/>
                <w:sz w:val="24"/>
                <w:lang w:val="en-US" w:eastAsia="zh-CN"/>
              </w:rPr>
              <w:t>枢纽</w:t>
            </w:r>
            <w:r>
              <w:rPr>
                <w:rFonts w:hint="eastAsia" w:ascii="黑体" w:hAnsi="黑体" w:eastAsia="黑体" w:cs="黑体"/>
                <w:sz w:val="24"/>
              </w:rPr>
              <w:t>型</w:t>
            </w:r>
            <w:r>
              <w:rPr>
                <w:rFonts w:ascii="黑体" w:hAnsi="黑体" w:eastAsia="黑体" w:cs="黑体"/>
                <w:sz w:val="24"/>
              </w:rPr>
              <w:t>等</w:t>
            </w:r>
            <w:r>
              <w:rPr>
                <w:rFonts w:hint="eastAsia" w:ascii="黑体" w:hAnsi="黑体" w:eastAsia="黑体" w:cs="黑体"/>
                <w:sz w:val="24"/>
              </w:rPr>
              <w:t>改革范式</w:t>
            </w:r>
            <w:r>
              <w:rPr>
                <w:rFonts w:ascii="黑体" w:hAnsi="黑体" w:eastAsia="黑体" w:cs="黑体"/>
                <w:sz w:val="24"/>
              </w:rPr>
              <w:t>，</w:t>
            </w:r>
            <w:r>
              <w:rPr>
                <w:rFonts w:hint="eastAsia" w:ascii="黑体" w:hAnsi="黑体" w:eastAsia="黑体" w:cs="黑体"/>
                <w:sz w:val="24"/>
              </w:rPr>
              <w:t>构建</w:t>
            </w:r>
            <w:r>
              <w:rPr>
                <w:rFonts w:ascii="黑体" w:hAnsi="黑体" w:eastAsia="黑体" w:cs="黑体"/>
                <w:sz w:val="24"/>
              </w:rPr>
              <w:t>全球</w:t>
            </w:r>
            <w:r>
              <w:rPr>
                <w:rFonts w:hint="eastAsia" w:ascii="黑体" w:hAnsi="黑体" w:eastAsia="黑体" w:cs="黑体"/>
                <w:sz w:val="24"/>
              </w:rPr>
              <w:t>研究型大学</w:t>
            </w:r>
            <w:r>
              <w:rPr>
                <w:rFonts w:ascii="黑体" w:hAnsi="黑体" w:eastAsia="黑体" w:cs="黑体"/>
                <w:sz w:val="24"/>
              </w:rPr>
              <w:t>改革</w:t>
            </w:r>
            <w:r>
              <w:rPr>
                <w:rFonts w:hint="eastAsia" w:ascii="黑体" w:hAnsi="黑体" w:eastAsia="黑体" w:cs="黑体"/>
                <w:sz w:val="24"/>
              </w:rPr>
              <w:t>的</w:t>
            </w:r>
            <w:r>
              <w:rPr>
                <w:rFonts w:ascii="黑体" w:hAnsi="黑体" w:eastAsia="黑体" w:cs="黑体"/>
                <w:sz w:val="24"/>
              </w:rPr>
              <w:t>比较图谱</w:t>
            </w:r>
            <w:r>
              <w:rPr>
                <w:sz w:val="24"/>
              </w:rPr>
              <w:t>。</w:t>
            </w:r>
            <w:r>
              <w:rPr>
                <w:rFonts w:hint="eastAsia"/>
                <w:sz w:val="24"/>
              </w:rPr>
              <w:t>具体观测维度及指标如下：</w:t>
            </w:r>
          </w:p>
          <w:p w14:paraId="41A0488E">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sz w:val="24"/>
              </w:rPr>
            </w:pPr>
            <w:r>
              <w:rPr>
                <w:rFonts w:eastAsia="黑体"/>
                <w:sz w:val="24"/>
              </w:rPr>
              <w:t>①知识生产：</w:t>
            </w:r>
            <w:r>
              <w:rPr>
                <w:sz w:val="24"/>
              </w:rPr>
              <w:t>战略学科经费配置占比、跨学科研究平台建制程度、基础与应用研究结构</w:t>
            </w:r>
          </w:p>
          <w:p w14:paraId="77B27CEE">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sz w:val="24"/>
              </w:rPr>
            </w:pPr>
            <w:r>
              <w:rPr>
                <w:rFonts w:eastAsia="黑体"/>
                <w:sz w:val="24"/>
              </w:rPr>
              <w:t>②人才培养：</w:t>
            </w:r>
            <w:r>
              <w:rPr>
                <w:sz w:val="24"/>
              </w:rPr>
              <w:t>学生培养规模与国际生来源结构、学位类型分布比例、课程体系改革方向</w:t>
            </w:r>
          </w:p>
          <w:p w14:paraId="2E293302">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sz w:val="24"/>
              </w:rPr>
            </w:pPr>
            <w:r>
              <w:rPr>
                <w:rFonts w:eastAsia="黑体"/>
                <w:sz w:val="24"/>
              </w:rPr>
              <w:t>③外部关系：</w:t>
            </w:r>
            <w:r>
              <w:rPr>
                <w:sz w:val="24"/>
              </w:rPr>
              <w:t>产学研与国际学术合作网络、师生国际化程度、科研安全审查制度与政策</w:t>
            </w:r>
          </w:p>
          <w:p w14:paraId="7D661557">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sz w:val="24"/>
              </w:rPr>
            </w:pPr>
            <w:r>
              <w:rPr>
                <w:rFonts w:eastAsia="黑体"/>
                <w:sz w:val="24"/>
              </w:rPr>
              <w:t>④治理结构</w:t>
            </w:r>
            <w:r>
              <w:rPr>
                <w:rFonts w:hint="eastAsia" w:ascii="黑体" w:hAnsi="黑体" w:eastAsia="黑体" w:cs="黑体"/>
                <w:sz w:val="24"/>
              </w:rPr>
              <w:t>：</w:t>
            </w:r>
            <w:r>
              <w:rPr>
                <w:rFonts w:hint="eastAsia"/>
                <w:sz w:val="24"/>
              </w:rPr>
              <w:t>办学</w:t>
            </w:r>
            <w:r>
              <w:rPr>
                <w:sz w:val="24"/>
              </w:rPr>
              <w:t>自主边界、竞争性</w:t>
            </w:r>
            <w:r>
              <w:rPr>
                <w:rFonts w:hint="eastAsia"/>
                <w:sz w:val="24"/>
              </w:rPr>
              <w:t>科研</w:t>
            </w:r>
            <w:r>
              <w:rPr>
                <w:sz w:val="24"/>
              </w:rPr>
              <w:t>经费占比、绩效评价</w:t>
            </w:r>
            <w:r>
              <w:rPr>
                <w:rFonts w:hint="eastAsia"/>
                <w:sz w:val="24"/>
              </w:rPr>
              <w:t>体系、</w:t>
            </w:r>
            <w:r>
              <w:rPr>
                <w:sz w:val="24"/>
              </w:rPr>
              <w:t>人事评聘</w:t>
            </w:r>
            <w:r>
              <w:rPr>
                <w:rFonts w:hint="eastAsia"/>
                <w:sz w:val="24"/>
              </w:rPr>
              <w:t>考核</w:t>
            </w:r>
            <w:r>
              <w:rPr>
                <w:sz w:val="24"/>
              </w:rPr>
              <w:t>标准</w:t>
            </w:r>
          </w:p>
          <w:p w14:paraId="7822EF28">
            <w:pPr>
              <w:keepNext w:val="0"/>
              <w:keepLines w:val="0"/>
              <w:pageBreakBefore w:val="0"/>
              <w:widowControl w:val="0"/>
              <w:numPr>
                <w:ilvl w:val="0"/>
                <w:numId w:val="5"/>
              </w:numPr>
              <w:kinsoku/>
              <w:wordWrap/>
              <w:overflowPunct/>
              <w:topLinePunct w:val="0"/>
              <w:autoSpaceDE/>
              <w:autoSpaceDN/>
              <w:bidi w:val="0"/>
              <w:adjustRightInd/>
              <w:snapToGrid/>
              <w:spacing w:before="62" w:beforeLines="20" w:line="360" w:lineRule="exact"/>
              <w:ind w:firstLine="480" w:firstLineChars="200"/>
              <w:textAlignment w:val="auto"/>
              <w:rPr>
                <w:rFonts w:eastAsia="黑体"/>
                <w:sz w:val="24"/>
              </w:rPr>
            </w:pPr>
            <w:r>
              <w:rPr>
                <w:rFonts w:eastAsia="黑体"/>
                <w:sz w:val="24"/>
              </w:rPr>
              <w:t>全球高水平研究型大学的改革趋势、</w:t>
            </w:r>
            <w:r>
              <w:rPr>
                <w:rFonts w:hint="eastAsia" w:eastAsia="黑体"/>
                <w:sz w:val="24"/>
              </w:rPr>
              <w:t>驱动机制</w:t>
            </w:r>
            <w:r>
              <w:rPr>
                <w:rFonts w:eastAsia="黑体"/>
                <w:sz w:val="24"/>
              </w:rPr>
              <w:t>与</w:t>
            </w:r>
            <w:r>
              <w:rPr>
                <w:rFonts w:hint="eastAsia" w:eastAsia="黑体"/>
                <w:sz w:val="24"/>
              </w:rPr>
              <w:t>成效</w:t>
            </w:r>
            <w:r>
              <w:rPr>
                <w:rFonts w:eastAsia="黑体"/>
                <w:sz w:val="24"/>
              </w:rPr>
              <w:t>分析</w:t>
            </w:r>
          </w:p>
          <w:p w14:paraId="4DB05227">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sz w:val="24"/>
              </w:rPr>
            </w:pPr>
            <w:r>
              <w:rPr>
                <w:sz w:val="24"/>
              </w:rPr>
              <w:t>地缘政治</w:t>
            </w:r>
            <w:r>
              <w:rPr>
                <w:rFonts w:hint="eastAsia"/>
                <w:sz w:val="24"/>
                <w:highlight w:val="none"/>
              </w:rPr>
              <w:t>变化下大学的</w:t>
            </w:r>
            <w:r>
              <w:rPr>
                <w:sz w:val="24"/>
                <w:highlight w:val="none"/>
              </w:rPr>
              <w:t>改革趋势？</w:t>
            </w:r>
            <w:r>
              <w:rPr>
                <w:rFonts w:hint="eastAsia"/>
                <w:sz w:val="24"/>
                <w:highlight w:val="none"/>
              </w:rPr>
              <w:t>延续性</w:t>
            </w:r>
            <w:r>
              <w:rPr>
                <w:rFonts w:hint="eastAsia"/>
                <w:sz w:val="24"/>
                <w:highlight w:val="none"/>
                <w:lang w:val="en-US" w:eastAsia="zh-CN"/>
              </w:rPr>
              <w:t>特征</w:t>
            </w:r>
            <w:r>
              <w:rPr>
                <w:rFonts w:hint="eastAsia"/>
                <w:sz w:val="24"/>
                <w:highlight w:val="none"/>
              </w:rPr>
              <w:t>是否被新压力扭曲？</w:t>
            </w:r>
            <w:r>
              <w:rPr>
                <w:rFonts w:hint="eastAsia"/>
                <w:sz w:val="24"/>
                <w:highlight w:val="none"/>
                <w:lang w:val="en-US" w:eastAsia="zh-CN"/>
              </w:rPr>
              <w:t>驱动机制是什么？改革如何？</w:t>
            </w:r>
            <w:r>
              <w:rPr>
                <w:rFonts w:hint="eastAsia"/>
                <w:sz w:val="24"/>
                <w:highlight w:val="none"/>
              </w:rPr>
              <w:t>基于全球</w:t>
            </w:r>
            <w:r>
              <w:rPr>
                <w:rFonts w:hint="eastAsia"/>
                <w:sz w:val="24"/>
                <w:highlight w:val="none"/>
                <w:lang w:val="en-US" w:eastAsia="zh-CN"/>
              </w:rPr>
              <w:t>比较</w:t>
            </w:r>
            <w:r>
              <w:rPr>
                <w:sz w:val="24"/>
                <w:highlight w:val="none"/>
              </w:rPr>
              <w:t>图谱</w:t>
            </w:r>
            <w:r>
              <w:rPr>
                <w:rFonts w:hint="eastAsia" w:ascii="Times New Roman" w:hAnsi="Times New Roman" w:eastAsia="宋体" w:cs="Times New Roman"/>
                <w:sz w:val="24"/>
                <w:highlight w:val="none"/>
              </w:rPr>
              <w:t>，</w:t>
            </w:r>
            <w:r>
              <w:rPr>
                <w:rFonts w:hint="eastAsia" w:ascii="Times New Roman" w:hAnsi="Times New Roman" w:eastAsia="宋体" w:cs="Times New Roman"/>
                <w:sz w:val="24"/>
                <w:highlight w:val="none"/>
                <w:lang w:val="en-US" w:eastAsia="zh-CN"/>
              </w:rPr>
              <w:t>运用</w:t>
            </w:r>
            <w:r>
              <w:rPr>
                <w:rFonts w:hint="eastAsia" w:ascii="Times New Roman" w:hAnsi="Times New Roman" w:eastAsia="宋体" w:cs="Times New Roman"/>
                <w:sz w:val="24"/>
                <w:highlight w:val="none"/>
              </w:rPr>
              <w:t>科学计量与可视化分析</w:t>
            </w:r>
            <w:r>
              <w:rPr>
                <w:rFonts w:hint="eastAsia" w:ascii="Times New Roman" w:hAnsi="Times New Roman" w:eastAsia="宋体" w:cs="Times New Roman"/>
                <w:sz w:val="24"/>
                <w:highlight w:val="none"/>
                <w:lang w:val="en-US" w:eastAsia="zh-CN"/>
              </w:rPr>
              <w:t>方法</w:t>
            </w:r>
            <w:r>
              <w:rPr>
                <w:rFonts w:hint="eastAsia" w:ascii="Times New Roman" w:hAnsi="Times New Roman" w:eastAsia="宋体" w:cs="Times New Roman"/>
                <w:sz w:val="24"/>
                <w:highlight w:val="none"/>
              </w:rPr>
              <w:t>，</w:t>
            </w:r>
            <w:r>
              <w:rPr>
                <w:rFonts w:hint="eastAsia" w:ascii="黑体" w:hAnsi="黑体" w:eastAsia="黑体" w:cs="黑体"/>
                <w:sz w:val="24"/>
                <w:lang w:val="en-US" w:eastAsia="zh-CN"/>
              </w:rPr>
              <w:t>从延续性特征，</w:t>
            </w:r>
            <w:r>
              <w:rPr>
                <w:rFonts w:hint="eastAsia" w:ascii="黑体" w:hAnsi="黑体" w:eastAsia="黑体" w:cs="黑体"/>
                <w:sz w:val="24"/>
              </w:rPr>
              <w:t>考察绩效问责深化、竞争性经费扩张、排名驱动的学科布局调整等既有趋势，在地缘政治压力下是持续强化</w:t>
            </w:r>
            <w:r>
              <w:rPr>
                <w:rFonts w:hint="eastAsia" w:ascii="黑体" w:hAnsi="黑体" w:eastAsia="黑体" w:cs="黑体"/>
                <w:sz w:val="24"/>
                <w:lang w:val="en-US" w:eastAsia="zh-CN"/>
              </w:rPr>
              <w:t>抑或</w:t>
            </w:r>
            <w:r>
              <w:rPr>
                <w:rFonts w:hint="eastAsia" w:ascii="黑体" w:hAnsi="黑体" w:eastAsia="黑体" w:cs="黑体"/>
                <w:sz w:val="24"/>
              </w:rPr>
              <w:t>发生方向性调</w:t>
            </w:r>
            <w:r>
              <w:rPr>
                <w:rFonts w:hint="eastAsia" w:ascii="黑体" w:hAnsi="黑体" w:eastAsia="黑体" w:cs="黑体"/>
                <w:sz w:val="24"/>
                <w:lang w:val="en-US" w:eastAsia="zh-CN"/>
              </w:rPr>
              <w:t>适；从新兴趋势，</w:t>
            </w:r>
            <w:r>
              <w:rPr>
                <w:rFonts w:hint="eastAsia" w:ascii="黑体" w:hAnsi="黑体" w:eastAsia="黑体" w:cs="黑体"/>
                <w:sz w:val="24"/>
              </w:rPr>
              <w:t>识别战略领域定向动员、研究安全审查制度化、科研合作阵营化，以及亚洲、中东新兴高教中心崛起对全球科研格局的</w:t>
            </w:r>
            <w:r>
              <w:rPr>
                <w:rFonts w:hint="eastAsia" w:ascii="黑体" w:hAnsi="黑体" w:eastAsia="黑体" w:cs="黑体"/>
                <w:sz w:val="24"/>
                <w:lang w:val="en-US" w:eastAsia="zh-CN"/>
              </w:rPr>
              <w:t>影响</w:t>
            </w:r>
            <w:r>
              <w:rPr>
                <w:rFonts w:hint="eastAsia"/>
                <w:sz w:val="24"/>
                <w:highlight w:val="none"/>
              </w:rPr>
              <w:t>。</w:t>
            </w:r>
            <w:r>
              <w:rPr>
                <w:rFonts w:hint="eastAsia"/>
                <w:sz w:val="24"/>
                <w:highlight w:val="none"/>
                <w:lang w:val="en-US" w:eastAsia="zh-CN"/>
              </w:rPr>
              <w:t>基于此，</w:t>
            </w:r>
            <w:r>
              <w:rPr>
                <w:sz w:val="24"/>
              </w:rPr>
              <w:t>聚焦大国科技竞争、</w:t>
            </w:r>
            <w:r>
              <w:rPr>
                <w:rFonts w:hint="eastAsia"/>
                <w:sz w:val="24"/>
              </w:rPr>
              <w:t>全球科研</w:t>
            </w:r>
            <w:r>
              <w:rPr>
                <w:sz w:val="24"/>
              </w:rPr>
              <w:t>战略脱钩</w:t>
            </w:r>
            <w:r>
              <w:rPr>
                <w:rFonts w:hint="eastAsia"/>
                <w:sz w:val="24"/>
                <w:lang w:val="en-US" w:eastAsia="zh-CN"/>
              </w:rPr>
              <w:t>等</w:t>
            </w:r>
            <w:r>
              <w:rPr>
                <w:sz w:val="24"/>
              </w:rPr>
              <w:t>，</w:t>
            </w:r>
            <w:r>
              <w:rPr>
                <w:rFonts w:hint="eastAsia"/>
                <w:sz w:val="24"/>
              </w:rPr>
              <w:t>分析其与既有驱动力（全球化、新自由主义改革等）的叠加效应，阐释新兴改革趋势集中涌现与持续强化的深层机理。在趋势分析中，贯通三重逻辑框架，识别每类改革趋势的逻辑主导性质：国家逻辑主导型（战略学科定向动员、研究安全审查制度化、国家主导科研经费增量）；市场逻辑调适型（技术转化机制升级、国际合作伙伴结构多元化、新型产学研联动）；学术逻辑抗衡型（基础研究资源护持、学术自由边界维护、国际同行评审坚守）；以及三类逻辑在不同地缘板块叠加形成的差异化组合模式。效果评估围绕四</w:t>
            </w:r>
            <w:r>
              <w:rPr>
                <w:rFonts w:hint="eastAsia"/>
                <w:sz w:val="24"/>
              </w:rPr>
              <w:t>大</w:t>
            </w:r>
            <w:r>
              <w:rPr>
                <w:sz w:val="24"/>
              </w:rPr>
              <w:t>维度：</w:t>
            </w:r>
          </w:p>
          <w:p w14:paraId="282C9D0F">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sz w:val="24"/>
              </w:rPr>
            </w:pPr>
            <w:r>
              <w:rPr>
                <w:rFonts w:eastAsia="黑体"/>
                <w:sz w:val="24"/>
              </w:rPr>
              <w:t>①战略科研能力：</w:t>
            </w:r>
            <w:r>
              <w:rPr>
                <w:sz w:val="24"/>
              </w:rPr>
              <w:t xml:space="preserve">战略领域论文产出、专利布局、高被引学者集聚态势的动态变化  </w:t>
            </w:r>
          </w:p>
          <w:p w14:paraId="77F43511">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sz w:val="24"/>
              </w:rPr>
            </w:pPr>
            <w:r>
              <w:rPr>
                <w:rFonts w:eastAsia="黑体"/>
                <w:sz w:val="24"/>
              </w:rPr>
              <w:t>②国际合作水平：</w:t>
            </w:r>
            <w:r>
              <w:rPr>
                <w:sz w:val="24"/>
              </w:rPr>
              <w:t>中美、美欧、亚太等学术合作的空间格局演变与合作多元化程度</w:t>
            </w:r>
          </w:p>
          <w:p w14:paraId="1CB93A29">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sz w:val="24"/>
              </w:rPr>
            </w:pPr>
            <w:r>
              <w:rPr>
                <w:rFonts w:eastAsia="黑体"/>
                <w:sz w:val="24"/>
              </w:rPr>
              <w:t>③人才竞争格局：</w:t>
            </w:r>
            <w:r>
              <w:rPr>
                <w:sz w:val="24"/>
              </w:rPr>
              <w:t>博士生与高被引学者跨国流动的来源结构与集聚方位的结构变迁</w:t>
            </w:r>
          </w:p>
          <w:p w14:paraId="43370BA2">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sz w:val="24"/>
              </w:rPr>
            </w:pPr>
            <w:r>
              <w:rPr>
                <w:rFonts w:eastAsia="黑体"/>
                <w:sz w:val="24"/>
              </w:rPr>
              <w:t>④大学自身发展：</w:t>
            </w:r>
            <w:r>
              <w:rPr>
                <w:sz w:val="24"/>
              </w:rPr>
              <w:t>学术自治空间、基础研究资源投入与大学使命完整性的演化特征</w:t>
            </w:r>
          </w:p>
          <w:p w14:paraId="258C74C8">
            <w:pPr>
              <w:keepNext w:val="0"/>
              <w:keepLines w:val="0"/>
              <w:pageBreakBefore w:val="0"/>
              <w:widowControl w:val="0"/>
              <w:numPr>
                <w:ilvl w:val="0"/>
                <w:numId w:val="5"/>
              </w:numPr>
              <w:kinsoku/>
              <w:wordWrap/>
              <w:overflowPunct/>
              <w:topLinePunct w:val="0"/>
              <w:autoSpaceDE/>
              <w:autoSpaceDN/>
              <w:bidi w:val="0"/>
              <w:adjustRightInd/>
              <w:snapToGrid/>
              <w:spacing w:before="62" w:beforeLines="20" w:line="360" w:lineRule="exact"/>
              <w:ind w:firstLine="480" w:firstLineChars="200"/>
              <w:textAlignment w:val="auto"/>
              <w:rPr>
                <w:rFonts w:eastAsia="黑体"/>
                <w:sz w:val="24"/>
              </w:rPr>
            </w:pPr>
            <w:r>
              <w:rPr>
                <w:rFonts w:hint="eastAsia" w:eastAsia="黑体"/>
                <w:sz w:val="24"/>
              </w:rPr>
              <w:t>全球</w:t>
            </w:r>
            <w:r>
              <w:rPr>
                <w:rFonts w:eastAsia="黑体"/>
                <w:sz w:val="24"/>
              </w:rPr>
              <w:t>高水平研究型大学应对地缘政治压力的案例</w:t>
            </w:r>
            <w:r>
              <w:rPr>
                <w:rFonts w:hint="eastAsia" w:eastAsia="黑体"/>
                <w:sz w:val="24"/>
              </w:rPr>
              <w:t>比较</w:t>
            </w:r>
          </w:p>
          <w:p w14:paraId="21B625DE">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sz w:val="24"/>
              </w:rPr>
            </w:pPr>
            <w:r>
              <w:rPr>
                <w:rFonts w:hint="eastAsia"/>
                <w:sz w:val="24"/>
              </w:rPr>
              <w:t>研究型大学</w:t>
            </w:r>
            <w:r>
              <w:rPr>
                <w:sz w:val="24"/>
              </w:rPr>
              <w:t>如何响应地缘政治压</w:t>
            </w:r>
            <w:r>
              <w:rPr>
                <w:sz w:val="24"/>
                <w:highlight w:val="none"/>
              </w:rPr>
              <w:t>力？</w:t>
            </w:r>
            <w:r>
              <w:rPr>
                <w:rFonts w:hint="eastAsia"/>
                <w:sz w:val="24"/>
                <w:highlight w:val="none"/>
                <w:lang w:val="en-US" w:eastAsia="zh-CN"/>
              </w:rPr>
              <w:t>其制度变迁机制如何？通过典型案例追踪改革趋势在大学内部的实际转化机制，选取六</w:t>
            </w:r>
            <w:r>
              <w:rPr>
                <w:sz w:val="24"/>
              </w:rPr>
              <w:t>所处于差异化地缘政治处境、具备典型范式特征的</w:t>
            </w:r>
            <w:r>
              <w:rPr>
                <w:rFonts w:hint="eastAsia"/>
                <w:sz w:val="24"/>
              </w:rPr>
              <w:t>全球顶尖</w:t>
            </w:r>
            <w:r>
              <w:rPr>
                <w:sz w:val="24"/>
              </w:rPr>
              <w:t>研究型大学：</w:t>
            </w:r>
            <w:r>
              <w:rPr>
                <w:rFonts w:hint="eastAsia" w:ascii="黑体" w:hAnsi="黑体" w:eastAsia="黑体" w:cs="黑体"/>
                <w:sz w:val="24"/>
                <w:lang w:val="en-US" w:eastAsia="zh-CN"/>
              </w:rPr>
              <w:t>美国</w:t>
            </w:r>
            <w:r>
              <w:rPr>
                <w:rFonts w:ascii="黑体" w:hAnsi="黑体" w:eastAsia="黑体" w:cs="黑体"/>
                <w:sz w:val="24"/>
              </w:rPr>
              <w:t>麻省理工学院（科技竞争主导型）、</w:t>
            </w:r>
            <w:r>
              <w:rPr>
                <w:rFonts w:hint="eastAsia" w:ascii="黑体" w:hAnsi="黑体" w:eastAsia="黑体" w:cs="黑体"/>
                <w:sz w:val="24"/>
                <w:lang w:val="en-US" w:eastAsia="zh-CN"/>
              </w:rPr>
              <w:t>英国</w:t>
            </w:r>
            <w:r>
              <w:rPr>
                <w:rFonts w:ascii="黑体" w:hAnsi="黑体" w:eastAsia="黑体" w:cs="黑体"/>
                <w:sz w:val="24"/>
              </w:rPr>
              <w:t>帝国理工学院（市场化叠加多重外部压力型）、</w:t>
            </w:r>
            <w:r>
              <w:rPr>
                <w:rFonts w:hint="eastAsia" w:ascii="黑体" w:hAnsi="黑体" w:eastAsia="黑体" w:cs="黑体"/>
                <w:sz w:val="24"/>
                <w:lang w:val="en-US" w:eastAsia="zh-CN"/>
              </w:rPr>
              <w:t>德国</w:t>
            </w:r>
            <w:r>
              <w:rPr>
                <w:rFonts w:ascii="黑体" w:hAnsi="黑体" w:eastAsia="黑体" w:cs="黑体"/>
                <w:sz w:val="24"/>
              </w:rPr>
              <w:t>慕尼黑工业大学（欧陆协商治理型）、</w:t>
            </w:r>
            <w:r>
              <w:rPr>
                <w:rFonts w:hint="eastAsia" w:ascii="黑体" w:hAnsi="黑体" w:eastAsia="黑体" w:cs="黑体"/>
                <w:sz w:val="24"/>
                <w:lang w:val="en-US" w:eastAsia="zh-CN"/>
              </w:rPr>
              <w:t>日本</w:t>
            </w:r>
            <w:r>
              <w:rPr>
                <w:rFonts w:ascii="黑体" w:hAnsi="黑体" w:eastAsia="黑体" w:cs="黑体"/>
                <w:sz w:val="24"/>
              </w:rPr>
              <w:t>东京大学（</w:t>
            </w:r>
            <w:r>
              <w:rPr>
                <w:rFonts w:hint="eastAsia" w:ascii="黑体" w:hAnsi="黑体" w:eastAsia="黑体" w:cs="黑体"/>
                <w:sz w:val="24"/>
                <w:lang w:val="en-US" w:eastAsia="zh-CN"/>
              </w:rPr>
              <w:t>传统盟友承压</w:t>
            </w:r>
            <w:r>
              <w:rPr>
                <w:rFonts w:ascii="黑体" w:hAnsi="黑体" w:eastAsia="黑体" w:cs="黑体"/>
                <w:sz w:val="24"/>
              </w:rPr>
              <w:t>型）、</w:t>
            </w:r>
            <w:r>
              <w:rPr>
                <w:rFonts w:hint="eastAsia" w:ascii="黑体" w:hAnsi="黑体" w:eastAsia="黑体" w:cs="黑体"/>
                <w:sz w:val="24"/>
                <w:lang w:val="en-US" w:eastAsia="zh-CN"/>
              </w:rPr>
              <w:t>新加坡</w:t>
            </w:r>
            <w:r>
              <w:rPr>
                <w:rFonts w:ascii="黑体" w:hAnsi="黑体" w:eastAsia="黑体" w:cs="黑体"/>
                <w:sz w:val="24"/>
              </w:rPr>
              <w:t>南洋理工大学（</w:t>
            </w:r>
            <w:r>
              <w:rPr>
                <w:rFonts w:hint="eastAsia" w:ascii="黑体" w:hAnsi="黑体" w:eastAsia="黑体" w:cs="黑体"/>
                <w:sz w:val="24"/>
                <w:lang w:val="en-US" w:eastAsia="zh-CN"/>
              </w:rPr>
              <w:t>中间</w:t>
            </w:r>
            <w:r>
              <w:rPr>
                <w:rFonts w:ascii="黑体" w:hAnsi="黑体" w:eastAsia="黑体" w:cs="黑体"/>
                <w:sz w:val="24"/>
              </w:rPr>
              <w:t>战略自主型）</w:t>
            </w:r>
            <w:r>
              <w:rPr>
                <w:rFonts w:hint="eastAsia" w:ascii="黑体" w:hAnsi="黑体" w:eastAsia="黑体" w:cs="黑体"/>
                <w:sz w:val="24"/>
                <w:lang w:eastAsia="zh-CN"/>
              </w:rPr>
              <w:t>、</w:t>
            </w:r>
            <w:r>
              <w:rPr>
                <w:rFonts w:hint="eastAsia" w:ascii="黑体" w:hAnsi="黑体" w:eastAsia="黑体" w:cs="黑体"/>
                <w:sz w:val="24"/>
                <w:lang w:val="en-US" w:eastAsia="zh-CN"/>
              </w:rPr>
              <w:t>沙特阿卜杜拉国王科技大学（国家战略工具型）</w:t>
            </w:r>
            <w:r>
              <w:rPr>
                <w:sz w:val="24"/>
              </w:rPr>
              <w:t>。通过</w:t>
            </w:r>
            <w:r>
              <w:rPr>
                <w:rFonts w:hint="eastAsia"/>
                <w:sz w:val="24"/>
              </w:rPr>
              <w:t>个案</w:t>
            </w:r>
            <w:r>
              <w:rPr>
                <w:sz w:val="24"/>
              </w:rPr>
              <w:t>深描与对比，系统拆解</w:t>
            </w:r>
            <w:r>
              <w:rPr>
                <w:rFonts w:hint="eastAsia"/>
                <w:sz w:val="24"/>
              </w:rPr>
              <w:t>不同</w:t>
            </w:r>
            <w:r>
              <w:rPr>
                <w:rFonts w:hint="eastAsia"/>
                <w:sz w:val="24"/>
                <w:lang w:val="en-US" w:eastAsia="zh-CN"/>
              </w:rPr>
              <w:t>压力</w:t>
            </w:r>
            <w:r>
              <w:rPr>
                <w:rFonts w:hint="eastAsia"/>
                <w:sz w:val="24"/>
              </w:rPr>
              <w:t>类型大学</w:t>
            </w:r>
            <w:r>
              <w:rPr>
                <w:sz w:val="24"/>
              </w:rPr>
              <w:t>的制度调适</w:t>
            </w:r>
            <w:r>
              <w:rPr>
                <w:rFonts w:hint="eastAsia"/>
                <w:sz w:val="24"/>
                <w:lang w:val="en-US" w:eastAsia="zh-CN"/>
              </w:rPr>
              <w:t>逻辑</w:t>
            </w:r>
            <w:r>
              <w:rPr>
                <w:sz w:val="24"/>
              </w:rPr>
              <w:t>，重点围绕三</w:t>
            </w:r>
            <w:r>
              <w:rPr>
                <w:rFonts w:hint="eastAsia"/>
                <w:sz w:val="24"/>
              </w:rPr>
              <w:t>方面揭示微观作用机制：</w:t>
            </w:r>
          </w:p>
          <w:p w14:paraId="4B3C293A">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sz w:val="24"/>
              </w:rPr>
            </w:pPr>
            <w:r>
              <w:rPr>
                <w:rFonts w:eastAsia="黑体"/>
                <w:sz w:val="24"/>
              </w:rPr>
              <w:t>①外部压力传导：</w:t>
            </w:r>
            <w:r>
              <w:rPr>
                <w:sz w:val="24"/>
              </w:rPr>
              <w:t>环境对大学战略规划、科研组织、国际合作及人才政策的约束与导向</w:t>
            </w:r>
          </w:p>
          <w:p w14:paraId="6B193780">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sz w:val="24"/>
                <w:highlight w:val="none"/>
              </w:rPr>
            </w:pPr>
            <w:r>
              <w:rPr>
                <w:rFonts w:eastAsia="黑体"/>
                <w:sz w:val="24"/>
              </w:rPr>
              <w:t>②三重逻辑协调机制：</w:t>
            </w:r>
            <w:r>
              <w:rPr>
                <w:sz w:val="24"/>
                <w:highlight w:val="none"/>
              </w:rPr>
              <w:t>大学治理主体如何在国家逻辑（战略动员与安全合规要求）、市场逻辑（声誉维护与资源争夺）、学术逻辑（知识自治与学术共同体属性维护）三者之间寻求动态协调均衡，形成何种逻辑优先次序与制度妥协边界，以及在高校自身发布的战略规划与政策声明中，三重逻辑如何通过特定话语被重新框架与平衡</w:t>
            </w:r>
          </w:p>
          <w:p w14:paraId="2A2C9F2F">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sz w:val="24"/>
                <w:highlight w:val="none"/>
              </w:rPr>
            </w:pPr>
            <w:r>
              <w:rPr>
                <w:rFonts w:eastAsia="黑体"/>
                <w:sz w:val="24"/>
                <w:highlight w:val="none"/>
              </w:rPr>
              <w:t>③政策落地转译：</w:t>
            </w:r>
            <w:r>
              <w:rPr>
                <w:sz w:val="24"/>
                <w:highlight w:val="none"/>
              </w:rPr>
              <w:t>顶层外部规制进入大学场域后的适应性转译、制度变形及</w:t>
            </w:r>
            <w:r>
              <w:rPr>
                <w:rFonts w:hint="eastAsia"/>
                <w:sz w:val="24"/>
                <w:highlight w:val="none"/>
              </w:rPr>
              <w:t>差异化</w:t>
            </w:r>
            <w:r>
              <w:rPr>
                <w:sz w:val="24"/>
                <w:highlight w:val="none"/>
              </w:rPr>
              <w:t>抵抗</w:t>
            </w:r>
          </w:p>
          <w:p w14:paraId="552F1120">
            <w:pPr>
              <w:keepNext w:val="0"/>
              <w:keepLines w:val="0"/>
              <w:pageBreakBefore w:val="0"/>
              <w:widowControl w:val="0"/>
              <w:numPr>
                <w:ilvl w:val="0"/>
                <w:numId w:val="5"/>
              </w:numPr>
              <w:kinsoku/>
              <w:wordWrap/>
              <w:overflowPunct/>
              <w:topLinePunct w:val="0"/>
              <w:autoSpaceDE/>
              <w:autoSpaceDN/>
              <w:bidi w:val="0"/>
              <w:adjustRightInd/>
              <w:snapToGrid/>
              <w:spacing w:before="62" w:beforeLines="20" w:line="360" w:lineRule="exact"/>
              <w:ind w:firstLine="480" w:firstLineChars="200"/>
              <w:textAlignment w:val="auto"/>
              <w:rPr>
                <w:rFonts w:eastAsia="黑体"/>
                <w:sz w:val="24"/>
                <w:highlight w:val="none"/>
              </w:rPr>
            </w:pPr>
            <w:r>
              <w:rPr>
                <w:rFonts w:eastAsia="黑体"/>
                <w:sz w:val="24"/>
                <w:highlight w:val="none"/>
              </w:rPr>
              <w:t>中国高水平研究型大学</w:t>
            </w:r>
            <w:r>
              <w:rPr>
                <w:rFonts w:hint="eastAsia" w:eastAsia="黑体"/>
                <w:sz w:val="24"/>
                <w:highlight w:val="none"/>
              </w:rPr>
              <w:t>面向</w:t>
            </w:r>
            <w:r>
              <w:rPr>
                <w:rFonts w:eastAsia="黑体"/>
                <w:sz w:val="24"/>
                <w:highlight w:val="none"/>
              </w:rPr>
              <w:t>地缘政治</w:t>
            </w:r>
            <w:r>
              <w:rPr>
                <w:rFonts w:hint="eastAsia" w:eastAsia="黑体"/>
                <w:sz w:val="24"/>
                <w:highlight w:val="none"/>
              </w:rPr>
              <w:t>变化的</w:t>
            </w:r>
            <w:r>
              <w:rPr>
                <w:rFonts w:eastAsia="黑体"/>
                <w:sz w:val="24"/>
                <w:highlight w:val="none"/>
              </w:rPr>
              <w:t>建设路径</w:t>
            </w:r>
          </w:p>
          <w:p w14:paraId="4872F9A7">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sz w:val="24"/>
              </w:rPr>
            </w:pPr>
            <w:r>
              <w:rPr>
                <w:rFonts w:hint="eastAsia"/>
                <w:sz w:val="24"/>
                <w:highlight w:val="none"/>
                <w:lang w:val="en-US" w:eastAsia="zh-CN"/>
              </w:rPr>
              <w:t>我</w:t>
            </w:r>
            <w:r>
              <w:rPr>
                <w:sz w:val="24"/>
                <w:highlight w:val="none"/>
              </w:rPr>
              <w:t>国高水平研究型大学应如何在地缘政治变局中，从自身战略规划与制度设计出发，切实服务于科技竞争目标、突破关键核心技术，同时维护知识自治与可持续学术生态？以中国顶尖研究型大学自身发布的战略规划、五年发展纲要、科研安全管理文件及年度报告为核心材料，</w:t>
            </w:r>
            <w:r>
              <w:rPr>
                <w:rFonts w:hint="eastAsia" w:ascii="黑体" w:hAnsi="黑体" w:eastAsia="黑体" w:cs="黑体"/>
                <w:sz w:val="24"/>
              </w:rPr>
              <w:t>对中国顶尖研究型大学进行平行评估，与全球样本形成直接可比的实证数据</w:t>
            </w:r>
            <w:r>
              <w:rPr>
                <w:rFonts w:hint="eastAsia" w:ascii="黑体" w:hAnsi="黑体" w:eastAsia="黑体" w:cs="黑体"/>
                <w:sz w:val="24"/>
                <w:lang w:eastAsia="zh-CN"/>
              </w:rPr>
              <w:t>，</w:t>
            </w:r>
            <w:r>
              <w:rPr>
                <w:rFonts w:hint="eastAsia"/>
                <w:sz w:val="24"/>
              </w:rPr>
              <w:t>识别技术封锁与签证收紧</w:t>
            </w:r>
            <w:r>
              <w:rPr>
                <w:rFonts w:hint="eastAsia"/>
                <w:sz w:val="24"/>
                <w:lang w:val="en-US" w:eastAsia="zh-CN"/>
              </w:rPr>
              <w:t>是否</w:t>
            </w:r>
            <w:r>
              <w:rPr>
                <w:rFonts w:hint="eastAsia"/>
                <w:sz w:val="24"/>
              </w:rPr>
              <w:t>导致国际科研合作的结构性收缩、战略领域动员强度</w:t>
            </w:r>
            <w:r>
              <w:rPr>
                <w:rFonts w:hint="eastAsia"/>
                <w:sz w:val="24"/>
                <w:lang w:val="en-US" w:eastAsia="zh-CN"/>
              </w:rPr>
              <w:t>是否</w:t>
            </w:r>
            <w:r>
              <w:rPr>
                <w:rFonts w:hint="eastAsia"/>
                <w:sz w:val="24"/>
              </w:rPr>
              <w:t>高于国际比较对象、治理制度安排</w:t>
            </w:r>
            <w:r>
              <w:rPr>
                <w:rFonts w:hint="eastAsia"/>
                <w:sz w:val="24"/>
                <w:lang w:val="en-US" w:eastAsia="zh-CN"/>
              </w:rPr>
              <w:t>是否</w:t>
            </w:r>
            <w:r>
              <w:rPr>
                <w:rFonts w:hint="eastAsia"/>
                <w:sz w:val="24"/>
              </w:rPr>
              <w:t>制约域外经验的移植边界</w:t>
            </w:r>
            <w:r>
              <w:rPr>
                <w:rFonts w:hint="eastAsia"/>
                <w:sz w:val="24"/>
                <w:lang w:eastAsia="zh-CN"/>
              </w:rPr>
              <w:t>，</w:t>
            </w:r>
            <w:r>
              <w:rPr>
                <w:rFonts w:hint="eastAsia"/>
                <w:sz w:val="24"/>
                <w:lang w:val="en-US" w:eastAsia="zh-CN"/>
              </w:rPr>
              <w:t>进而</w:t>
            </w:r>
            <w:r>
              <w:rPr>
                <w:rFonts w:hint="eastAsia"/>
                <w:sz w:val="24"/>
              </w:rPr>
              <w:t>围绕科研组织重构、人才体系优化与治理机制创新三个核心维度，</w:t>
            </w:r>
            <w:r>
              <w:rPr>
                <w:rFonts w:hint="eastAsia" w:ascii="黑体" w:hAnsi="黑体" w:eastAsia="黑体" w:cs="黑体"/>
                <w:sz w:val="24"/>
              </w:rPr>
              <w:t>探索构建适配地缘新格局的高质量发展体系，统筹战略动员与学术自治、科技竞争与知识开放的内在张力</w:t>
            </w:r>
            <w:r>
              <w:rPr>
                <w:rFonts w:hint="eastAsia"/>
                <w:sz w:val="24"/>
              </w:rPr>
              <w:t>。具体分三步推进</w:t>
            </w:r>
            <w:r>
              <w:rPr>
                <w:sz w:val="24"/>
              </w:rPr>
              <w:t>：</w:t>
            </w:r>
          </w:p>
          <w:p w14:paraId="11D97ACA">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sz w:val="24"/>
              </w:rPr>
            </w:pPr>
            <w:r>
              <w:rPr>
                <w:rFonts w:eastAsia="黑体"/>
                <w:sz w:val="24"/>
              </w:rPr>
              <w:t>①形势诊断：</w:t>
            </w:r>
            <w:r>
              <w:rPr>
                <w:sz w:val="24"/>
              </w:rPr>
              <w:t>地缘变局下科研合作格局、科研经费配置、高端人才结构方面结构性变迁特征</w:t>
            </w:r>
          </w:p>
          <w:p w14:paraId="17E96E47">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sz w:val="24"/>
              </w:rPr>
            </w:pPr>
            <w:r>
              <w:rPr>
                <w:rFonts w:eastAsia="黑体"/>
                <w:sz w:val="24"/>
              </w:rPr>
              <w:t>②情境辨析：</w:t>
            </w:r>
            <w:r>
              <w:rPr>
                <w:sz w:val="24"/>
              </w:rPr>
              <w:t>结合我国高等教育制度特质，辨析域外经验的借鉴价值、适配边界与制度障碍</w:t>
            </w:r>
          </w:p>
          <w:p w14:paraId="0347C6F3">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sz w:val="24"/>
              </w:rPr>
            </w:pPr>
            <w:r>
              <w:rPr>
                <w:rFonts w:eastAsia="黑体"/>
                <w:sz w:val="24"/>
              </w:rPr>
              <w:t>③路径建构：</w:t>
            </w:r>
            <w:r>
              <w:rPr>
                <w:sz w:val="24"/>
              </w:rPr>
              <w:t>国家</w:t>
            </w:r>
            <w:r>
              <w:rPr>
                <w:rFonts w:hint="eastAsia"/>
                <w:sz w:val="24"/>
              </w:rPr>
              <w:t>顶层制度</w:t>
            </w:r>
            <w:r>
              <w:rPr>
                <w:sz w:val="24"/>
              </w:rPr>
              <w:t>、</w:t>
            </w:r>
            <w:r>
              <w:rPr>
                <w:rFonts w:hint="eastAsia"/>
                <w:sz w:val="24"/>
              </w:rPr>
              <w:t>大学中层治理</w:t>
            </w:r>
            <w:r>
              <w:rPr>
                <w:sz w:val="24"/>
              </w:rPr>
              <w:t>、学科</w:t>
            </w:r>
            <w:r>
              <w:rPr>
                <w:rFonts w:hint="eastAsia"/>
                <w:sz w:val="24"/>
              </w:rPr>
              <w:t>微观建设</w:t>
            </w:r>
            <w:r>
              <w:rPr>
                <w:rFonts w:hint="eastAsia"/>
                <w:sz w:val="24"/>
                <w:lang w:val="en-US" w:eastAsia="zh-CN"/>
              </w:rPr>
              <w:t>等层面</w:t>
            </w:r>
            <w:r>
              <w:rPr>
                <w:rFonts w:hint="eastAsia"/>
                <w:sz w:val="24"/>
              </w:rPr>
              <w:t>构建高质量自主发展路径</w:t>
            </w:r>
          </w:p>
          <w:p w14:paraId="237E3054">
            <w:pPr>
              <w:keepNext w:val="0"/>
              <w:keepLines w:val="0"/>
              <w:pageBreakBefore w:val="0"/>
              <w:widowControl w:val="0"/>
              <w:kinsoku/>
              <w:wordWrap/>
              <w:overflowPunct/>
              <w:topLinePunct w:val="0"/>
              <w:autoSpaceDE/>
              <w:autoSpaceDN/>
              <w:bidi w:val="0"/>
              <w:adjustRightInd/>
              <w:snapToGrid/>
              <w:spacing w:line="360" w:lineRule="exact"/>
              <w:ind w:firstLine="482" w:firstLineChars="200"/>
              <w:textAlignment w:val="auto"/>
              <w:rPr>
                <w:rFonts w:hint="eastAsia" w:eastAsia="楷体"/>
                <w:b/>
                <w:bCs/>
                <w:sz w:val="24"/>
                <w:szCs w:val="36"/>
                <w:lang w:eastAsia="zh-CN"/>
              </w:rPr>
            </w:pPr>
            <w:r>
              <w:rPr>
                <w:rFonts w:hint="eastAsia" w:eastAsia="楷体"/>
                <w:b/>
                <w:bCs/>
                <w:sz w:val="24"/>
                <w:szCs w:val="36"/>
                <w:lang w:eastAsia="zh-CN"/>
              </w:rPr>
              <w:pict>
                <v:shape id="_x0000_s1026" o:spid="_x0000_s1026" o:spt="75" alt="432079b1f380b99002a795925e070125" type="#_x0000_t75" style="position:absolute;left:0pt;margin-left:-0.25pt;margin-top:3.9pt;height:506.75pt;width:511.8pt;z-index:251660288;mso-width-relative:page;mso-height-relative:page;" filled="f" o:preferrelative="t" stroked="f" coordsize="21600,21600">
                  <v:path/>
                  <v:fill on="f" focussize="0,0"/>
                  <v:stroke on="f"/>
                  <v:imagedata r:id="rId9" cropleft="155f" croptop="-283f" cropright="291f" cropbottom="533f" o:title="432079b1f380b99002a795925e070125"/>
                  <o:lock v:ext="edit" aspectratio="t"/>
                </v:shape>
              </w:pict>
            </w:r>
          </w:p>
          <w:p w14:paraId="18B7C0A3">
            <w:pPr>
              <w:spacing w:before="46" w:beforeLines="15" w:after="249" w:afterLines="80" w:line="400" w:lineRule="exact"/>
              <w:jc w:val="center"/>
              <w:rPr>
                <w:rFonts w:hint="eastAsia" w:eastAsia="楷体"/>
                <w:b/>
                <w:bCs/>
                <w:sz w:val="24"/>
                <w:szCs w:val="36"/>
              </w:rPr>
            </w:pPr>
          </w:p>
          <w:p w14:paraId="55C4484E">
            <w:pPr>
              <w:spacing w:before="46" w:beforeLines="15" w:after="249" w:afterLines="80" w:line="400" w:lineRule="exact"/>
              <w:jc w:val="center"/>
              <w:rPr>
                <w:rFonts w:hint="eastAsia" w:eastAsia="楷体"/>
                <w:b/>
                <w:bCs/>
                <w:sz w:val="24"/>
                <w:szCs w:val="36"/>
              </w:rPr>
            </w:pPr>
          </w:p>
          <w:p w14:paraId="382C2373">
            <w:pPr>
              <w:spacing w:before="46" w:beforeLines="15" w:after="249" w:afterLines="80" w:line="400" w:lineRule="exact"/>
              <w:jc w:val="center"/>
              <w:rPr>
                <w:rFonts w:hint="eastAsia" w:eastAsia="楷体"/>
                <w:b/>
                <w:bCs/>
                <w:sz w:val="24"/>
                <w:szCs w:val="36"/>
              </w:rPr>
            </w:pPr>
          </w:p>
          <w:p w14:paraId="066EF05E">
            <w:pPr>
              <w:spacing w:before="46" w:beforeLines="15" w:after="249" w:afterLines="80" w:line="400" w:lineRule="exact"/>
              <w:jc w:val="center"/>
              <w:rPr>
                <w:rFonts w:hint="eastAsia" w:eastAsia="楷体"/>
                <w:b/>
                <w:bCs/>
                <w:sz w:val="24"/>
                <w:szCs w:val="36"/>
              </w:rPr>
            </w:pPr>
          </w:p>
          <w:p w14:paraId="39953851">
            <w:pPr>
              <w:spacing w:before="46" w:beforeLines="15" w:after="249" w:afterLines="80" w:line="400" w:lineRule="exact"/>
              <w:jc w:val="center"/>
              <w:rPr>
                <w:rFonts w:hint="eastAsia" w:eastAsia="楷体"/>
                <w:b/>
                <w:bCs/>
                <w:sz w:val="24"/>
                <w:szCs w:val="36"/>
                <w:lang w:eastAsia="zh-CN"/>
              </w:rPr>
            </w:pPr>
          </w:p>
          <w:p w14:paraId="09E85086">
            <w:pPr>
              <w:spacing w:before="46" w:beforeLines="15" w:after="249" w:afterLines="80" w:line="400" w:lineRule="exact"/>
              <w:jc w:val="center"/>
              <w:rPr>
                <w:rFonts w:hint="eastAsia" w:eastAsia="楷体"/>
                <w:b/>
                <w:bCs/>
                <w:sz w:val="24"/>
                <w:szCs w:val="36"/>
              </w:rPr>
            </w:pPr>
          </w:p>
          <w:p w14:paraId="486727B3">
            <w:pPr>
              <w:spacing w:before="46" w:beforeLines="15" w:after="249" w:afterLines="80" w:line="400" w:lineRule="exact"/>
              <w:jc w:val="center"/>
              <w:rPr>
                <w:rFonts w:hint="eastAsia" w:eastAsia="楷体"/>
                <w:b/>
                <w:bCs/>
                <w:sz w:val="24"/>
                <w:szCs w:val="36"/>
              </w:rPr>
            </w:pPr>
          </w:p>
          <w:p w14:paraId="1B497F83">
            <w:pPr>
              <w:spacing w:before="46" w:beforeLines="15" w:after="249" w:afterLines="80" w:line="400" w:lineRule="exact"/>
              <w:jc w:val="center"/>
              <w:rPr>
                <w:rFonts w:hint="eastAsia" w:eastAsia="楷体"/>
                <w:b/>
                <w:bCs/>
                <w:sz w:val="24"/>
                <w:szCs w:val="36"/>
              </w:rPr>
            </w:pPr>
          </w:p>
          <w:p w14:paraId="0F476DFA">
            <w:pPr>
              <w:spacing w:before="46" w:beforeLines="15" w:after="249" w:afterLines="80" w:line="400" w:lineRule="exact"/>
              <w:jc w:val="center"/>
              <w:rPr>
                <w:rFonts w:hint="eastAsia" w:eastAsia="楷体"/>
                <w:b/>
                <w:bCs/>
                <w:sz w:val="24"/>
                <w:szCs w:val="36"/>
              </w:rPr>
            </w:pPr>
          </w:p>
          <w:p w14:paraId="75D502A5">
            <w:pPr>
              <w:spacing w:before="46" w:beforeLines="15" w:after="249" w:afterLines="80" w:line="400" w:lineRule="exact"/>
              <w:jc w:val="center"/>
              <w:rPr>
                <w:rFonts w:hint="eastAsia" w:eastAsia="楷体"/>
                <w:b/>
                <w:bCs/>
                <w:sz w:val="24"/>
                <w:szCs w:val="36"/>
              </w:rPr>
            </w:pPr>
          </w:p>
          <w:p w14:paraId="4358A031">
            <w:pPr>
              <w:spacing w:before="46" w:beforeLines="15" w:after="249" w:afterLines="80" w:line="400" w:lineRule="exact"/>
              <w:jc w:val="center"/>
              <w:rPr>
                <w:rFonts w:hint="eastAsia" w:eastAsia="楷体"/>
                <w:b/>
                <w:bCs/>
                <w:sz w:val="24"/>
                <w:szCs w:val="36"/>
              </w:rPr>
            </w:pPr>
          </w:p>
          <w:p w14:paraId="30129092">
            <w:pPr>
              <w:spacing w:before="46" w:beforeLines="15" w:after="249" w:afterLines="80" w:line="400" w:lineRule="exact"/>
              <w:jc w:val="center"/>
              <w:rPr>
                <w:rFonts w:hint="eastAsia" w:eastAsia="楷体"/>
                <w:b/>
                <w:bCs/>
                <w:sz w:val="24"/>
                <w:szCs w:val="36"/>
              </w:rPr>
            </w:pPr>
          </w:p>
          <w:p w14:paraId="59EB754C">
            <w:pPr>
              <w:spacing w:before="46" w:beforeLines="15" w:after="249" w:afterLines="80" w:line="400" w:lineRule="exact"/>
              <w:jc w:val="center"/>
              <w:rPr>
                <w:rFonts w:hint="eastAsia" w:eastAsia="楷体"/>
                <w:b/>
                <w:bCs/>
                <w:sz w:val="24"/>
                <w:szCs w:val="36"/>
              </w:rPr>
            </w:pPr>
          </w:p>
          <w:p w14:paraId="4E77E7FA">
            <w:pPr>
              <w:spacing w:before="46" w:beforeLines="15" w:after="249" w:afterLines="80" w:line="400" w:lineRule="exact"/>
              <w:jc w:val="center"/>
              <w:rPr>
                <w:rFonts w:hint="eastAsia" w:eastAsia="楷体"/>
                <w:b/>
                <w:bCs/>
                <w:sz w:val="24"/>
                <w:szCs w:val="36"/>
              </w:rPr>
            </w:pPr>
          </w:p>
          <w:p w14:paraId="559FB478">
            <w:pPr>
              <w:spacing w:before="46" w:beforeLines="15" w:after="249" w:afterLines="80" w:line="400" w:lineRule="exact"/>
              <w:jc w:val="center"/>
              <w:rPr>
                <w:rFonts w:hint="eastAsia" w:eastAsia="楷体"/>
                <w:b/>
                <w:bCs/>
                <w:sz w:val="24"/>
                <w:szCs w:val="36"/>
              </w:rPr>
            </w:pPr>
          </w:p>
          <w:p w14:paraId="0C0AB2C0">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黑体" w:hAnsi="黑体" w:eastAsia="黑体" w:cs="黑体"/>
                <w:sz w:val="28"/>
                <w:szCs w:val="28"/>
              </w:rPr>
            </w:pPr>
            <w:r>
              <w:rPr>
                <w:rFonts w:hint="default" w:ascii="Times New Roman" w:hAnsi="Times New Roman" w:eastAsia="黑体" w:cs="Times New Roman"/>
                <w:b w:val="0"/>
                <w:bCs w:val="0"/>
                <w:sz w:val="24"/>
                <w:szCs w:val="36"/>
              </w:rPr>
              <w:t>图</w:t>
            </w:r>
            <w:r>
              <w:rPr>
                <w:rFonts w:hint="eastAsia" w:ascii="Times New Roman" w:hAnsi="Times New Roman" w:eastAsia="黑体" w:cs="Times New Roman"/>
                <w:b w:val="0"/>
                <w:bCs w:val="0"/>
                <w:sz w:val="24"/>
                <w:szCs w:val="36"/>
                <w:lang w:val="en-US" w:eastAsia="zh-CN"/>
              </w:rPr>
              <w:t>1</w:t>
            </w:r>
            <w:r>
              <w:rPr>
                <w:rFonts w:hint="default" w:ascii="Times New Roman" w:hAnsi="Times New Roman" w:eastAsia="黑体" w:cs="Times New Roman"/>
                <w:b w:val="0"/>
                <w:bCs w:val="0"/>
                <w:sz w:val="24"/>
                <w:szCs w:val="36"/>
              </w:rPr>
              <w:t xml:space="preserve">  </w:t>
            </w:r>
            <w:r>
              <w:rPr>
                <w:rFonts w:hint="default" w:ascii="Times New Roman" w:hAnsi="Times New Roman" w:eastAsia="黑体" w:cs="Times New Roman"/>
                <w:b w:val="0"/>
                <w:bCs w:val="0"/>
                <w:sz w:val="24"/>
              </w:rPr>
              <w:t>研究</w:t>
            </w:r>
            <w:r>
              <w:rPr>
                <w:rFonts w:hint="eastAsia" w:ascii="Times New Roman" w:hAnsi="Times New Roman" w:eastAsia="黑体" w:cs="Times New Roman"/>
                <w:b w:val="0"/>
                <w:bCs w:val="0"/>
                <w:sz w:val="24"/>
                <w:lang w:val="en-US" w:eastAsia="zh-CN"/>
              </w:rPr>
              <w:t>思路</w:t>
            </w:r>
            <w:r>
              <w:rPr>
                <w:rFonts w:hint="default" w:ascii="Times New Roman" w:hAnsi="Times New Roman" w:eastAsia="黑体" w:cs="Times New Roman"/>
                <w:b w:val="0"/>
                <w:bCs w:val="0"/>
                <w:sz w:val="24"/>
              </w:rPr>
              <w:t>图</w:t>
            </w:r>
          </w:p>
          <w:p w14:paraId="746447CD">
            <w:pPr>
              <w:keepNext w:val="0"/>
              <w:keepLines w:val="0"/>
              <w:pageBreakBefore w:val="0"/>
              <w:widowControl w:val="0"/>
              <w:kinsoku/>
              <w:wordWrap/>
              <w:overflowPunct/>
              <w:topLinePunct w:val="0"/>
              <w:autoSpaceDE/>
              <w:autoSpaceDN/>
              <w:bidi w:val="0"/>
              <w:adjustRightInd/>
              <w:snapToGrid/>
              <w:spacing w:before="32" w:beforeLines="10" w:after="32" w:afterLines="10" w:line="380" w:lineRule="exact"/>
              <w:ind w:firstLine="480" w:firstLineChars="200"/>
              <w:textAlignment w:val="auto"/>
              <w:rPr>
                <w:rFonts w:hint="eastAsia" w:ascii="黑体" w:hAnsi="黑体" w:eastAsia="黑体" w:cs="黑体"/>
                <w:sz w:val="24"/>
                <w:szCs w:val="24"/>
              </w:rPr>
            </w:pPr>
            <w:r>
              <w:rPr>
                <w:rFonts w:hint="eastAsia" w:ascii="黑体" w:hAnsi="黑体" w:eastAsia="黑体" w:cs="黑体"/>
                <w:sz w:val="24"/>
                <w:szCs w:val="24"/>
              </w:rPr>
              <w:t>（</w:t>
            </w:r>
            <w:r>
              <w:rPr>
                <w:rFonts w:hint="eastAsia" w:ascii="黑体" w:hAnsi="黑体" w:eastAsia="黑体" w:cs="黑体"/>
                <w:sz w:val="24"/>
                <w:szCs w:val="24"/>
                <w:lang w:val="en-US" w:eastAsia="zh-CN"/>
              </w:rPr>
              <w:t>四</w:t>
            </w:r>
            <w:r>
              <w:rPr>
                <w:rFonts w:hint="eastAsia" w:ascii="黑体" w:hAnsi="黑体" w:eastAsia="黑体" w:cs="黑体"/>
                <w:sz w:val="24"/>
                <w:szCs w:val="24"/>
              </w:rPr>
              <w:t>）研究计划</w:t>
            </w:r>
          </w:p>
          <w:p w14:paraId="34073714">
            <w:pPr>
              <w:spacing w:line="400" w:lineRule="exact"/>
              <w:ind w:firstLine="480" w:firstLineChars="200"/>
              <w:rPr>
                <w:sz w:val="24"/>
              </w:rPr>
            </w:pPr>
            <w:r>
              <w:rPr>
                <w:sz w:val="24"/>
              </w:rPr>
              <w:t>本研究计划周期为5年，分阶段</w:t>
            </w:r>
            <w:r>
              <w:rPr>
                <w:rFonts w:hint="eastAsia"/>
                <w:sz w:val="24"/>
              </w:rPr>
              <w:t>进行</w:t>
            </w:r>
            <w:r>
              <w:rPr>
                <w:sz w:val="24"/>
              </w:rPr>
              <w:t>：</w:t>
            </w:r>
          </w:p>
          <w:p w14:paraId="7DED2091">
            <w:pPr>
              <w:spacing w:before="31" w:beforeLines="10" w:line="360" w:lineRule="exact"/>
              <w:jc w:val="center"/>
              <w:rPr>
                <w:rFonts w:hint="default" w:ascii="Times New Roman" w:hAnsi="Times New Roman" w:eastAsia="黑体" w:cs="Times New Roman"/>
                <w:sz w:val="24"/>
              </w:rPr>
            </w:pPr>
            <w:r>
              <w:rPr>
                <w:rFonts w:hint="default" w:ascii="Times New Roman" w:hAnsi="Times New Roman" w:eastAsia="黑体" w:cs="Times New Roman"/>
                <w:b w:val="0"/>
                <w:bCs w:val="0"/>
                <w:sz w:val="24"/>
                <w:szCs w:val="36"/>
              </w:rPr>
              <w:t xml:space="preserve">图2  </w:t>
            </w:r>
            <w:r>
              <w:rPr>
                <w:rFonts w:hint="default" w:ascii="Times New Roman" w:hAnsi="Times New Roman" w:eastAsia="黑体" w:cs="Times New Roman"/>
                <w:b w:val="0"/>
                <w:bCs w:val="0"/>
                <w:sz w:val="24"/>
              </w:rPr>
              <w:t>研究计划图</w:t>
            </w:r>
            <w:r>
              <w:rPr>
                <w:rFonts w:hint="default" w:ascii="Times New Roman" w:hAnsi="Times New Roman" w:eastAsia="黑体" w:cs="Times New Roman"/>
                <w:sz w:val="24"/>
              </w:rPr>
              <w:pict>
                <v:shape id="图片 20" o:spid="_x0000_s1027" o:spt="75" type="#_x0000_t75" style="position:absolute;left:0pt;margin-left:-2.55pt;margin-top:7.55pt;height:195.6pt;width:505.15pt;mso-wrap-distance-bottom:0pt;mso-wrap-distance-top:0pt;z-index:251659264;mso-width-relative:page;mso-height-relative:page;" filled="f" o:preferrelative="t" stroked="f" coordsize="21600,21600">
                  <v:path/>
                  <v:fill on="f" focussize="0,0"/>
                  <v:stroke on="f"/>
                  <v:imagedata r:id="rId10" o:title=""/>
                  <o:lock v:ext="edit" aspectratio="t"/>
                  <w10:wrap type="topAndBottom"/>
                </v:shape>
              </w:pict>
            </w:r>
          </w:p>
          <w:p w14:paraId="1F6D9B84">
            <w:pPr>
              <w:keepNext w:val="0"/>
              <w:keepLines w:val="0"/>
              <w:pageBreakBefore w:val="0"/>
              <w:widowControl w:val="0"/>
              <w:kinsoku/>
              <w:wordWrap/>
              <w:overflowPunct/>
              <w:topLinePunct w:val="0"/>
              <w:autoSpaceDE/>
              <w:autoSpaceDN/>
              <w:bidi w:val="0"/>
              <w:adjustRightInd/>
              <w:snapToGrid/>
              <w:spacing w:before="32" w:beforeLines="10" w:after="32" w:afterLines="10" w:line="380" w:lineRule="exact"/>
              <w:ind w:firstLine="480" w:firstLineChars="200"/>
              <w:textAlignment w:val="auto"/>
              <w:rPr>
                <w:rFonts w:hint="eastAsia" w:ascii="黑体" w:hAnsi="黑体" w:eastAsia="黑体" w:cs="黑体"/>
                <w:sz w:val="24"/>
                <w:szCs w:val="24"/>
              </w:rPr>
            </w:pPr>
            <w:r>
              <w:rPr>
                <w:rFonts w:hint="eastAsia" w:ascii="黑体" w:hAnsi="黑体" w:eastAsia="黑体" w:cs="黑体"/>
                <w:sz w:val="24"/>
                <w:szCs w:val="24"/>
              </w:rPr>
              <w:t>（</w:t>
            </w:r>
            <w:r>
              <w:rPr>
                <w:rFonts w:hint="eastAsia" w:ascii="黑体" w:hAnsi="黑体" w:eastAsia="黑体" w:cs="黑体"/>
                <w:sz w:val="24"/>
                <w:szCs w:val="24"/>
                <w:lang w:val="en-US" w:eastAsia="zh-CN"/>
              </w:rPr>
              <w:t>五</w:t>
            </w:r>
            <w:r>
              <w:rPr>
                <w:rFonts w:hint="eastAsia" w:ascii="黑体" w:hAnsi="黑体" w:eastAsia="黑体" w:cs="黑体"/>
                <w:sz w:val="24"/>
                <w:szCs w:val="24"/>
              </w:rPr>
              <w:t>）可行性</w:t>
            </w:r>
          </w:p>
          <w:p w14:paraId="37BB18AD">
            <w:pPr>
              <w:keepNext w:val="0"/>
              <w:keepLines w:val="0"/>
              <w:pageBreakBefore w:val="0"/>
              <w:widowControl w:val="0"/>
              <w:kinsoku/>
              <w:wordWrap/>
              <w:overflowPunct/>
              <w:topLinePunct w:val="0"/>
              <w:autoSpaceDE/>
              <w:autoSpaceDN/>
              <w:bidi w:val="0"/>
              <w:adjustRightInd/>
              <w:snapToGrid/>
              <w:spacing w:line="380" w:lineRule="exact"/>
              <w:ind w:firstLine="482" w:firstLineChars="200"/>
              <w:textAlignment w:val="auto"/>
              <w:rPr>
                <w:sz w:val="24"/>
              </w:rPr>
            </w:pPr>
            <w:r>
              <w:rPr>
                <w:rFonts w:eastAsia="黑体"/>
                <w:b/>
                <w:bCs/>
                <w:sz w:val="24"/>
              </w:rPr>
              <w:t>1.</w:t>
            </w:r>
            <w:r>
              <w:rPr>
                <w:rFonts w:hint="eastAsia" w:eastAsia="黑体"/>
                <w:b/>
                <w:bCs/>
                <w:sz w:val="24"/>
              </w:rPr>
              <w:t xml:space="preserve"> </w:t>
            </w:r>
            <w:r>
              <w:rPr>
                <w:rFonts w:hint="eastAsia" w:ascii="黑体" w:hAnsi="黑体" w:eastAsia="黑体" w:cs="黑体"/>
                <w:sz w:val="24"/>
              </w:rPr>
              <w:t>研究基础扎实，前期积累充分：</w:t>
            </w:r>
            <w:r>
              <w:rPr>
                <w:sz w:val="24"/>
              </w:rPr>
              <w:t>课题组长期</w:t>
            </w:r>
            <w:r>
              <w:rPr>
                <w:rFonts w:hint="eastAsia"/>
                <w:sz w:val="24"/>
              </w:rPr>
              <w:t>聚焦该议题</w:t>
            </w:r>
            <w:r>
              <w:rPr>
                <w:sz w:val="24"/>
              </w:rPr>
              <w:t>，在国际教育发展趋势、高校创新体系、一流大学建设等方向承担十余项国家级</w:t>
            </w:r>
            <w:r>
              <w:rPr>
                <w:rFonts w:hint="eastAsia"/>
                <w:sz w:val="24"/>
              </w:rPr>
              <w:t>、部级</w:t>
            </w:r>
            <w:r>
              <w:rPr>
                <w:sz w:val="24"/>
              </w:rPr>
              <w:t>课题，</w:t>
            </w:r>
            <w:r>
              <w:rPr>
                <w:rFonts w:hint="eastAsia"/>
                <w:sz w:val="24"/>
              </w:rPr>
              <w:t>发表相关论文30余篇，形成涵盖欧美、东亚及东南亚的多国案例库，为本课题的理论建构与案例比较奠定扎实基础</w:t>
            </w:r>
            <w:r>
              <w:rPr>
                <w:sz w:val="24"/>
              </w:rPr>
              <w:t>。</w:t>
            </w:r>
          </w:p>
          <w:p w14:paraId="2E745E04">
            <w:pPr>
              <w:keepNext w:val="0"/>
              <w:keepLines w:val="0"/>
              <w:pageBreakBefore w:val="0"/>
              <w:widowControl w:val="0"/>
              <w:kinsoku/>
              <w:wordWrap/>
              <w:overflowPunct/>
              <w:topLinePunct w:val="0"/>
              <w:autoSpaceDE/>
              <w:autoSpaceDN/>
              <w:bidi w:val="0"/>
              <w:adjustRightInd/>
              <w:snapToGrid/>
              <w:spacing w:line="380" w:lineRule="exact"/>
              <w:ind w:firstLine="482" w:firstLineChars="200"/>
              <w:textAlignment w:val="auto"/>
              <w:rPr>
                <w:rFonts w:hint="eastAsia"/>
                <w:sz w:val="24"/>
                <w:highlight w:val="none"/>
              </w:rPr>
            </w:pPr>
            <w:r>
              <w:rPr>
                <w:rFonts w:eastAsia="黑体"/>
                <w:b/>
                <w:bCs/>
                <w:sz w:val="24"/>
              </w:rPr>
              <w:t xml:space="preserve">2. </w:t>
            </w:r>
            <w:r>
              <w:rPr>
                <w:rFonts w:eastAsia="黑体"/>
                <w:sz w:val="24"/>
              </w:rPr>
              <w:t>团队结构合理，学科优势互补：</w:t>
            </w:r>
            <w:r>
              <w:rPr>
                <w:sz w:val="24"/>
              </w:rPr>
              <w:t>成员均</w:t>
            </w:r>
            <w:r>
              <w:rPr>
                <w:rFonts w:hint="eastAsia"/>
                <w:sz w:val="24"/>
              </w:rPr>
              <w:t>具有美、英、德、日、新等</w:t>
            </w:r>
            <w:r>
              <w:rPr>
                <w:sz w:val="24"/>
              </w:rPr>
              <w:t>国</w:t>
            </w:r>
            <w:r>
              <w:rPr>
                <w:rFonts w:hint="eastAsia"/>
                <w:sz w:val="24"/>
              </w:rPr>
              <w:t>的</w:t>
            </w:r>
            <w:r>
              <w:rPr>
                <w:sz w:val="24"/>
              </w:rPr>
              <w:t>留学或研究经历，</w:t>
            </w:r>
            <w:r>
              <w:rPr>
                <w:rFonts w:hint="eastAsia"/>
                <w:sz w:val="24"/>
              </w:rPr>
              <w:t>覆盖高等教育学、科学计量学、公共政策与国际关系等学科方向，深谙世界主要国家的高等教育治理与改革逻辑，专长交叉互补，可充分支撑</w:t>
            </w:r>
            <w:r>
              <w:rPr>
                <w:rFonts w:hint="eastAsia"/>
                <w:sz w:val="24"/>
                <w:highlight w:val="none"/>
                <w:lang w:val="en-US" w:eastAsia="zh-CN"/>
              </w:rPr>
              <w:t>地缘政治视角下全球大学改革的</w:t>
            </w:r>
            <w:r>
              <w:rPr>
                <w:sz w:val="24"/>
                <w:highlight w:val="none"/>
              </w:rPr>
              <w:t>分析需求。</w:t>
            </w:r>
          </w:p>
          <w:p w14:paraId="08CA350C">
            <w:pPr>
              <w:keepNext w:val="0"/>
              <w:keepLines w:val="0"/>
              <w:pageBreakBefore w:val="0"/>
              <w:widowControl w:val="0"/>
              <w:kinsoku/>
              <w:wordWrap/>
              <w:overflowPunct/>
              <w:topLinePunct w:val="0"/>
              <w:autoSpaceDE/>
              <w:autoSpaceDN/>
              <w:bidi w:val="0"/>
              <w:adjustRightInd/>
              <w:snapToGrid/>
              <w:spacing w:line="380" w:lineRule="exact"/>
              <w:ind w:firstLine="482" w:firstLineChars="200"/>
              <w:textAlignment w:val="auto"/>
              <w:rPr>
                <w:sz w:val="24"/>
              </w:rPr>
            </w:pPr>
            <w:r>
              <w:rPr>
                <w:rFonts w:eastAsia="黑体"/>
                <w:b/>
                <w:bCs/>
                <w:sz w:val="24"/>
              </w:rPr>
              <w:t xml:space="preserve">3. </w:t>
            </w:r>
            <w:r>
              <w:rPr>
                <w:rFonts w:eastAsia="黑体"/>
                <w:sz w:val="24"/>
              </w:rPr>
              <w:t>研究资源丰富，资料获取稳定：</w:t>
            </w:r>
            <w:r>
              <w:rPr>
                <w:sz w:val="24"/>
              </w:rPr>
              <w:t>课题组与国内外顶尖大学及高端政策研究机构保持常态化联系，</w:t>
            </w:r>
            <w:r>
              <w:rPr>
                <w:rFonts w:hint="eastAsia"/>
                <w:sz w:val="24"/>
              </w:rPr>
              <w:t>曾深入调研30多所世界一流大学，</w:t>
            </w:r>
            <w:r>
              <w:rPr>
                <w:sz w:val="24"/>
              </w:rPr>
              <w:t>具备较为稳定的跨国访谈与调研渠道，能够围绕典型国家与代表性研究型大学获取一手资料，从而增强研究结论的真实性、解释力与政策适用性。</w:t>
            </w:r>
          </w:p>
          <w:p w14:paraId="13B2DEE1">
            <w:pPr>
              <w:keepNext w:val="0"/>
              <w:keepLines w:val="0"/>
              <w:pageBreakBefore w:val="0"/>
              <w:widowControl w:val="0"/>
              <w:kinsoku/>
              <w:wordWrap/>
              <w:overflowPunct/>
              <w:topLinePunct w:val="0"/>
              <w:autoSpaceDE/>
              <w:autoSpaceDN/>
              <w:bidi w:val="0"/>
              <w:adjustRightInd/>
              <w:snapToGrid/>
              <w:spacing w:line="380" w:lineRule="exact"/>
              <w:ind w:firstLine="482" w:firstLineChars="200"/>
              <w:textAlignment w:val="auto"/>
              <w:rPr>
                <w:sz w:val="24"/>
              </w:rPr>
            </w:pPr>
            <w:r>
              <w:rPr>
                <w:rFonts w:eastAsia="黑体"/>
                <w:b/>
                <w:bCs/>
                <w:sz w:val="24"/>
              </w:rPr>
              <w:t xml:space="preserve">4. </w:t>
            </w:r>
            <w:r>
              <w:rPr>
                <w:rFonts w:eastAsia="黑体"/>
                <w:sz w:val="24"/>
              </w:rPr>
              <w:t>平台支撑有力，成果转化良好：</w:t>
            </w:r>
            <w:r>
              <w:rPr>
                <w:rFonts w:hint="eastAsia"/>
                <w:sz w:val="24"/>
              </w:rPr>
              <w:t>申请人兼任</w:t>
            </w:r>
            <w:r>
              <w:rPr>
                <w:sz w:val="24"/>
              </w:rPr>
              <w:t>教育部国别和区域研究基地</w:t>
            </w:r>
            <w:r>
              <w:rPr>
                <w:rFonts w:hint="eastAsia"/>
                <w:sz w:val="24"/>
              </w:rPr>
              <w:t>主任、省级比较教育学会专业委员会理事长</w:t>
            </w:r>
            <w:r>
              <w:rPr>
                <w:sz w:val="24"/>
              </w:rPr>
              <w:t>，</w:t>
            </w:r>
            <w:r>
              <w:rPr>
                <w:rFonts w:hint="eastAsia"/>
                <w:sz w:val="24"/>
              </w:rPr>
              <w:t>基于此</w:t>
            </w:r>
            <w:r>
              <w:rPr>
                <w:sz w:val="24"/>
              </w:rPr>
              <w:t>定期</w:t>
            </w:r>
            <w:r>
              <w:rPr>
                <w:rFonts w:hint="eastAsia"/>
                <w:sz w:val="24"/>
              </w:rPr>
              <w:t>组织跨国</w:t>
            </w:r>
            <w:r>
              <w:rPr>
                <w:sz w:val="24"/>
              </w:rPr>
              <w:t>学术互访</w:t>
            </w:r>
            <w:r>
              <w:rPr>
                <w:rFonts w:hint="eastAsia"/>
                <w:sz w:val="24"/>
              </w:rPr>
              <w:t>与专题学术</w:t>
            </w:r>
            <w:r>
              <w:rPr>
                <w:sz w:val="24"/>
              </w:rPr>
              <w:t>讲座，为本课题开展跨国资料搜集、学术交流、专家咨询和成果发布提供</w:t>
            </w:r>
            <w:r>
              <w:rPr>
                <w:rFonts w:hint="eastAsia"/>
                <w:sz w:val="24"/>
              </w:rPr>
              <w:t>制度化平台支撑</w:t>
            </w:r>
            <w:r>
              <w:rPr>
                <w:sz w:val="24"/>
              </w:rPr>
              <w:t>。</w:t>
            </w:r>
          </w:p>
          <w:p w14:paraId="274F7AA5">
            <w:pPr>
              <w:keepNext w:val="0"/>
              <w:keepLines w:val="0"/>
              <w:pageBreakBefore w:val="0"/>
              <w:widowControl w:val="0"/>
              <w:kinsoku/>
              <w:wordWrap/>
              <w:overflowPunct/>
              <w:topLinePunct w:val="0"/>
              <w:autoSpaceDE/>
              <w:autoSpaceDN/>
              <w:bidi w:val="0"/>
              <w:adjustRightInd/>
              <w:snapToGrid/>
              <w:spacing w:before="126" w:beforeLines="40" w:after="126" w:afterLines="40" w:line="380" w:lineRule="exact"/>
              <w:ind w:firstLine="560" w:firstLineChars="200"/>
              <w:textAlignment w:val="auto"/>
              <w:rPr>
                <w:rFonts w:hint="eastAsia" w:ascii="黑体" w:hAnsi="黑体" w:eastAsia="黑体" w:cs="黑体"/>
                <w:sz w:val="28"/>
                <w:szCs w:val="28"/>
              </w:rPr>
            </w:pPr>
            <w:r>
              <w:rPr>
                <w:rFonts w:hint="eastAsia" w:ascii="黑体" w:hAnsi="黑体" w:eastAsia="黑体" w:cs="黑体"/>
                <w:sz w:val="28"/>
                <w:szCs w:val="28"/>
              </w:rPr>
              <w:t>四、创新之处</w:t>
            </w:r>
          </w:p>
          <w:p w14:paraId="79A4BC62">
            <w:pPr>
              <w:keepNext w:val="0"/>
              <w:keepLines w:val="0"/>
              <w:pageBreakBefore w:val="0"/>
              <w:widowControl w:val="0"/>
              <w:kinsoku/>
              <w:wordWrap/>
              <w:overflowPunct/>
              <w:topLinePunct w:val="0"/>
              <w:autoSpaceDE/>
              <w:autoSpaceDN/>
              <w:bidi w:val="0"/>
              <w:adjustRightInd/>
              <w:snapToGrid/>
              <w:spacing w:before="32" w:beforeLines="10" w:after="32" w:afterLines="10" w:line="380" w:lineRule="exact"/>
              <w:ind w:firstLine="480" w:firstLineChars="200"/>
              <w:textAlignment w:val="auto"/>
              <w:rPr>
                <w:rFonts w:hint="eastAsia" w:ascii="黑体" w:hAnsi="黑体" w:eastAsia="黑体" w:cs="黑体"/>
                <w:sz w:val="24"/>
                <w:szCs w:val="24"/>
              </w:rPr>
            </w:pPr>
            <w:r>
              <w:rPr>
                <w:rFonts w:hint="eastAsia" w:ascii="黑体" w:hAnsi="黑体" w:eastAsia="黑体" w:cs="黑体"/>
                <w:sz w:val="24"/>
                <w:szCs w:val="24"/>
              </w:rPr>
              <w:t>（一）学术观点创新</w:t>
            </w:r>
          </w:p>
          <w:p w14:paraId="1CE06F3D">
            <w:pPr>
              <w:keepNext w:val="0"/>
              <w:keepLines w:val="0"/>
              <w:pageBreakBefore w:val="0"/>
              <w:widowControl w:val="0"/>
              <w:kinsoku/>
              <w:wordWrap/>
              <w:overflowPunct/>
              <w:topLinePunct w:val="0"/>
              <w:autoSpaceDE/>
              <w:autoSpaceDN/>
              <w:bidi w:val="0"/>
              <w:adjustRightInd/>
              <w:snapToGrid/>
              <w:spacing w:line="380" w:lineRule="exact"/>
              <w:ind w:firstLine="482" w:firstLineChars="200"/>
              <w:textAlignment w:val="auto"/>
              <w:rPr>
                <w:rFonts w:hint="eastAsia"/>
                <w:sz w:val="24"/>
                <w:highlight w:val="none"/>
              </w:rPr>
            </w:pPr>
            <w:r>
              <w:rPr>
                <w:rFonts w:eastAsia="黑体"/>
                <w:b/>
                <w:bCs/>
                <w:sz w:val="24"/>
              </w:rPr>
              <w:t xml:space="preserve">1. </w:t>
            </w:r>
            <w:r>
              <w:rPr>
                <w:rFonts w:eastAsia="黑体"/>
                <w:sz w:val="24"/>
              </w:rPr>
              <w:t>提</w:t>
            </w:r>
            <w:r>
              <w:rPr>
                <w:rFonts w:hint="eastAsia" w:ascii="黑体" w:hAnsi="黑体" w:eastAsia="黑体" w:cs="黑体"/>
                <w:sz w:val="24"/>
              </w:rPr>
              <w:t>出全球研究型大学进入“地缘政治</w:t>
            </w:r>
            <w:r>
              <w:rPr>
                <w:rFonts w:hint="eastAsia" w:ascii="黑体" w:hAnsi="黑体" w:eastAsia="黑体" w:cs="黑体"/>
                <w:sz w:val="24"/>
                <w:highlight w:val="none"/>
              </w:rPr>
              <w:t>变化阶段”的新判断</w:t>
            </w:r>
            <w:r>
              <w:rPr>
                <w:rFonts w:hint="eastAsia"/>
                <w:sz w:val="24"/>
                <w:highlight w:val="none"/>
              </w:rPr>
              <w:t>：突破既有研究从全球化、市场化、排名竞争解释大学改革的范式，提</w:t>
            </w:r>
            <w:r>
              <w:rPr>
                <w:sz w:val="24"/>
                <w:highlight w:val="none"/>
              </w:rPr>
              <w:t>出</w:t>
            </w:r>
            <w:r>
              <w:rPr>
                <w:rFonts w:hint="eastAsia"/>
                <w:sz w:val="24"/>
                <w:highlight w:val="none"/>
              </w:rPr>
              <w:t>以国家安全与战略竞争为驱动力的地缘政治变化新阶段。大学由全球知识网络的开放竞争者转向国家科技竞争体系中的战略载体，</w:t>
            </w:r>
            <w:r>
              <w:rPr>
                <w:sz w:val="24"/>
                <w:highlight w:val="none"/>
              </w:rPr>
              <w:t>凸显国家逻辑的结构性统摄地位及其对市场与学术逻辑的重塑机制，</w:t>
            </w:r>
            <w:r>
              <w:rPr>
                <w:rFonts w:hint="eastAsia"/>
                <w:sz w:val="24"/>
                <w:highlight w:val="none"/>
              </w:rPr>
              <w:t>为全球研究型大学改革提供了新的理论解释。</w:t>
            </w:r>
          </w:p>
          <w:p w14:paraId="2B8BB6CD">
            <w:pPr>
              <w:keepNext w:val="0"/>
              <w:keepLines w:val="0"/>
              <w:pageBreakBefore w:val="0"/>
              <w:widowControl w:val="0"/>
              <w:kinsoku/>
              <w:wordWrap/>
              <w:overflowPunct/>
              <w:topLinePunct w:val="0"/>
              <w:autoSpaceDE/>
              <w:autoSpaceDN/>
              <w:bidi w:val="0"/>
              <w:adjustRightInd/>
              <w:snapToGrid/>
              <w:spacing w:line="380" w:lineRule="exact"/>
              <w:ind w:firstLine="482" w:firstLineChars="200"/>
              <w:textAlignment w:val="auto"/>
              <w:rPr>
                <w:rFonts w:hint="eastAsia" w:ascii="方正仿宋_GB2312" w:hAnsi="方正仿宋_GB2312" w:eastAsia="方正仿宋_GB2312" w:cs="方正仿宋_GB2312"/>
                <w:strike/>
                <w:sz w:val="28"/>
                <w:szCs w:val="28"/>
              </w:rPr>
            </w:pPr>
            <w:r>
              <w:rPr>
                <w:rFonts w:hint="eastAsia" w:eastAsia="黑体"/>
                <w:b/>
                <w:bCs/>
                <w:sz w:val="24"/>
              </w:rPr>
              <w:t>2</w:t>
            </w:r>
            <w:r>
              <w:rPr>
                <w:rFonts w:eastAsia="黑体"/>
                <w:b/>
                <w:bCs/>
                <w:sz w:val="24"/>
              </w:rPr>
              <w:t xml:space="preserve">. </w:t>
            </w:r>
            <w:r>
              <w:rPr>
                <w:rFonts w:hint="eastAsia" w:ascii="黑体" w:hAnsi="黑体" w:eastAsia="黑体" w:cs="黑体"/>
                <w:sz w:val="24"/>
              </w:rPr>
              <w:t>创设三重逻辑博弈下“宏观—中观—微观”贯通的新框架：</w:t>
            </w:r>
            <w:r>
              <w:rPr>
                <w:rFonts w:hint="eastAsia"/>
                <w:sz w:val="24"/>
              </w:rPr>
              <w:t>针对现有研究理论碎片化、缺乏整体解释力问题，</w:t>
            </w:r>
            <w:r>
              <w:rPr>
                <w:rFonts w:hint="eastAsia"/>
                <w:sz w:val="24"/>
                <w:lang w:val="en-US" w:eastAsia="zh-CN"/>
              </w:rPr>
              <w:t>从</w:t>
            </w:r>
            <w:r>
              <w:rPr>
                <w:sz w:val="24"/>
                <w:highlight w:val="none"/>
              </w:rPr>
              <w:t>宏观阐释国家逻辑主导下市场与学术逻辑调适所驱动的大学改革趋势</w:t>
            </w:r>
            <w:r>
              <w:rPr>
                <w:rFonts w:hint="eastAsia"/>
                <w:sz w:val="24"/>
                <w:highlight w:val="none"/>
                <w:lang w:eastAsia="zh-CN"/>
              </w:rPr>
              <w:t>，</w:t>
            </w:r>
            <w:r>
              <w:rPr>
                <w:rFonts w:hint="eastAsia"/>
                <w:sz w:val="24"/>
                <w:highlight w:val="none"/>
              </w:rPr>
              <w:t>中观依托新制度主义解析全球改革同构压力与国别制度分化机制</w:t>
            </w:r>
            <w:r>
              <w:rPr>
                <w:rFonts w:hint="eastAsia"/>
                <w:sz w:val="24"/>
                <w:highlight w:val="none"/>
                <w:lang w:eastAsia="zh-CN"/>
              </w:rPr>
              <w:t>，</w:t>
            </w:r>
            <w:r>
              <w:rPr>
                <w:rFonts w:hint="eastAsia"/>
                <w:sz w:val="24"/>
                <w:highlight w:val="none"/>
              </w:rPr>
              <w:t>微观揭示外部政策压力在高校场域的转译、调适与</w:t>
            </w:r>
            <w:r>
              <w:rPr>
                <w:rFonts w:hint="eastAsia"/>
                <w:sz w:val="24"/>
              </w:rPr>
              <w:t>落地变形机理，提升全球研究型大学改革变迁</w:t>
            </w:r>
            <w:r>
              <w:rPr>
                <w:rFonts w:hint="eastAsia"/>
                <w:sz w:val="24"/>
                <w:lang w:val="en-US" w:eastAsia="zh-CN"/>
              </w:rPr>
              <w:t>框架</w:t>
            </w:r>
            <w:r>
              <w:rPr>
                <w:rFonts w:hint="eastAsia"/>
                <w:sz w:val="24"/>
              </w:rPr>
              <w:t>的系统性解释力。</w:t>
            </w:r>
          </w:p>
          <w:p w14:paraId="68CFEAE5">
            <w:pPr>
              <w:keepNext w:val="0"/>
              <w:keepLines w:val="0"/>
              <w:pageBreakBefore w:val="0"/>
              <w:widowControl w:val="0"/>
              <w:kinsoku/>
              <w:wordWrap/>
              <w:overflowPunct/>
              <w:topLinePunct w:val="0"/>
              <w:autoSpaceDE/>
              <w:autoSpaceDN/>
              <w:bidi w:val="0"/>
              <w:adjustRightInd/>
              <w:snapToGrid/>
              <w:spacing w:before="95" w:beforeLines="30" w:after="32" w:afterLines="10" w:line="380" w:lineRule="exact"/>
              <w:ind w:firstLine="480" w:firstLineChars="200"/>
              <w:textAlignment w:val="auto"/>
              <w:rPr>
                <w:rFonts w:hint="eastAsia" w:ascii="黑体" w:hAnsi="黑体" w:eastAsia="黑体" w:cs="黑体"/>
                <w:sz w:val="24"/>
                <w:szCs w:val="24"/>
              </w:rPr>
            </w:pPr>
            <w:r>
              <w:rPr>
                <w:rFonts w:hint="eastAsia" w:ascii="黑体" w:hAnsi="黑体" w:eastAsia="黑体" w:cs="黑体"/>
                <w:sz w:val="24"/>
                <w:szCs w:val="24"/>
              </w:rPr>
              <w:t>（二）研究方法创新</w:t>
            </w:r>
          </w:p>
          <w:p w14:paraId="0852B57A">
            <w:pPr>
              <w:spacing w:line="400" w:lineRule="exact"/>
              <w:ind w:firstLine="482" w:firstLineChars="200"/>
              <w:rPr>
                <w:rFonts w:hint="eastAsia"/>
                <w:sz w:val="24"/>
              </w:rPr>
            </w:pPr>
            <w:r>
              <w:rPr>
                <w:rFonts w:hint="eastAsia" w:eastAsia="黑体"/>
                <w:b/>
                <w:bCs/>
                <w:sz w:val="24"/>
              </w:rPr>
              <w:t xml:space="preserve">1. </w:t>
            </w:r>
            <w:r>
              <w:rPr>
                <w:rFonts w:hint="eastAsia" w:ascii="黑体" w:hAnsi="黑体" w:eastAsia="黑体" w:cs="黑体"/>
                <w:sz w:val="24"/>
              </w:rPr>
              <w:t>构建“混合研究范式+多层实证体系”的整合研究方法：</w:t>
            </w:r>
            <w:r>
              <w:rPr>
                <w:rFonts w:hint="eastAsia"/>
                <w:sz w:val="24"/>
              </w:rPr>
              <w:t>突破单一政策分析或个案研究的范式局限，融合多种方法形成三角验证：依托政策文本解构各国大学改革的制度设计与战略导向，引入大语言模型与NVivo编码实现跨语言文本的批量初筛；通过科学计量数据WoS/Scopus合著、OECD经费及三大排名时序指标，运用VOSviewer、ggplot2、</w:t>
            </w:r>
            <w:r>
              <w:rPr>
                <w:rFonts w:hint="eastAsia"/>
                <w:sz w:val="24"/>
                <w:lang w:val="en-US" w:eastAsia="zh-CN"/>
              </w:rPr>
              <w:t>S</w:t>
            </w:r>
            <w:r>
              <w:rPr>
                <w:rFonts w:hint="eastAsia"/>
                <w:sz w:val="24"/>
              </w:rPr>
              <w:t>eaborn等工具刻画科研合作、经费配置与人才流动的结构性变迁；结合案例追踪与精英访谈，揭示外部压力传导与大学组织响应的微观机制，从而实现制度设计、宏观行为与微观调适的多层次联动分析。</w:t>
            </w:r>
          </w:p>
          <w:p w14:paraId="5E43E1D0">
            <w:pPr>
              <w:spacing w:line="400" w:lineRule="exact"/>
              <w:ind w:firstLine="482" w:firstLineChars="200"/>
              <w:rPr>
                <w:rFonts w:hint="eastAsia"/>
                <w:sz w:val="24"/>
              </w:rPr>
            </w:pPr>
            <w:r>
              <w:rPr>
                <w:rFonts w:hint="eastAsia" w:eastAsia="黑体"/>
                <w:b/>
                <w:bCs/>
                <w:sz w:val="24"/>
              </w:rPr>
              <w:t xml:space="preserve">2. </w:t>
            </w:r>
            <w:r>
              <w:rPr>
                <w:rFonts w:hint="eastAsia" w:ascii="黑体" w:hAnsi="黑体" w:eastAsia="黑体" w:cs="黑体"/>
                <w:sz w:val="24"/>
              </w:rPr>
              <w:t>擘画“全域主样本+战略补充样本”的差异化比较数据库：</w:t>
            </w:r>
            <w:r>
              <w:rPr>
                <w:rFonts w:hint="eastAsia"/>
                <w:sz w:val="24"/>
              </w:rPr>
              <w:t>突破传统研究仅聚焦传统顶尖高校的样本局限，基于QS、THE、ARWU三大排名搭建全球研究型大学主样本池，系统收集高校战略规划、年报、学术委员会文件等政策文本；同时将新兴研究型大学纳为战略补充样本，整合经费结构、科研合作、人才流动等数据，形成可动态追踪的比较数据库。该数据库将产出各高校在知识生产、人才培养、外部关系与治理结构维度的改革编码矩阵及政策话语演变的时序分析结果，为全面揭示地缘政治变局下全球研究型大学改革的多元路径与分化趋势提供数据基础。</w:t>
            </w:r>
          </w:p>
          <w:p w14:paraId="03B1AEF8">
            <w:pPr>
              <w:keepNext w:val="0"/>
              <w:keepLines w:val="0"/>
              <w:pageBreakBefore w:val="0"/>
              <w:widowControl w:val="0"/>
              <w:kinsoku/>
              <w:wordWrap/>
              <w:overflowPunct/>
              <w:topLinePunct w:val="0"/>
              <w:autoSpaceDE/>
              <w:autoSpaceDN/>
              <w:bidi w:val="0"/>
              <w:adjustRightInd/>
              <w:snapToGrid/>
              <w:spacing w:before="95" w:beforeLines="30" w:after="95" w:afterLines="30" w:line="380" w:lineRule="exact"/>
              <w:ind w:firstLine="560" w:firstLineChars="200"/>
              <w:textAlignment w:val="auto"/>
              <w:rPr>
                <w:rFonts w:hint="eastAsia" w:ascii="黑体" w:hAnsi="黑体" w:eastAsia="黑体" w:cs="黑体"/>
                <w:sz w:val="28"/>
                <w:szCs w:val="28"/>
              </w:rPr>
            </w:pPr>
            <w:r>
              <w:rPr>
                <w:rFonts w:hint="eastAsia" w:ascii="黑体" w:hAnsi="黑体" w:eastAsia="黑体" w:cs="黑体"/>
                <w:sz w:val="28"/>
                <w:szCs w:val="28"/>
              </w:rPr>
              <w:t>五、预期成果</w:t>
            </w:r>
          </w:p>
          <w:p w14:paraId="45BEB80C">
            <w:pPr>
              <w:spacing w:line="400" w:lineRule="exact"/>
              <w:ind w:firstLine="480" w:firstLineChars="200"/>
              <w:rPr>
                <w:rFonts w:hint="eastAsia"/>
                <w:sz w:val="24"/>
              </w:rPr>
            </w:pPr>
            <w:r>
              <w:rPr>
                <w:rFonts w:hint="eastAsia"/>
                <w:sz w:val="24"/>
              </w:rPr>
              <w:t>本课题拟完成</w:t>
            </w:r>
            <w:r>
              <w:rPr>
                <w:rFonts w:eastAsia="黑体"/>
                <w:sz w:val="24"/>
              </w:rPr>
              <w:t>CSSCI论文</w:t>
            </w:r>
            <w:r>
              <w:rPr>
                <w:rFonts w:hint="eastAsia" w:eastAsia="黑体"/>
                <w:sz w:val="24"/>
                <w:lang w:val="en-US" w:eastAsia="zh-CN"/>
              </w:rPr>
              <w:t>3</w:t>
            </w:r>
            <w:r>
              <w:rPr>
                <w:rFonts w:eastAsia="黑体"/>
                <w:sz w:val="24"/>
              </w:rPr>
              <w:t>篇、</w:t>
            </w:r>
            <w:r>
              <w:rPr>
                <w:rFonts w:hint="eastAsia" w:eastAsia="黑体"/>
                <w:sz w:val="24"/>
                <w:lang w:val="en-US" w:eastAsia="zh-CN"/>
              </w:rPr>
              <w:t>咨询报告1篇、</w:t>
            </w:r>
            <w:r>
              <w:rPr>
                <w:rFonts w:eastAsia="黑体"/>
                <w:sz w:val="24"/>
              </w:rPr>
              <w:t>专著1部</w:t>
            </w:r>
            <w:r>
              <w:rPr>
                <w:rFonts w:hint="eastAsia"/>
                <w:sz w:val="24"/>
              </w:rPr>
              <w:t>。</w:t>
            </w:r>
          </w:p>
          <w:p w14:paraId="2CFE5648">
            <w:pPr>
              <w:numPr>
                <w:ilvl w:val="0"/>
                <w:numId w:val="6"/>
              </w:numPr>
              <w:spacing w:line="400" w:lineRule="exact"/>
              <w:ind w:firstLine="480" w:firstLineChars="200"/>
              <w:rPr>
                <w:rFonts w:hint="eastAsia"/>
                <w:sz w:val="24"/>
              </w:rPr>
            </w:pPr>
            <w:r>
              <w:rPr>
                <w:rFonts w:hint="eastAsia" w:ascii="黑体" w:hAnsi="黑体" w:eastAsia="黑体" w:cs="黑体"/>
                <w:sz w:val="24"/>
              </w:rPr>
              <w:t>宣传转化：</w:t>
            </w:r>
            <w:r>
              <w:rPr>
                <w:rFonts w:hint="eastAsia"/>
                <w:sz w:val="24"/>
              </w:rPr>
              <w:t>专著出版于国家一级出版社，向高校、研究机构发行；论文发表于CSSCI权威期刊，在比较教育、高等教育学术会议中交流分享；形成系列专项咨政报送</w:t>
            </w:r>
            <w:r>
              <w:rPr>
                <w:rFonts w:hint="eastAsia"/>
                <w:sz w:val="24"/>
                <w:lang w:val="en-US" w:eastAsia="zh-CN"/>
              </w:rPr>
              <w:t>相关政府部门</w:t>
            </w:r>
            <w:r>
              <w:rPr>
                <w:rFonts w:hint="eastAsia"/>
                <w:sz w:val="24"/>
              </w:rPr>
              <w:t>。</w:t>
            </w:r>
          </w:p>
          <w:p w14:paraId="35143E47">
            <w:pPr>
              <w:numPr>
                <w:ilvl w:val="0"/>
                <w:numId w:val="6"/>
              </w:numPr>
              <w:spacing w:line="400" w:lineRule="exact"/>
              <w:ind w:firstLine="480" w:firstLineChars="200"/>
              <w:rPr>
                <w:rFonts w:hint="eastAsia"/>
                <w:sz w:val="24"/>
              </w:rPr>
            </w:pPr>
            <w:r>
              <w:rPr>
                <w:rFonts w:hint="eastAsia" w:ascii="黑体" w:hAnsi="黑体" w:eastAsia="黑体" w:cs="黑体"/>
                <w:sz w:val="24"/>
              </w:rPr>
              <w:t>学术价值：</w:t>
            </w:r>
            <w:r>
              <w:rPr>
                <w:rFonts w:hint="eastAsia"/>
                <w:sz w:val="24"/>
              </w:rPr>
              <w:t>创新提出“地缘政治</w:t>
            </w:r>
            <w:r>
              <w:rPr>
                <w:rFonts w:hint="eastAsia"/>
                <w:sz w:val="24"/>
                <w:highlight w:val="none"/>
              </w:rPr>
              <w:t>变化</w:t>
            </w:r>
            <w:r>
              <w:rPr>
                <w:rFonts w:hint="eastAsia"/>
                <w:sz w:val="24"/>
              </w:rPr>
              <w:t>期”论断与三重逻辑贯穿的整体性分析框架，厘清全球大学改革模式、趋势及内在机理，拓展比较教育研究范式，并结合本土实际构建改革路径。</w:t>
            </w:r>
          </w:p>
          <w:p w14:paraId="1A473A22">
            <w:pPr>
              <w:numPr>
                <w:ilvl w:val="0"/>
                <w:numId w:val="6"/>
              </w:numPr>
              <w:spacing w:line="400" w:lineRule="exact"/>
              <w:ind w:firstLine="480" w:firstLineChars="200"/>
              <w:rPr>
                <w:sz w:val="24"/>
              </w:rPr>
            </w:pPr>
            <w:r>
              <w:rPr>
                <w:rFonts w:hint="eastAsia" w:ascii="黑体" w:hAnsi="黑体" w:eastAsia="黑体" w:cs="黑体"/>
                <w:sz w:val="24"/>
              </w:rPr>
              <w:t>社会效益：</w:t>
            </w:r>
            <w:r>
              <w:rPr>
                <w:rFonts w:hint="eastAsia"/>
                <w:sz w:val="24"/>
              </w:rPr>
              <w:t>既为我国研判国际科研格局、优化对外开放战略提供实证支撑，也为借鉴国际经验、应对外部风险、推进一流大学建设提供参考，服务科技自立自强与教育强国建设大局。</w:t>
            </w:r>
          </w:p>
          <w:p w14:paraId="5EFAAAB6">
            <w:pPr>
              <w:keepNext w:val="0"/>
              <w:keepLines w:val="0"/>
              <w:pageBreakBefore w:val="0"/>
              <w:widowControl w:val="0"/>
              <w:kinsoku/>
              <w:wordWrap/>
              <w:overflowPunct/>
              <w:topLinePunct w:val="0"/>
              <w:autoSpaceDE/>
              <w:autoSpaceDN/>
              <w:bidi w:val="0"/>
              <w:adjustRightInd/>
              <w:snapToGrid/>
              <w:spacing w:before="95" w:beforeLines="30" w:after="95" w:afterLines="30" w:line="380" w:lineRule="exact"/>
              <w:ind w:firstLine="560" w:firstLineChars="200"/>
              <w:textAlignment w:val="auto"/>
              <w:rPr>
                <w:rFonts w:hint="eastAsia" w:ascii="黑体" w:hAnsi="黑体" w:eastAsia="黑体" w:cs="黑体"/>
                <w:sz w:val="28"/>
                <w:szCs w:val="28"/>
              </w:rPr>
            </w:pPr>
            <w:r>
              <w:rPr>
                <w:rFonts w:hint="eastAsia" w:ascii="黑体" w:hAnsi="黑体" w:eastAsia="黑体" w:cs="黑体"/>
                <w:sz w:val="28"/>
                <w:szCs w:val="28"/>
              </w:rPr>
              <w:t>六、研究基础</w:t>
            </w:r>
          </w:p>
          <w:p w14:paraId="784FEC27">
            <w:pPr>
              <w:keepNext w:val="0"/>
              <w:keepLines w:val="0"/>
              <w:pageBreakBefore w:val="0"/>
              <w:widowControl w:val="0"/>
              <w:kinsoku/>
              <w:wordWrap/>
              <w:overflowPunct/>
              <w:topLinePunct w:val="0"/>
              <w:autoSpaceDE/>
              <w:autoSpaceDN/>
              <w:bidi w:val="0"/>
              <w:adjustRightInd/>
              <w:snapToGrid/>
              <w:spacing w:line="400" w:lineRule="exact"/>
              <w:ind w:firstLine="482" w:firstLineChars="200"/>
              <w:textAlignment w:val="auto"/>
              <w:rPr>
                <w:rFonts w:hint="eastAsia"/>
                <w:sz w:val="24"/>
                <w:lang w:val="en-US" w:eastAsia="zh-CN"/>
              </w:rPr>
            </w:pPr>
            <w:r>
              <w:rPr>
                <w:rFonts w:eastAsia="黑体"/>
                <w:b/>
                <w:bCs/>
                <w:sz w:val="24"/>
              </w:rPr>
              <w:t xml:space="preserve">1. </w:t>
            </w:r>
            <w:r>
              <w:rPr>
                <w:rFonts w:hint="eastAsia" w:ascii="黑体" w:hAnsi="黑体" w:eastAsia="黑体" w:cs="黑体"/>
                <w:sz w:val="24"/>
              </w:rPr>
              <w:t>立足国际比较视角，探析全球高水平研究型大学差异化改革路径。</w:t>
            </w:r>
            <w:r>
              <w:rPr>
                <w:rFonts w:hint="eastAsia"/>
                <w:sz w:val="24"/>
              </w:rPr>
              <w:t>以</w:t>
            </w:r>
            <w:r>
              <w:rPr>
                <w:rFonts w:hint="eastAsia" w:ascii="黑体" w:hAnsi="黑体" w:eastAsia="黑体" w:cs="黑体"/>
                <w:sz w:val="24"/>
                <w:lang w:val="en-US" w:eastAsia="zh-CN"/>
              </w:rPr>
              <w:t>独立/</w:t>
            </w:r>
            <w:r>
              <w:rPr>
                <w:rFonts w:hint="eastAsia" w:ascii="黑体" w:hAnsi="黑体" w:eastAsia="黑体" w:cs="黑体"/>
                <w:sz w:val="24"/>
              </w:rPr>
              <w:t>第一作者在</w:t>
            </w:r>
            <w:r>
              <w:rPr>
                <w:rFonts w:hint="eastAsia" w:ascii="黑体" w:hAnsi="黑体" w:eastAsia="黑体" w:cs="黑体"/>
                <w:sz w:val="24"/>
                <w:lang w:val="en-US" w:eastAsia="zh-CN"/>
              </w:rPr>
              <w:t>CSSCI来源</w:t>
            </w:r>
            <w:r>
              <w:rPr>
                <w:rFonts w:hint="eastAsia" w:ascii="黑体" w:hAnsi="黑体" w:eastAsia="黑体" w:cs="黑体"/>
                <w:sz w:val="24"/>
              </w:rPr>
              <w:t>期刊</w:t>
            </w:r>
            <w:r>
              <w:rPr>
                <w:rFonts w:hint="eastAsia"/>
                <w:sz w:val="24"/>
                <w:lang w:val="en-US" w:eastAsia="zh-CN"/>
              </w:rPr>
              <w:t>发表《高等教育参与*******的全球视野与中国行动》《研究型大学赋能国家实验室*****：中美比较视角》《******与美国高等教育</w:t>
            </w:r>
            <w:r>
              <w:rPr>
                <w:rFonts w:hint="eastAsia" w:ascii="宋体" w:hAnsi="宋体" w:eastAsia="宋体" w:cs="宋体"/>
                <w:sz w:val="24"/>
                <w:lang w:val="en-US" w:eastAsia="zh-CN"/>
              </w:rPr>
              <w:t>走向》《法国高等教育支撑科技创新中心******》等10多篇论文，其中3篇受到权威文摘全文转载并作封面推荐</w:t>
            </w:r>
            <w:r>
              <w:rPr>
                <w:rFonts w:hint="eastAsia"/>
                <w:sz w:val="24"/>
                <w:lang w:val="en-US" w:eastAsia="zh-CN"/>
              </w:rPr>
              <w:t>。</w:t>
            </w:r>
          </w:p>
          <w:p w14:paraId="064E5206">
            <w:pPr>
              <w:keepNext w:val="0"/>
              <w:keepLines w:val="0"/>
              <w:pageBreakBefore w:val="0"/>
              <w:widowControl w:val="0"/>
              <w:kinsoku/>
              <w:wordWrap/>
              <w:overflowPunct/>
              <w:topLinePunct w:val="0"/>
              <w:autoSpaceDE/>
              <w:autoSpaceDN/>
              <w:bidi w:val="0"/>
              <w:adjustRightInd/>
              <w:snapToGrid/>
              <w:spacing w:line="400" w:lineRule="exact"/>
              <w:ind w:firstLine="482" w:firstLineChars="200"/>
              <w:textAlignment w:val="auto"/>
              <w:rPr>
                <w:rFonts w:hint="default"/>
                <w:sz w:val="24"/>
                <w:lang w:val="en-US" w:eastAsia="zh-CN"/>
              </w:rPr>
            </w:pPr>
            <w:r>
              <w:rPr>
                <w:rFonts w:hint="eastAsia" w:eastAsia="黑体"/>
                <w:b/>
                <w:bCs/>
                <w:sz w:val="24"/>
              </w:rPr>
              <w:t>2</w:t>
            </w:r>
            <w:r>
              <w:rPr>
                <w:rFonts w:eastAsia="黑体"/>
                <w:b/>
                <w:bCs/>
                <w:sz w:val="24"/>
              </w:rPr>
              <w:t xml:space="preserve">. </w:t>
            </w:r>
            <w:r>
              <w:rPr>
                <w:rFonts w:hint="eastAsia" w:ascii="黑体" w:hAnsi="黑体" w:eastAsia="黑体" w:cs="黑体"/>
                <w:sz w:val="24"/>
              </w:rPr>
              <w:t>聚焦研究型大学战略转型，</w:t>
            </w:r>
            <w:r>
              <w:rPr>
                <w:rFonts w:hint="eastAsia" w:ascii="黑体" w:hAnsi="黑体" w:eastAsia="黑体" w:cs="黑体"/>
                <w:sz w:val="24"/>
                <w:lang w:val="en-US" w:eastAsia="zh-CN"/>
              </w:rPr>
              <w:t>剖析其改革</w:t>
            </w:r>
            <w:r>
              <w:rPr>
                <w:rFonts w:hint="eastAsia" w:ascii="黑体" w:hAnsi="黑体" w:eastAsia="黑体" w:cs="黑体"/>
                <w:sz w:val="24"/>
              </w:rPr>
              <w:t>机理与逻辑。</w:t>
            </w:r>
            <w:r>
              <w:rPr>
                <w:rFonts w:hint="eastAsia"/>
                <w:sz w:val="24"/>
              </w:rPr>
              <w:t>以</w:t>
            </w:r>
            <w:r>
              <w:rPr>
                <w:rFonts w:hint="eastAsia" w:ascii="黑体" w:hAnsi="黑体" w:eastAsia="黑体" w:cs="黑体"/>
                <w:sz w:val="24"/>
                <w:lang w:val="en-US" w:eastAsia="zh-CN"/>
              </w:rPr>
              <w:t>独立</w:t>
            </w:r>
            <w:r>
              <w:rPr>
                <w:rFonts w:hint="eastAsia" w:ascii="黑体" w:hAnsi="黑体" w:eastAsia="黑体" w:cs="黑体"/>
                <w:sz w:val="24"/>
              </w:rPr>
              <w:t>作者在权威期刊</w:t>
            </w:r>
            <w:r>
              <w:rPr>
                <w:rFonts w:hint="eastAsia" w:ascii="黑体" w:hAnsi="黑体" w:eastAsia="黑体" w:cs="黑体"/>
                <w:sz w:val="24"/>
                <w:lang w:val="en-US" w:eastAsia="zh-CN"/>
              </w:rPr>
              <w:t>和CSSCI来源期刊</w:t>
            </w:r>
            <w:r>
              <w:rPr>
                <w:rFonts w:hint="eastAsia"/>
                <w:sz w:val="24"/>
                <w:lang w:val="en-US" w:eastAsia="zh-CN"/>
              </w:rPr>
              <w:t>发表《研究型大学赋能高水平科技自立自强******》《提升高等教育创新体系整体效能：*****》《面向科技自立自强的研究型大学科教融合*****》《研究型大学赋能区域创新发展的理论审思****》等10多篇论文，</w:t>
            </w:r>
            <w:r>
              <w:rPr>
                <w:rFonts w:hint="eastAsia" w:ascii="黑体" w:hAnsi="黑体" w:eastAsia="黑体" w:cs="黑体"/>
                <w:sz w:val="24"/>
                <w:lang w:val="en-US" w:eastAsia="zh-CN"/>
              </w:rPr>
              <w:t>5篇受到权威文摘全文转载并作封面推荐，其中2篇分别获国家级、省级哲学社会科学成果奖二等奖和一等奖</w:t>
            </w:r>
            <w:r>
              <w:rPr>
                <w:rFonts w:hint="eastAsia"/>
                <w:sz w:val="24"/>
                <w:lang w:val="en-US" w:eastAsia="zh-CN"/>
              </w:rPr>
              <w:t>。</w:t>
            </w:r>
          </w:p>
          <w:p w14:paraId="4448A76F">
            <w:pPr>
              <w:keepNext w:val="0"/>
              <w:keepLines w:val="0"/>
              <w:pageBreakBefore w:val="0"/>
              <w:widowControl w:val="0"/>
              <w:kinsoku/>
              <w:wordWrap/>
              <w:overflowPunct/>
              <w:topLinePunct w:val="0"/>
              <w:autoSpaceDE/>
              <w:autoSpaceDN/>
              <w:bidi w:val="0"/>
              <w:adjustRightInd/>
              <w:snapToGrid/>
              <w:spacing w:line="400" w:lineRule="exact"/>
              <w:ind w:firstLine="482" w:firstLineChars="200"/>
              <w:textAlignment w:val="auto"/>
              <w:rPr>
                <w:rFonts w:hint="eastAsia"/>
                <w:sz w:val="24"/>
              </w:rPr>
            </w:pPr>
            <w:r>
              <w:rPr>
                <w:rFonts w:hint="eastAsia" w:eastAsia="黑体"/>
                <w:b/>
                <w:bCs/>
                <w:sz w:val="24"/>
              </w:rPr>
              <w:t>3</w:t>
            </w:r>
            <w:r>
              <w:rPr>
                <w:rFonts w:eastAsia="黑体"/>
                <w:b/>
                <w:bCs/>
                <w:sz w:val="24"/>
              </w:rPr>
              <w:t xml:space="preserve">. </w:t>
            </w:r>
            <w:r>
              <w:rPr>
                <w:rFonts w:hint="eastAsia" w:ascii="黑体" w:hAnsi="黑体" w:eastAsia="黑体" w:cs="黑体"/>
                <w:b w:val="0"/>
                <w:bCs w:val="0"/>
                <w:sz w:val="24"/>
                <w:lang w:val="en-US" w:eastAsia="zh-CN"/>
              </w:rPr>
              <w:t>已围绕该选题进行了多轮</w:t>
            </w:r>
            <w:r>
              <w:rPr>
                <w:rFonts w:hint="eastAsia" w:ascii="黑体" w:hAnsi="黑体" w:eastAsia="黑体" w:cs="黑体"/>
                <w:b w:val="0"/>
                <w:bCs w:val="0"/>
                <w:sz w:val="24"/>
              </w:rPr>
              <w:t>国内外实地调研</w:t>
            </w:r>
            <w:r>
              <w:rPr>
                <w:rFonts w:hint="eastAsia" w:ascii="黑体" w:hAnsi="黑体" w:eastAsia="黑体" w:cs="黑体"/>
                <w:sz w:val="24"/>
              </w:rPr>
              <w:t>，</w:t>
            </w:r>
            <w:r>
              <w:rPr>
                <w:rFonts w:hint="eastAsia" w:ascii="黑体" w:hAnsi="黑体" w:eastAsia="黑体" w:cs="黑体"/>
                <w:sz w:val="24"/>
                <w:lang w:val="en-US" w:eastAsia="zh-CN"/>
              </w:rPr>
              <w:t>为后期深化研究奠定较好基础</w:t>
            </w:r>
            <w:r>
              <w:rPr>
                <w:rFonts w:hint="eastAsia" w:ascii="宋体" w:hAnsi="宋体" w:eastAsia="宋体" w:cs="宋体"/>
                <w:sz w:val="24"/>
              </w:rPr>
              <w:t>。</w:t>
            </w:r>
            <w:r>
              <w:rPr>
                <w:rFonts w:hint="eastAsia" w:ascii="宋体" w:hAnsi="宋体" w:eastAsia="宋体" w:cs="宋体"/>
                <w:sz w:val="24"/>
                <w:lang w:val="en-US" w:eastAsia="zh-CN"/>
              </w:rPr>
              <w:t>课题组团队</w:t>
            </w:r>
            <w:r>
              <w:rPr>
                <w:rFonts w:hint="eastAsia"/>
                <w:sz w:val="24"/>
              </w:rPr>
              <w:t>先后赴美国旧金山湾区、纽约湾区、法国及京津冀、长三角、粤港澳大湾区，深入调研</w:t>
            </w:r>
            <w:r>
              <w:rPr>
                <w:rFonts w:hint="eastAsia"/>
                <w:sz w:val="24"/>
                <w:lang w:val="en-US" w:eastAsia="zh-CN"/>
              </w:rPr>
              <w:t>4</w:t>
            </w:r>
            <w:r>
              <w:rPr>
                <w:rFonts w:hint="eastAsia"/>
                <w:sz w:val="24"/>
              </w:rPr>
              <w:t>0多所</w:t>
            </w:r>
            <w:r>
              <w:rPr>
                <w:rFonts w:hint="eastAsia"/>
                <w:sz w:val="24"/>
                <w:lang w:val="en-US" w:eastAsia="zh-CN"/>
              </w:rPr>
              <w:t>知名研究型大学面对新形势的改革动向</w:t>
            </w:r>
            <w:r>
              <w:rPr>
                <w:rFonts w:hint="eastAsia"/>
                <w:sz w:val="24"/>
              </w:rPr>
              <w:t>，掌握一手</w:t>
            </w:r>
            <w:r>
              <w:rPr>
                <w:rFonts w:hint="eastAsia"/>
                <w:sz w:val="24"/>
                <w:lang w:val="en-US" w:eastAsia="zh-CN"/>
              </w:rPr>
              <w:t>访谈调研</w:t>
            </w:r>
            <w:r>
              <w:rPr>
                <w:rFonts w:hint="eastAsia"/>
                <w:sz w:val="24"/>
              </w:rPr>
              <w:t>与案例资料。基于调研形成的</w:t>
            </w:r>
            <w:r>
              <w:rPr>
                <w:rFonts w:hint="eastAsia" w:ascii="黑体" w:hAnsi="黑体" w:eastAsia="黑体" w:cs="黑体"/>
                <w:sz w:val="24"/>
              </w:rPr>
              <w:t>20余份咨政报告</w:t>
            </w:r>
            <w:r>
              <w:rPr>
                <w:rFonts w:hint="eastAsia" w:ascii="黑体" w:hAnsi="黑体" w:eastAsia="黑体" w:cs="黑体"/>
                <w:sz w:val="24"/>
                <w:lang w:val="en-US" w:eastAsia="zh-CN"/>
              </w:rPr>
              <w:t>分别</w:t>
            </w:r>
            <w:r>
              <w:rPr>
                <w:rFonts w:hint="eastAsia" w:ascii="黑体" w:hAnsi="黑体" w:eastAsia="黑体" w:cs="黑体"/>
                <w:sz w:val="24"/>
              </w:rPr>
              <w:t>获</w:t>
            </w:r>
            <w:r>
              <w:rPr>
                <w:rFonts w:hint="eastAsia" w:ascii="黑体" w:hAnsi="黑体" w:eastAsia="黑体" w:cs="黑体"/>
                <w:sz w:val="24"/>
                <w:lang w:val="en-US" w:eastAsia="zh-CN"/>
              </w:rPr>
              <w:t>中央主要领导、</w:t>
            </w:r>
            <w:r>
              <w:rPr>
                <w:rFonts w:hint="eastAsia" w:ascii="黑体" w:hAnsi="黑体" w:eastAsia="黑体" w:cs="黑体"/>
                <w:sz w:val="24"/>
              </w:rPr>
              <w:t>部委领导</w:t>
            </w:r>
            <w:r>
              <w:rPr>
                <w:rFonts w:hint="eastAsia" w:ascii="黑体" w:hAnsi="黑体" w:eastAsia="黑体" w:cs="黑体"/>
                <w:sz w:val="24"/>
                <w:lang w:val="en-US" w:eastAsia="zh-CN"/>
              </w:rPr>
              <w:t>和相关部门的肯定性</w:t>
            </w:r>
            <w:r>
              <w:rPr>
                <w:rFonts w:hint="eastAsia" w:ascii="黑体" w:hAnsi="黑体" w:eastAsia="黑体" w:cs="黑体"/>
                <w:sz w:val="24"/>
              </w:rPr>
              <w:t>批示</w:t>
            </w:r>
            <w:r>
              <w:rPr>
                <w:rFonts w:hint="eastAsia" w:ascii="黑体" w:hAnsi="黑体" w:eastAsia="黑体" w:cs="黑体"/>
                <w:sz w:val="24"/>
                <w:lang w:val="en-US" w:eastAsia="zh-CN"/>
              </w:rPr>
              <w:t>和采纳</w:t>
            </w:r>
            <w:r>
              <w:rPr>
                <w:rFonts w:hint="eastAsia"/>
                <w:sz w:val="24"/>
              </w:rPr>
              <w:t>。</w:t>
            </w:r>
          </w:p>
          <w:p w14:paraId="457BDEC1">
            <w:pPr>
              <w:keepNext w:val="0"/>
              <w:keepLines w:val="0"/>
              <w:pageBreakBefore w:val="0"/>
              <w:widowControl w:val="0"/>
              <w:kinsoku/>
              <w:wordWrap/>
              <w:overflowPunct/>
              <w:topLinePunct w:val="0"/>
              <w:autoSpaceDE/>
              <w:autoSpaceDN/>
              <w:bidi w:val="0"/>
              <w:adjustRightInd/>
              <w:snapToGrid/>
              <w:spacing w:before="126" w:beforeLines="40" w:after="126" w:afterLines="40" w:line="380" w:lineRule="exact"/>
              <w:ind w:firstLine="560" w:firstLineChars="200"/>
              <w:textAlignment w:val="auto"/>
              <w:rPr>
                <w:rFonts w:hint="eastAsia" w:ascii="黑体" w:hAnsi="黑体" w:eastAsia="黑体" w:cs="黑体"/>
                <w:sz w:val="28"/>
                <w:szCs w:val="28"/>
              </w:rPr>
            </w:pPr>
            <w:r>
              <w:rPr>
                <w:rFonts w:hint="eastAsia" w:ascii="黑体" w:hAnsi="黑体" w:eastAsia="黑体" w:cs="黑体"/>
                <w:sz w:val="28"/>
                <w:szCs w:val="28"/>
              </w:rPr>
              <w:t>七、参考文献</w:t>
            </w:r>
          </w:p>
          <w:p w14:paraId="6C5B8E05">
            <w:pPr>
              <w:spacing w:line="380" w:lineRule="exact"/>
              <w:ind w:firstLine="480" w:firstLineChars="200"/>
              <w:rPr>
                <w:rFonts w:hint="eastAsia"/>
                <w:sz w:val="24"/>
              </w:rPr>
            </w:pPr>
            <w:r>
              <w:rPr>
                <w:rFonts w:hint="eastAsia"/>
                <w:sz w:val="24"/>
              </w:rPr>
              <w:t>[1] (英)西蒙·马金森. 高等教育、全球科学、共同福祉：西蒙·马金森北京大学演讲录[M]. 沈文钦, 阎凤桥, 等, 编. 北京: 北京大学出版社, 2025.</w:t>
            </w:r>
          </w:p>
          <w:p w14:paraId="4A5927D3">
            <w:pPr>
              <w:spacing w:line="380" w:lineRule="exact"/>
              <w:ind w:firstLine="480" w:firstLineChars="200"/>
              <w:rPr>
                <w:rFonts w:hint="eastAsia"/>
                <w:sz w:val="24"/>
              </w:rPr>
            </w:pPr>
            <w:r>
              <w:rPr>
                <w:rFonts w:hint="eastAsia"/>
                <w:sz w:val="24"/>
              </w:rPr>
              <w:t>[2] 刘宝存, 等. 世界一流大学发展模式比较研究[M]. 北京: 人民出版社, 2022.</w:t>
            </w:r>
          </w:p>
          <w:p w14:paraId="14E41FAC">
            <w:pPr>
              <w:spacing w:line="380" w:lineRule="exact"/>
              <w:ind w:firstLine="480" w:firstLineChars="200"/>
              <w:rPr>
                <w:rFonts w:hint="eastAsia"/>
                <w:sz w:val="24"/>
              </w:rPr>
            </w:pPr>
            <w:r>
              <w:rPr>
                <w:rFonts w:hint="eastAsia"/>
                <w:sz w:val="24"/>
              </w:rPr>
              <w:t>[3] 周作宇, 李传宗, 杜瑞军. “双一流”建设高校全球发展战略：现实背景、价值立场与实施路径[J]. 高校教育管理, 2025(5).</w:t>
            </w:r>
          </w:p>
          <w:p w14:paraId="7A9F372C">
            <w:pPr>
              <w:spacing w:line="380" w:lineRule="exact"/>
              <w:ind w:firstLine="480" w:firstLineChars="200"/>
              <w:rPr>
                <w:rFonts w:hint="eastAsia"/>
                <w:sz w:val="24"/>
              </w:rPr>
            </w:pPr>
            <w:r>
              <w:rPr>
                <w:rFonts w:hint="eastAsia"/>
                <w:sz w:val="24"/>
              </w:rPr>
              <w:t>[4] 黄福涛. 全球变局下中国高等教育国际化面临的挑战与应对[J]. 高校教育管理, 2025(4).</w:t>
            </w:r>
          </w:p>
          <w:p w14:paraId="70F40D04">
            <w:pPr>
              <w:spacing w:line="380" w:lineRule="exact"/>
              <w:ind w:firstLine="480" w:firstLineChars="200"/>
              <w:rPr>
                <w:rFonts w:hint="eastAsia"/>
                <w:sz w:val="24"/>
              </w:rPr>
            </w:pPr>
            <w:r>
              <w:rPr>
                <w:rFonts w:hint="eastAsia"/>
                <w:sz w:val="24"/>
              </w:rPr>
              <w:t>[5] 文雯. 地缘政治和我国高等教育国际化的空间转向[J]. 清华大学教育研究, 2026(1).</w:t>
            </w:r>
          </w:p>
          <w:p w14:paraId="2687D95C">
            <w:pPr>
              <w:spacing w:line="380" w:lineRule="exact"/>
              <w:ind w:firstLine="480" w:firstLineChars="200"/>
              <w:rPr>
                <w:rFonts w:hint="eastAsia"/>
                <w:sz w:val="24"/>
              </w:rPr>
            </w:pPr>
            <w:r>
              <w:rPr>
                <w:rFonts w:hint="eastAsia"/>
                <w:sz w:val="24"/>
              </w:rPr>
              <w:t>[6] 邬大光, 等. 高等教育学自主知识体系建构的思考[J]. 国家教育行政学院学报, 2026(1).</w:t>
            </w:r>
          </w:p>
          <w:p w14:paraId="1F4425D3">
            <w:pPr>
              <w:spacing w:line="380" w:lineRule="exact"/>
              <w:ind w:firstLine="480" w:firstLineChars="200"/>
              <w:rPr>
                <w:rFonts w:hint="eastAsia"/>
                <w:sz w:val="24"/>
              </w:rPr>
            </w:pPr>
            <w:r>
              <w:rPr>
                <w:rFonts w:hint="eastAsia"/>
                <w:sz w:val="24"/>
              </w:rPr>
              <w:t>[7] 别敦荣, 邵剑耀. 高等教育普及化的中国模式及其推进策略[J]. 高等教育研究, 2024(8).</w:t>
            </w:r>
          </w:p>
          <w:p w14:paraId="603BAE27">
            <w:pPr>
              <w:spacing w:line="380" w:lineRule="exact"/>
              <w:ind w:firstLine="480" w:firstLineChars="200"/>
              <w:rPr>
                <w:rFonts w:hint="eastAsia"/>
                <w:sz w:val="24"/>
              </w:rPr>
            </w:pPr>
            <w:r>
              <w:rPr>
                <w:rFonts w:hint="eastAsia"/>
                <w:sz w:val="24"/>
              </w:rPr>
              <w:t>[8] 谢维和. 中国高等教育的国际定位兼谈教育强国的建设途径[J]. 中国高教研究, 2023(7).</w:t>
            </w:r>
          </w:p>
          <w:p w14:paraId="5598B2F1">
            <w:pPr>
              <w:spacing w:line="380" w:lineRule="exact"/>
              <w:ind w:firstLine="480" w:firstLineChars="200"/>
              <w:rPr>
                <w:rFonts w:hint="eastAsia"/>
                <w:sz w:val="24"/>
              </w:rPr>
            </w:pPr>
            <w:r>
              <w:rPr>
                <w:rFonts w:hint="eastAsia"/>
                <w:sz w:val="24"/>
              </w:rPr>
              <w:t>[9] Clark B. R. Creating entrepreneurial universities: organizational pathways of transformation[M]. Oxford: Pergamon Press, 1998.</w:t>
            </w:r>
          </w:p>
          <w:p w14:paraId="73967606">
            <w:pPr>
              <w:spacing w:line="380" w:lineRule="exact"/>
              <w:ind w:firstLine="480" w:firstLineChars="200"/>
              <w:rPr>
                <w:rFonts w:hint="eastAsia"/>
                <w:sz w:val="24"/>
              </w:rPr>
            </w:pPr>
            <w:r>
              <w:rPr>
                <w:rFonts w:hint="eastAsia"/>
                <w:sz w:val="24"/>
              </w:rPr>
              <w:t>[10] Cantwell B, Grimm A. The geopolitics of academic science[M].Cheltenham: Edward Elgar Publishing, 2018.</w:t>
            </w:r>
          </w:p>
          <w:p w14:paraId="67310000">
            <w:pPr>
              <w:spacing w:line="380" w:lineRule="exact"/>
              <w:ind w:firstLine="480" w:firstLineChars="200"/>
              <w:rPr>
                <w:rFonts w:hint="eastAsia"/>
                <w:sz w:val="24"/>
              </w:rPr>
            </w:pPr>
            <w:r>
              <w:rPr>
                <w:rFonts w:hint="eastAsia"/>
                <w:sz w:val="24"/>
              </w:rPr>
              <w:t>[11] Altbach P G, Salmi J, Postiglione G A, et al. The road to academic excellence: The making of world-class research universities[M]. Washington, D.C.: World Bank, 2011.</w:t>
            </w:r>
          </w:p>
          <w:p w14:paraId="2AF9D40D">
            <w:pPr>
              <w:spacing w:line="380" w:lineRule="exact"/>
              <w:ind w:firstLine="480" w:firstLineChars="200"/>
              <w:rPr>
                <w:rFonts w:hint="eastAsia"/>
                <w:sz w:val="24"/>
              </w:rPr>
            </w:pPr>
            <w:r>
              <w:rPr>
                <w:rFonts w:hint="eastAsia"/>
                <w:sz w:val="24"/>
              </w:rPr>
              <w:t>[12] Webb F. The new flagship university: Changing the paradigm from global ranking to national relevancy[M]. New York: Palgrave Macmillan, 2016.</w:t>
            </w:r>
          </w:p>
          <w:p w14:paraId="5F4160F8">
            <w:pPr>
              <w:spacing w:line="380" w:lineRule="exact"/>
              <w:ind w:firstLine="480" w:firstLineChars="200"/>
              <w:rPr>
                <w:rFonts w:hint="eastAsia"/>
                <w:sz w:val="24"/>
              </w:rPr>
            </w:pPr>
            <w:r>
              <w:rPr>
                <w:rFonts w:hint="eastAsia"/>
                <w:sz w:val="24"/>
              </w:rPr>
              <w:t>[13] Hazelkorn E. Rankings and the reshaping of higher education: The battle for world-class excellence[M]. Berlin: Springer, 2015.</w:t>
            </w:r>
          </w:p>
          <w:p w14:paraId="22794060">
            <w:pPr>
              <w:spacing w:line="380" w:lineRule="exact"/>
              <w:ind w:firstLine="480" w:firstLineChars="200"/>
              <w:rPr>
                <w:rFonts w:hint="eastAsia"/>
                <w:sz w:val="24"/>
              </w:rPr>
            </w:pPr>
            <w:r>
              <w:rPr>
                <w:rFonts w:hint="eastAsia"/>
                <w:sz w:val="24"/>
              </w:rPr>
              <w:t>[14] Parreira do Amaral M. Imagining and transforming higher education. Knowledge Production in the New Geopolitics of Knowledge[M]. Cham: Springer International Publishing, 2022.</w:t>
            </w:r>
          </w:p>
          <w:p w14:paraId="5099E78D">
            <w:pPr>
              <w:spacing w:line="380" w:lineRule="exact"/>
              <w:ind w:firstLine="480" w:firstLineChars="200"/>
              <w:rPr>
                <w:rFonts w:hint="eastAsia"/>
                <w:sz w:val="24"/>
              </w:rPr>
            </w:pPr>
            <w:r>
              <w:rPr>
                <w:rFonts w:hint="eastAsia"/>
                <w:sz w:val="24"/>
              </w:rPr>
              <w:t>[15] Altbach P G, Knight J. The internationalization of higher education: motivations and realities[J]. Journal of Studies in International Education, 2007, 11(3/4).</w:t>
            </w:r>
          </w:p>
          <w:p w14:paraId="3F86162F">
            <w:pPr>
              <w:spacing w:line="380" w:lineRule="exact"/>
              <w:ind w:firstLine="480" w:firstLineChars="200"/>
              <w:rPr>
                <w:rFonts w:hint="eastAsia"/>
                <w:sz w:val="24"/>
              </w:rPr>
            </w:pPr>
            <w:r>
              <w:rPr>
                <w:rFonts w:hint="eastAsia"/>
                <w:sz w:val="24"/>
              </w:rPr>
              <w:t>[16] De Wit H, Altbach P G. Internationalization in higher education: Global trends and recommendations for its future[J]. Policy reviews in higher education, 2021,5(1).</w:t>
            </w:r>
          </w:p>
          <w:p w14:paraId="47E5D8D6">
            <w:pPr>
              <w:spacing w:line="380" w:lineRule="exact"/>
              <w:ind w:firstLine="480" w:firstLineChars="200"/>
              <w:rPr>
                <w:rFonts w:hint="eastAsia"/>
                <w:sz w:val="24"/>
              </w:rPr>
            </w:pPr>
            <w:r>
              <w:rPr>
                <w:rFonts w:hint="eastAsia"/>
                <w:sz w:val="24"/>
              </w:rPr>
              <w:t>[17] Moscovitz H, Sabzalieva E. Conceptualising the new geopolitics of higher education[J]. Globalisation, Societies and Education, 2023, 21(4).</w:t>
            </w:r>
          </w:p>
          <w:p w14:paraId="0CF24B83">
            <w:pPr>
              <w:spacing w:line="380" w:lineRule="exact"/>
              <w:ind w:firstLine="480" w:firstLineChars="200"/>
              <w:rPr>
                <w:rFonts w:hint="eastAsia"/>
                <w:sz w:val="24"/>
              </w:rPr>
            </w:pPr>
            <w:r>
              <w:rPr>
                <w:rFonts w:hint="eastAsia"/>
                <w:sz w:val="24"/>
              </w:rPr>
              <w:t>[18] Marginson S. Space, power, and globalization: On the geopolitics of higher education[J]. ECNU Review of Education, 2026, 9(1).</w:t>
            </w:r>
          </w:p>
          <w:p w14:paraId="31052044">
            <w:pPr>
              <w:spacing w:line="380" w:lineRule="exact"/>
              <w:ind w:firstLine="480" w:firstLineChars="200"/>
              <w:rPr>
                <w:rFonts w:hint="eastAsia"/>
                <w:sz w:val="24"/>
              </w:rPr>
            </w:pPr>
            <w:r>
              <w:rPr>
                <w:rFonts w:hint="eastAsia"/>
                <w:sz w:val="24"/>
              </w:rPr>
              <w:t>[19] Peters M A. Higher education, globalisation and the knowledge economy: Reclaiming the cultural mission[J]. Ubiquity, 2007, 5(2).</w:t>
            </w:r>
          </w:p>
          <w:p w14:paraId="3E6BF51C">
            <w:pPr>
              <w:spacing w:line="400" w:lineRule="exact"/>
              <w:ind w:firstLine="381" w:firstLineChars="159"/>
              <w:rPr>
                <w:rFonts w:hint="eastAsia"/>
                <w:sz w:val="24"/>
              </w:rPr>
            </w:pPr>
            <w:r>
              <w:rPr>
                <w:rFonts w:hint="eastAsia"/>
                <w:sz w:val="24"/>
              </w:rPr>
              <w:t>[20] Mohrman K, Ma W, Baker D. The research university in transition: The emerging global model[J]. Higher education policy, 2008, 21(1).</w:t>
            </w:r>
          </w:p>
        </w:tc>
      </w:tr>
    </w:tbl>
    <w:p w14:paraId="17A26F14">
      <w:pPr>
        <w:keepNext w:val="0"/>
        <w:keepLines w:val="0"/>
        <w:pageBreakBefore w:val="0"/>
        <w:widowControl w:val="0"/>
        <w:tabs>
          <w:tab w:val="left" w:pos="-540"/>
        </w:tabs>
        <w:kinsoku/>
        <w:wordWrap/>
        <w:overflowPunct/>
        <w:topLinePunct w:val="0"/>
        <w:autoSpaceDE/>
        <w:autoSpaceDN/>
        <w:bidi w:val="0"/>
        <w:adjustRightInd/>
        <w:snapToGrid/>
        <w:spacing w:line="240" w:lineRule="exact"/>
        <w:ind w:left="-720" w:leftChars="-343" w:right="-359" w:rightChars="-171" w:firstLine="180" w:firstLineChars="100"/>
        <w:textAlignment w:val="auto"/>
        <w:rPr>
          <w:rFonts w:hint="eastAsia" w:ascii="楷体_GB2312" w:eastAsia="楷体_GB2312"/>
          <w:sz w:val="18"/>
          <w:szCs w:val="18"/>
        </w:rPr>
      </w:pPr>
      <w:r>
        <w:rPr>
          <w:rFonts w:hint="eastAsia" w:ascii="楷体_GB2312" w:eastAsia="楷体_GB2312"/>
          <w:sz w:val="18"/>
          <w:szCs w:val="18"/>
        </w:rPr>
        <w:t>说明： 1.活页文字表述中不得直接或间接透露个人信息或相关背景资料，否则取消参评资格。</w:t>
      </w:r>
    </w:p>
    <w:p w14:paraId="42D77D8E">
      <w:pPr>
        <w:keepNext w:val="0"/>
        <w:keepLines w:val="0"/>
        <w:pageBreakBefore w:val="0"/>
        <w:widowControl w:val="0"/>
        <w:tabs>
          <w:tab w:val="left" w:pos="-540"/>
        </w:tabs>
        <w:kinsoku/>
        <w:wordWrap/>
        <w:overflowPunct/>
        <w:topLinePunct w:val="0"/>
        <w:autoSpaceDE/>
        <w:autoSpaceDN/>
        <w:bidi w:val="0"/>
        <w:adjustRightInd/>
        <w:snapToGrid/>
        <w:spacing w:line="240" w:lineRule="exact"/>
        <w:ind w:right="-359" w:rightChars="-171" w:firstLine="180" w:firstLineChars="100"/>
        <w:textAlignment w:val="auto"/>
        <w:rPr>
          <w:rFonts w:hint="eastAsia" w:ascii="楷体_GB2312" w:eastAsia="楷体_GB2312"/>
          <w:sz w:val="18"/>
          <w:szCs w:val="18"/>
        </w:rPr>
      </w:pPr>
      <w:r>
        <w:rPr>
          <w:rFonts w:hint="eastAsia" w:ascii="楷体_GB2312" w:eastAsia="楷体_GB2312"/>
          <w:sz w:val="18"/>
          <w:szCs w:val="18"/>
        </w:rPr>
        <w:t>2.项目名称要与《申请书》一致，一般不加副标题。</w:t>
      </w:r>
      <w:r>
        <w:rPr>
          <w:rFonts w:hint="eastAsia" w:ascii="楷体_GB2312" w:eastAsia="楷体_GB2312"/>
          <w:b/>
          <w:bCs/>
          <w:sz w:val="18"/>
          <w:szCs w:val="18"/>
        </w:rPr>
        <w:t>申请人的前期成果不列入参考文献</w:t>
      </w:r>
      <w:r>
        <w:rPr>
          <w:rFonts w:hint="eastAsia" w:ascii="楷体_GB2312" w:eastAsia="楷体_GB2312"/>
          <w:sz w:val="18"/>
          <w:szCs w:val="18"/>
        </w:rPr>
        <w:t>。</w:t>
      </w:r>
    </w:p>
    <w:p w14:paraId="2CC0962B">
      <w:pPr>
        <w:keepNext w:val="0"/>
        <w:keepLines w:val="0"/>
        <w:pageBreakBefore w:val="0"/>
        <w:widowControl w:val="0"/>
        <w:tabs>
          <w:tab w:val="left" w:pos="-540"/>
        </w:tabs>
        <w:kinsoku/>
        <w:wordWrap/>
        <w:overflowPunct/>
        <w:topLinePunct w:val="0"/>
        <w:autoSpaceDE/>
        <w:autoSpaceDN/>
        <w:bidi w:val="0"/>
        <w:adjustRightInd/>
        <w:snapToGrid/>
        <w:spacing w:line="240" w:lineRule="exact"/>
        <w:ind w:right="-359" w:rightChars="-171"/>
        <w:textAlignment w:val="auto"/>
        <w:rPr>
          <w:rFonts w:ascii="楷体_GB2312" w:eastAsia="楷体_GB2312"/>
          <w:sz w:val="18"/>
          <w:szCs w:val="18"/>
        </w:rPr>
      </w:pPr>
      <w:r>
        <w:rPr>
          <w:rFonts w:hint="eastAsia" w:ascii="楷体_GB2312" w:eastAsia="楷体_GB2312"/>
          <w:sz w:val="18"/>
          <w:szCs w:val="18"/>
        </w:rPr>
        <w:t xml:space="preserve">  3.研究基础</w:t>
      </w:r>
      <w:r>
        <w:rPr>
          <w:rFonts w:hint="eastAsia" w:ascii="楷体_GB2312" w:eastAsia="楷体_GB2312"/>
          <w:b/>
          <w:sz w:val="18"/>
          <w:szCs w:val="18"/>
        </w:rPr>
        <w:t>不得出现成果名称或项目名称、作者或负责人姓名、单位、刊物或出版社名称、发表时间或刊期</w:t>
      </w:r>
      <w:r>
        <w:rPr>
          <w:rFonts w:hint="eastAsia" w:ascii="楷体_GB2312" w:eastAsia="楷体_GB2312"/>
          <w:sz w:val="18"/>
          <w:szCs w:val="18"/>
        </w:rPr>
        <w:t>等。</w:t>
      </w:r>
    </w:p>
    <w:p w14:paraId="7F1565E5">
      <w:pPr>
        <w:keepNext w:val="0"/>
        <w:keepLines w:val="0"/>
        <w:pageBreakBefore w:val="0"/>
        <w:widowControl w:val="0"/>
        <w:tabs>
          <w:tab w:val="left" w:pos="-540"/>
        </w:tabs>
        <w:kinsoku/>
        <w:wordWrap/>
        <w:overflowPunct/>
        <w:topLinePunct w:val="0"/>
        <w:autoSpaceDE/>
        <w:autoSpaceDN/>
        <w:bidi w:val="0"/>
        <w:adjustRightInd/>
        <w:snapToGrid/>
        <w:spacing w:line="240" w:lineRule="exact"/>
        <w:ind w:right="-359" w:rightChars="-171" w:firstLine="180" w:firstLineChars="100"/>
        <w:textAlignment w:val="auto"/>
        <w:rPr>
          <w:rFonts w:hint="eastAsia" w:ascii="楷体_GB2312" w:eastAsia="楷体_GB2312"/>
          <w:sz w:val="18"/>
          <w:szCs w:val="18"/>
        </w:rPr>
      </w:pPr>
      <w:r>
        <w:rPr>
          <w:rFonts w:hint="eastAsia" w:ascii="楷体_GB2312" w:eastAsia="楷体_GB2312"/>
          <w:sz w:val="18"/>
          <w:szCs w:val="18"/>
        </w:rPr>
        <w:t>4.本表用A4版面排版，一般为8个页面。正文请用合适字号行距排版，各级标题可用黑体字。可加页。</w:t>
      </w:r>
    </w:p>
    <w:sectPr>
      <w:headerReference r:id="rId5" w:type="first"/>
      <w:headerReference r:id="rId3" w:type="default"/>
      <w:footerReference r:id="rId6" w:type="default"/>
      <w:headerReference r:id="rId4" w:type="even"/>
      <w:footerReference r:id="rId7" w:type="even"/>
      <w:pgSz w:w="11906" w:h="16838"/>
      <w:pgMar w:top="1134" w:right="1418" w:bottom="1134" w:left="1418" w:header="851" w:footer="567"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EE447FCC-7E81-4B06-BA8F-D2106F734363}"/>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华文中宋">
    <w:altName w:val="宋体"/>
    <w:panose1 w:val="02010600040101010101"/>
    <w:charset w:val="86"/>
    <w:family w:val="auto"/>
    <w:pitch w:val="default"/>
    <w:sig w:usb0="00000000" w:usb1="00000000" w:usb2="00000010" w:usb3="00000000" w:csb0="0004009F" w:csb1="00000000"/>
    <w:embedRegular r:id="rId2" w:fontKey="{35380C24-04B4-4DFD-A474-E4A48D225F4E}"/>
  </w:font>
  <w:font w:name="楷体">
    <w:panose1 w:val="02010609060101010101"/>
    <w:charset w:val="86"/>
    <w:family w:val="auto"/>
    <w:pitch w:val="default"/>
    <w:sig w:usb0="800002BF" w:usb1="38CF7CFA" w:usb2="00000016" w:usb3="00000000" w:csb0="00040001" w:csb1="00000000"/>
    <w:embedRegular r:id="rId3" w:fontKey="{07D21111-2AB4-4B69-A589-FA7A6FF9FEF5}"/>
  </w:font>
  <w:font w:name="方正仿宋_GB2312">
    <w:panose1 w:val="02000000000000000000"/>
    <w:charset w:val="86"/>
    <w:family w:val="auto"/>
    <w:pitch w:val="default"/>
    <w:sig w:usb0="A00002BF" w:usb1="184F6CFA" w:usb2="00000012" w:usb3="00000000" w:csb0="00040001" w:csb1="00000000"/>
    <w:embedRegular r:id="rId4" w:fontKey="{C88568E4-9034-40C3-9413-8E09E344DB25}"/>
  </w:font>
  <w:font w:name="楷体_GB2312">
    <w:altName w:val="楷体"/>
    <w:panose1 w:val="02010609030101010101"/>
    <w:charset w:val="86"/>
    <w:family w:val="modern"/>
    <w:pitch w:val="default"/>
    <w:sig w:usb0="00000000" w:usb1="00000000" w:usb2="00000000" w:usb3="00000000" w:csb0="00040000" w:csb1="00000000"/>
    <w:embedRegular r:id="rId5" w:fontKey="{79FACC61-044D-4FD3-BB3D-915E3A23336E}"/>
  </w:font>
  <w:font w:name="KSOFF9CBECC6">
    <w:panose1 w:val="02010609060101010101"/>
    <w:charset w:val="86"/>
    <w:family w:val="auto"/>
    <w:pitch w:val="default"/>
    <w:sig w:usb0="00000001" w:usb1="00000000" w:usb2="00000000"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CA958E">
    <w:pPr>
      <w:pStyle w:val="3"/>
      <w:framePr w:wrap="around" w:vAnchor="text" w:hAnchor="margin" w:xAlign="center" w:y="1"/>
      <w:rPr>
        <w:rStyle w:val="8"/>
      </w:rPr>
    </w:pPr>
    <w:r>
      <w:rPr>
        <w:rStyle w:val="8"/>
      </w:rPr>
      <w:fldChar w:fldCharType="begin"/>
    </w:r>
    <w:r>
      <w:rPr>
        <w:rStyle w:val="8"/>
      </w:rPr>
      <w:instrText xml:space="preserve">PAGE  </w:instrText>
    </w:r>
    <w:r>
      <w:rPr>
        <w:rStyle w:val="8"/>
      </w:rPr>
      <w:fldChar w:fldCharType="separate"/>
    </w:r>
    <w:r>
      <w:rPr>
        <w:rStyle w:val="8"/>
      </w:rPr>
      <w:t>2</w:t>
    </w:r>
    <w:r>
      <w:rPr>
        <w:rStyle w:val="8"/>
      </w:rPr>
      <w:fldChar w:fldCharType="end"/>
    </w:r>
  </w:p>
  <w:p w14:paraId="7D98DDDA">
    <w:pPr>
      <w:pStyle w:val="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4DCC3B">
    <w:pPr>
      <w:pStyle w:val="3"/>
      <w:framePr w:wrap="around" w:vAnchor="text" w:hAnchor="margin" w:xAlign="center" w:y="1"/>
      <w:rPr>
        <w:rStyle w:val="8"/>
      </w:rPr>
    </w:pPr>
    <w:r>
      <w:rPr>
        <w:rStyle w:val="8"/>
      </w:rPr>
      <w:fldChar w:fldCharType="begin"/>
    </w:r>
    <w:r>
      <w:rPr>
        <w:rStyle w:val="8"/>
      </w:rPr>
      <w:instrText xml:space="preserve">PAGE  </w:instrText>
    </w:r>
    <w:r>
      <w:rPr>
        <w:rStyle w:val="8"/>
      </w:rPr>
      <w:fldChar w:fldCharType="separate"/>
    </w:r>
    <w:r>
      <w:rPr>
        <w:rStyle w:val="8"/>
      </w:rPr>
      <w:t xml:space="preserve"> </w:t>
    </w:r>
    <w:r>
      <w:rPr>
        <w:rStyle w:val="8"/>
      </w:rPr>
      <w:fldChar w:fldCharType="end"/>
    </w:r>
  </w:p>
  <w:p w14:paraId="0F36B173">
    <w:pPr>
      <w:pStyle w:val="3"/>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FF9BFD">
    <w:pPr>
      <w:pStyle w:val="4"/>
      <w:pBdr>
        <w:bottom w:val="none" w:color="auto" w:sz="0" w:space="0"/>
      </w:pBdr>
    </w:pPr>
    <w:r>
      <w:pict>
        <v:shape id="PowerPlusWaterMarkObject1070842423" o:spid="_x0000_s2050" o:spt="136" type="#_x0000_t136" style="position:absolute;left:0pt;height:39.95pt;width:599.4pt;mso-position-horizontal:center;mso-position-horizontal-relative:margin;mso-position-vertical:center;mso-position-vertical-relative:margin;rotation:20643840f;z-index:-251655168;mso-width-relative:page;mso-height-relative:page;" fillcolor="#C0C0C0" filled="t" stroked="f" coordsize="21600,21600" o:allowincell="f">
          <v:path/>
          <v:fill on="t" opacity="32768f" focussize="0,0"/>
          <v:stroke on="f"/>
          <v:imagedata o:title=""/>
          <o:lock v:ext="edit"/>
          <v:textpath on="t" fitshape="t" fitpath="t" trim="f" xscale="f" string="全国教育科学规划领导小组办公室" style="font-family:宋体;font-size:1pt;v-same-letter-heights:f;v-text-align:center;"/>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38F379">
    <w:pPr>
      <w:pStyle w:val="4"/>
    </w:pPr>
    <w:r>
      <w:pict>
        <v:shape id="PowerPlusWaterMarkObject1070842422" o:spid="_x0000_s2049" o:spt="136" type="#_x0000_t136" style="position:absolute;left:0pt;height:39.95pt;width:599.4pt;mso-position-horizontal:center;mso-position-horizontal-relative:margin;mso-position-vertical:center;mso-position-vertical-relative:margin;rotation:20643840f;z-index:-251656192;mso-width-relative:page;mso-height-relative:page;" fillcolor="#C0C0C0" filled="t" stroked="f" coordsize="21600,21600" o:allowincell="f">
          <v:path/>
          <v:fill on="t" opacity="32768f" focussize="0,0"/>
          <v:stroke on="f"/>
          <v:imagedata o:title=""/>
          <o:lock v:ext="edit"/>
          <v:textpath on="t" fitshape="t" fitpath="t" trim="f" xscale="f" string="全国教育科学规划领导小组办公室" style="font-family:宋体;font-size:1pt;v-same-letter-heights:f;v-text-align:center;"/>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E1AEFA">
    <w:pPr>
      <w:pStyle w:val="4"/>
    </w:pPr>
    <w:r>
      <w:pict>
        <v:shape id="PowerPlusWaterMarkObject1070842421" o:spid="_x0000_s2051" o:spt="136" type="#_x0000_t136" style="position:absolute;left:0pt;height:39.95pt;width:599.4pt;mso-position-horizontal:center;mso-position-horizontal-relative:margin;mso-position-vertical:center;mso-position-vertical-relative:margin;rotation:20643840f;z-index:-251657216;mso-width-relative:page;mso-height-relative:page;" fillcolor="#C0C0C0" filled="t" stroked="f" coordsize="21600,21600" o:allowincell="f">
          <v:path/>
          <v:fill on="t" opacity="32768f" focussize="0,0"/>
          <v:stroke on="f"/>
          <v:imagedata o:title=""/>
          <o:lock v:ext="edit"/>
          <v:textpath on="t" fitshape="t" fitpath="t" trim="f" xscale="f" string="全国教育科学规划领导小组办公室" style="font-family:宋体;font-size:1pt;v-same-letter-heights:f;v-text-align:center;"/>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802ED6"/>
    <w:multiLevelType w:val="singleLevel"/>
    <w:tmpl w:val="85802ED6"/>
    <w:lvl w:ilvl="0" w:tentative="0">
      <w:start w:val="1"/>
      <w:numFmt w:val="decimal"/>
      <w:suff w:val="space"/>
      <w:lvlText w:val="%1."/>
      <w:lvlJc w:val="left"/>
      <w:rPr>
        <w:rFonts w:hint="default"/>
        <w:b/>
        <w:bCs/>
      </w:rPr>
    </w:lvl>
  </w:abstractNum>
  <w:abstractNum w:abstractNumId="1">
    <w:nsid w:val="A50F1EC8"/>
    <w:multiLevelType w:val="singleLevel"/>
    <w:tmpl w:val="A50F1EC8"/>
    <w:lvl w:ilvl="0" w:tentative="0">
      <w:start w:val="1"/>
      <w:numFmt w:val="decimal"/>
      <w:suff w:val="space"/>
      <w:lvlText w:val="%1."/>
      <w:lvlJc w:val="left"/>
      <w:rPr>
        <w:rFonts w:hint="default"/>
        <w:b/>
        <w:bCs/>
      </w:rPr>
    </w:lvl>
  </w:abstractNum>
  <w:abstractNum w:abstractNumId="2">
    <w:nsid w:val="B862C69B"/>
    <w:multiLevelType w:val="singleLevel"/>
    <w:tmpl w:val="B862C69B"/>
    <w:lvl w:ilvl="0" w:tentative="0">
      <w:start w:val="1"/>
      <w:numFmt w:val="decimal"/>
      <w:suff w:val="nothing"/>
      <w:lvlText w:val="（%1）"/>
      <w:lvlJc w:val="left"/>
      <w:rPr>
        <w:rFonts w:hint="default" w:ascii="Times New Roman" w:hAnsi="Times New Roman" w:cs="Times New Roman"/>
        <w:b/>
        <w:bCs/>
      </w:rPr>
    </w:lvl>
  </w:abstractNum>
  <w:abstractNum w:abstractNumId="3">
    <w:nsid w:val="C59B3B83"/>
    <w:multiLevelType w:val="singleLevel"/>
    <w:tmpl w:val="C59B3B83"/>
    <w:lvl w:ilvl="0" w:tentative="0">
      <w:start w:val="2"/>
      <w:numFmt w:val="decimal"/>
      <w:suff w:val="space"/>
      <w:lvlText w:val="%1."/>
      <w:lvlJc w:val="left"/>
      <w:rPr>
        <w:rFonts w:hint="default"/>
        <w:b/>
        <w:bCs/>
      </w:rPr>
    </w:lvl>
  </w:abstractNum>
  <w:abstractNum w:abstractNumId="4">
    <w:nsid w:val="DEEBC981"/>
    <w:multiLevelType w:val="singleLevel"/>
    <w:tmpl w:val="DEEBC981"/>
    <w:lvl w:ilvl="0" w:tentative="0">
      <w:start w:val="1"/>
      <w:numFmt w:val="decimal"/>
      <w:suff w:val="nothing"/>
      <w:lvlText w:val="（%1）"/>
      <w:lvlJc w:val="left"/>
      <w:rPr>
        <w:rFonts w:hint="default" w:ascii="Times New Roman" w:hAnsi="Times New Roman" w:cs="Times New Roman"/>
        <w:b/>
        <w:bCs/>
      </w:rPr>
    </w:lvl>
  </w:abstractNum>
  <w:abstractNum w:abstractNumId="5">
    <w:nsid w:val="649A1B88"/>
    <w:multiLevelType w:val="singleLevel"/>
    <w:tmpl w:val="649A1B88"/>
    <w:lvl w:ilvl="0" w:tentative="0">
      <w:start w:val="1"/>
      <w:numFmt w:val="decimal"/>
      <w:suff w:val="space"/>
      <w:lvlText w:val="%1."/>
      <w:lvlJc w:val="left"/>
      <w:rPr>
        <w:rFonts w:hint="default" w:ascii="Times New Roman" w:hAnsi="Times New Roman" w:cs="Times New Roman"/>
        <w:b/>
        <w:bCs/>
      </w:rPr>
    </w:lvl>
  </w:abstractNum>
  <w:num w:numId="1">
    <w:abstractNumId w:val="3"/>
  </w:num>
  <w:num w:numId="2">
    <w:abstractNumId w:val="5"/>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saveSubsetFonts/>
  <w:bordersDoNotSurroundHeader w:val="1"/>
  <w:bordersDoNotSurroundFooter w:val="1"/>
  <w:hideGrammaticalErrors/>
  <w:doNotTrackMoves/>
  <w:documentProtection w:enforcement="0"/>
  <w:defaultTabStop w:val="420"/>
  <w:drawingGridVerticalSpacing w:val="156"/>
  <w:displayHorizontalDrawingGridEvery w:val="0"/>
  <w:displayVerticalDrawingGridEvery w:val="2"/>
  <w:characterSpacingControl w:val="compressPunctuation"/>
  <w:noLineBreaksAfter w:lang="zh-CN" w:val="([{·‘“〈《「『【〔〖（．［｛￡￥"/>
  <w:noLineBreaksBefore w:lang="zh-CN" w:val="!),.:;?]}¨·ˇˉ―‖’”…∶、。〃々〉》」』】〕〗！＂＇），．：；？］｀｜｝～￠"/>
  <w:hdrShapeDefaults>
    <o:shapelayout v:ext="edit">
      <o:idmap v:ext="edit" data="2"/>
    </o:shapelayout>
  </w:hdrShapeDefaults>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000000"/>
    <w:rsid w:val="05B34B9F"/>
    <w:rsid w:val="34E75943"/>
    <w:rsid w:val="368517CC"/>
    <w:rsid w:val="436C3C68"/>
    <w:rsid w:val="44794689"/>
    <w:rsid w:val="585A0900"/>
    <w:rsid w:val="75F8784B"/>
  </w:rsids>
  <m:mathPr>
    <m:mathFont m:val="Cambria Math"/>
    <m:brkBin m:val="before"/>
    <m:brkBinSub m:val="--"/>
    <m:smallFrac m:val="0"/>
    <m:dispDef/>
    <m:lMargin m:val="0"/>
    <m:rMargin m:val="0"/>
    <m:defJc m:val="centerGroup"/>
    <m:wrapRight m:val="1"/>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doNotEmbedSmartTag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黑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2">
    <w:name w:val="Balloon Text"/>
    <w:basedOn w:val="1"/>
    <w:semiHidden/>
    <w:qFormat/>
    <w:uiPriority w:val="0"/>
    <w:rPr>
      <w:sz w:val="18"/>
      <w:szCs w:val="18"/>
    </w:rPr>
  </w:style>
  <w:style w:type="paragraph" w:styleId="3">
    <w:name w:val="footer"/>
    <w:basedOn w:val="1"/>
    <w:qFormat/>
    <w:uiPriority w:val="0"/>
    <w:pPr>
      <w:tabs>
        <w:tab w:val="center" w:pos="4153"/>
        <w:tab w:val="right" w:pos="8306"/>
      </w:tabs>
      <w:snapToGrid w:val="0"/>
      <w:jc w:val="left"/>
    </w:pPr>
    <w:rPr>
      <w:sz w:val="18"/>
      <w:szCs w:val="18"/>
    </w:rPr>
  </w:style>
  <w:style w:type="paragraph" w:styleId="4">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5">
    <w:name w:val="footnote text"/>
    <w:basedOn w:val="1"/>
    <w:qFormat/>
    <w:uiPriority w:val="0"/>
    <w:pPr>
      <w:snapToGrid w:val="0"/>
      <w:jc w:val="left"/>
    </w:pPr>
    <w:rPr>
      <w:sz w:val="18"/>
      <w:szCs w:val="18"/>
    </w:rPr>
  </w:style>
  <w:style w:type="character" w:styleId="8">
    <w:name w:val="page number"/>
    <w:basedOn w:val="7"/>
    <w:qFormat/>
    <w:uiPriority w:val="0"/>
  </w:style>
  <w:style w:type="character" w:styleId="9">
    <w:name w:val="footnote reference"/>
    <w:qFormat/>
    <w:uiPriority w:val="0"/>
    <w:rPr>
      <w:vertAlign w:val="superscript"/>
    </w:rPr>
  </w:style>
  <w:style w:type="character" w:customStyle="1" w:styleId="10">
    <w:name w:val="Subtle Emphasis"/>
    <w:qFormat/>
    <w:uiPriority w:val="19"/>
    <w:rPr>
      <w:i/>
      <w:iCs/>
      <w:color w:val="808080"/>
    </w:rPr>
  </w:style>
</w:styles>
</file>

<file path=word/_rels/document.xml.rels><?xml version="1.0" encoding="UTF-8"?><Relationships xmlns="http://schemas.openxmlformats.org/package/2006/relationships"><Relationship Id="rId9" Type="http://schemas.openxmlformats.org/officeDocument/2006/relationships/image" Target="media/image1.jpe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2.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2.png"/><Relationship Id="rId1" Type="http://schemas.openxmlformats.org/officeDocument/2006/relationships/styles" Target="styles.xml"/></Relationships>
</file>

<file path=word/_rels/fontTable.xml.rels><?xml version="1.0" encoding="UTF-8"?><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2050"/>
    <customShpInfo spid="_x0000_s2049"/>
    <customShpInfo spid="_x0000_s2051"/>
    <customShpInfo spid="_x0000_s1026"/>
    <customShpInfo spid="_x0000_s1027"/>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618354-28FD-44F2-930D-779C9B4636D4}">
  <ds:schemaRefs/>
</ds:datastoreItem>
</file>

<file path=docProps/app.xml><?xml version="1.0" encoding="utf-8"?>
<Properties xmlns="http://schemas.openxmlformats.org/officeDocument/2006/extended-properties" xmlns:vt="http://schemas.openxmlformats.org/officeDocument/2006/docPropsVTypes">
  <Template>Normal.dotm</Template>
  <Company>ghb</Company>
  <Pages>8</Pages>
  <Words>8482</Words>
  <Characters>10307</Characters>
  <Lines>4</Lines>
  <Paragraphs>1</Paragraphs>
  <TotalTime>3</TotalTime>
  <ScaleCrop>false</ScaleCrop>
  <LinksUpToDate>false</LinksUpToDate>
  <CharactersWithSpaces>10665</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2014-07-28T02:32:00Z</dcterms:created>
  <dc:creator>ghb</dc:creator>
  <cp:lastModifiedBy>陈晓菲</cp:lastModifiedBy>
  <cp:lastPrinted>2019-01-08T06:16:00Z</cp:lastPrinted>
  <dcterms:modified xsi:type="dcterms:W3CDTF">2026-06-19T04:07:39Z</dcterms:modified>
  <dc:title>二、课题设计论证</dc:title>
  <cp:revision>130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eyJoZGlkIjoiNjM0MDNhMWE5NzBlNGE1YmVmNmJiMjliNjg1NDZkNzYiLCJ1c2VySWQiOiIxNjg2OTk2MDgxIn0=</vt:lpwstr>
  </property>
  <property fmtid="{D5CDD505-2E9C-101B-9397-08002B2CF9AE}" pid="3" name="KSOProductBuildVer">
    <vt:lpwstr>2052-12.1.0.26895</vt:lpwstr>
  </property>
  <property fmtid="{D5CDD505-2E9C-101B-9397-08002B2CF9AE}" pid="4" name="ICV">
    <vt:lpwstr>64641A9D1D2B4C94AB716CBFAFC9B5A8_12</vt:lpwstr>
  </property>
</Properties>
</file>