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64F9E" w14:textId="77777777" w:rsidR="000B1CCE" w:rsidRPr="003A23DB" w:rsidRDefault="00000000">
      <w:pPr>
        <w:spacing w:before="120" w:after="120" w:line="360" w:lineRule="auto"/>
        <w:jc w:val="center"/>
        <w:rPr>
          <w:b/>
          <w:bCs/>
          <w:sz w:val="28"/>
          <w:szCs w:val="36"/>
        </w:rPr>
      </w:pP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可见的学习</w:t>
      </w: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视域下中学生高阶能力培育的学校探索</w:t>
      </w:r>
    </w:p>
    <w:p w14:paraId="12293E36"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534460FA" w14:textId="77777777" w:rsidR="000B1CCE" w:rsidRDefault="00000000" w:rsidP="006E72A5">
      <w:pPr>
        <w:adjustRightInd w:val="0"/>
        <w:snapToGrid w:val="0"/>
        <w:spacing w:line="360" w:lineRule="auto"/>
        <w:ind w:firstLineChars="200" w:firstLine="48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01493BFA"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718EA189" w14:textId="77777777" w:rsidR="000B1CCE" w:rsidRDefault="000B1CCE">
      <w:pPr>
        <w:rPr>
          <w:sz w:val="24"/>
          <w:szCs w:val="32"/>
        </w:rPr>
      </w:pPr>
    </w:p>
    <w:p w14:paraId="07D7FC0F" w14:textId="77777777" w:rsidR="000B1CCE" w:rsidRDefault="000B1CCE">
      <w:pPr>
        <w:rPr>
          <w:sz w:val="24"/>
          <w:szCs w:val="32"/>
        </w:rPr>
      </w:pPr>
    </w:p>
    <w:p w14:paraId="03ED9110" w14:textId="77777777" w:rsidR="000B1CCE" w:rsidRDefault="000B1CCE">
      <w:pPr>
        <w:rPr>
          <w:sz w:val="24"/>
          <w:szCs w:val="32"/>
        </w:rPr>
      </w:pPr>
    </w:p>
    <w:p w14:paraId="4BE2BC79" w14:textId="77777777" w:rsidR="000B1CCE" w:rsidRDefault="000B1CCE">
      <w:pPr>
        <w:rPr>
          <w:sz w:val="24"/>
          <w:szCs w:val="32"/>
        </w:rPr>
      </w:pPr>
    </w:p>
    <w:p w14:paraId="5465477F" w14:textId="77777777" w:rsidR="000B1CCE" w:rsidRDefault="000B1CCE">
      <w:pPr>
        <w:rPr>
          <w:sz w:val="24"/>
          <w:szCs w:val="32"/>
        </w:rPr>
      </w:pPr>
    </w:p>
    <w:p w14:paraId="4C74AF4C" w14:textId="77777777" w:rsidR="000B1CCE" w:rsidRDefault="000B1CCE">
      <w:pPr>
        <w:rPr>
          <w:sz w:val="24"/>
          <w:szCs w:val="32"/>
        </w:rPr>
      </w:pPr>
    </w:p>
    <w:p w14:paraId="3375E07C" w14:textId="77777777" w:rsidR="000B1CCE" w:rsidRDefault="000B1CCE">
      <w:pPr>
        <w:rPr>
          <w:sz w:val="24"/>
          <w:szCs w:val="32"/>
        </w:rPr>
      </w:pPr>
    </w:p>
    <w:p w14:paraId="4C31C1C6" w14:textId="77777777" w:rsidR="000B1CCE" w:rsidRDefault="000B1CCE">
      <w:pPr>
        <w:rPr>
          <w:sz w:val="24"/>
          <w:szCs w:val="32"/>
        </w:rPr>
      </w:pPr>
    </w:p>
    <w:p w14:paraId="2BE3A2C5" w14:textId="77777777" w:rsidR="000B1CCE" w:rsidRDefault="000B1CCE">
      <w:pPr>
        <w:rPr>
          <w:sz w:val="24"/>
          <w:szCs w:val="32"/>
        </w:rPr>
      </w:pPr>
    </w:p>
    <w:p w14:paraId="56E8313D" w14:textId="77777777" w:rsidR="000B1CCE" w:rsidRDefault="000B1CCE">
      <w:pPr>
        <w:rPr>
          <w:sz w:val="24"/>
          <w:szCs w:val="32"/>
        </w:rPr>
      </w:pPr>
    </w:p>
    <w:p w14:paraId="24B5CA8D" w14:textId="77777777" w:rsidR="000B1CCE" w:rsidRDefault="000B1CCE">
      <w:pPr>
        <w:rPr>
          <w:sz w:val="24"/>
          <w:szCs w:val="32"/>
        </w:rPr>
      </w:pPr>
    </w:p>
    <w:p w14:paraId="6D285172" w14:textId="77777777" w:rsidR="000B1CCE" w:rsidRDefault="000B1CCE">
      <w:pPr>
        <w:rPr>
          <w:sz w:val="24"/>
          <w:szCs w:val="32"/>
        </w:rPr>
      </w:pPr>
    </w:p>
    <w:p w14:paraId="3EC97488"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51885175"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5A9DD5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109DBC7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0E53AA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3AC47E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F26B97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2BA4B9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w:t>
      </w:r>
      <w:r>
        <w:rPr>
          <w:rFonts w:ascii="Times New Roman" w:eastAsia="宋体" w:hAnsi="Times New Roman" w:cs="Times New Roman"/>
          <w:color w:val="000000"/>
          <w:kern w:val="0"/>
          <w:sz w:val="24"/>
        </w:rPr>
        <w:lastRenderedPageBreak/>
        <w:t>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6960FC1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48B3E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95107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748ADC7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0E38C7E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w:t>
      </w:r>
      <w:r>
        <w:rPr>
          <w:rFonts w:ascii="Times New Roman" w:eastAsia="宋体" w:hAnsi="Times New Roman" w:cs="Times New Roman"/>
          <w:color w:val="000000"/>
          <w:kern w:val="0"/>
          <w:sz w:val="24"/>
        </w:rPr>
        <w:lastRenderedPageBreak/>
        <w:t>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3358C5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6FAED27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20CE161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1D328D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3764BDF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w:t>
      </w:r>
      <w:r>
        <w:rPr>
          <w:rFonts w:ascii="Times New Roman" w:eastAsia="宋体" w:hAnsi="Times New Roman" w:cs="Times New Roman"/>
          <w:color w:val="000000"/>
          <w:kern w:val="0"/>
          <w:sz w:val="24"/>
        </w:rPr>
        <w:lastRenderedPageBreak/>
        <w:t>估学生在学习过程中已经发生的变化，也难以判断教学究竟在哪个环节起了作用。</w:t>
      </w:r>
    </w:p>
    <w:p w14:paraId="2ED856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C6E744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746ECA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594D89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0E9F718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5D2EC9C"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57CBE8B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44ABE90F"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1218B4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8DEBED9"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744C78C0"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34C1497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762D6E9E"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47F989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4B152A0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05F983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5029C6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6DAE8AE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5C13C66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7DAFAC2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576BE6E6"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6185EF2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6A339C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58FC613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652A4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2291FE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55E2D3D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9E6898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C37858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190AF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55851C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6EAFCD8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696D809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28EA65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4353912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7F551C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194EF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0681CD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3CA9B79A"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55F570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43F82A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228BE3E2"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6BB2256C"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2C5295A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7743CD0E"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7F1E846C"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50CB2A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1D298548"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1）基本主张与证据基础</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69C9B2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较早从教学论角度解读这一理论。彭正梅（2015）认为，可见的学习具有普通教学论的性质，其价值在于把教师、学生、内容和环境组织为相互联系的整体，因素排名并不能直接决定家庭作业、混龄编班等具体制度的取舍，教师如何组合教学条件并把握教学时机同样重要。施芳婷（2025）沿用教学三角的解释框架，把教学置于学生、教师和课程之间，将家庭、学校和班级视为外部条件，并强调教师应着力改善那些能够被教学改变的学习条件。伍绍杨等（2023）比较了Hattie的元分析证据与OECD的PISA-TALIS调查，发现两类研究的方法和变量虽然不同，但都凸显了教师可信度、教学热忱、反馈能力和支持性课堂环境的作用，据此主张重新重视教师与教学；他们同时提醒，元分析依赖原始研究的数量与质量，PISA-TALIS受到横截面设计和自我报告的限制，相关结果不能直接解释为确定的因果机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该理论自身也在不断发展。彭正梅和伍绍杨（2025）梳理了相关著作由元分析综合到教师版、学习科学、影响循环和学校改进的扩展过程，指出可见的学习2.0在更新数据的同时，进一步反思了机械使用因素排名的做法，更加重视实施方式、教师判断、公平包容和信任关系，形成了更为均衡的教育视角。这一变化意味着，理解可见的学习需要从关注哪些因素的效应量更高，转向关注教师如何在具体情境中依据证据改进教学。</w:t>
      </w:r>
    </w:p>
    <w:p w14:paraId="79BF6C4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2）学习科学基础与学业进阶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对教学的解释建立在学习科学的基础之上。张诗琪（2025）介绍了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同时提醒警惕学习风格匹配、一心多用以及技术能够自动提升学习等流行观念。伍绍杨和彭正梅（2025）进一步指出，学习科学内部同时存在强调情境与知识建构、强调神经与认知机制两种话语，神经机制需要经过不同层次证据的转化才能进入课堂。他们综合元分析、心理学和神经科学的材料，提炼出神经可塑性、双系统模型、认知负荷、社会脑、动机调控系统和神经普适性六个共通主题，主张以跨层次证据支持教师的专业判断，并警惕学习风格、左右脑等概念被简化和商业包装。</w:t>
      </w:r>
    </w:p>
    <w:p w14:paraId="3FA94F9C"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5D5FE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3）反馈与学生自评</w:t>
      </w:r>
    </w:p>
    <w:p w14:paraId="42CE9BC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在引介反馈模型的基础上作了扩展和本土诊断。伍绍杨和彭正梅（2021）回顾了行为主义、认知主义和建构主义的反馈观，指出学习者的先前知识、信念、情绪以及师生信任影响反馈能否被接受，课堂实施还需要统筹反馈的时机、互动结构和媒介，师生双方的反馈素养都需要发展；他们同时提出，不同研究对反馈的界定和功能划分并不一致，会影响元分析结果的可比性，创造性任务的质量标准具有开放性，也难以完全分解为标准化程序，因而需要通过协商与对话理解成功标准。李茂森和祝蕾蕾（2022）发现，中小学课堂反馈存在方式僵化、内容窄化、环节固化和效能弱化等困境，表现为频繁判断对错、依赖个人表扬、同伴参与不足以及忽视学生对反馈的运用，并据此构建了包含情境、干预、机制和结果四个要素的课堂反馈模型。温英贝和伍绍杨（2025）则把分析重点放在反馈的接受与行动上，主张通过信任关系、欢迎错误的课堂文化以及围绕优秀作品和成功标准的共同讨论，把反馈组织为师生之间的双向对话，使评语真正进入学生的修订行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的最终指向是学生能够评价和调整自己的学习。陈丽莎等（2023）提出，学生自评能力的培养包括两种转化，一是通过诊断、干预、实施和评估，使教师的自评能力逐步转化为学生的自评能力，二是使教师的心智框架逐步转化为学生的心智框架，学习责任由此从教师转交给学生；他们还认为，缺乏目标认识与自我监控的学生难以有效管理自主学习，自评能力因而是开展个性化教学的重要前提。高嘉诚和梁锦芳（2025）基于杭州闻涛中学的实践提出，成功标准可以通过师生讨论共同制订和优化，生长式评价量表能够成为学生的学习支架，教师的元认知示范与领导者组织的协作式专业对话共同支持学生自评能力的发展。</w:t>
      </w:r>
    </w:p>
    <w:p w14:paraId="0B3B1C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4）教师心智框架与教学模式</w:t>
      </w:r>
    </w:p>
    <w:p w14:paraId="75CE9E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对教师心智框架的讨论更多结合中国教育传统展开。Hattie和Zierer后来将教师思维框架扩展为十个心智框架，彭正梅等（2022）将其与《学记》中的教师信条比较，认为二者在教师专业责任、合作、教学时机和学生自主发展方面具有共识，但前者更突出学习证据与评价反馈，后者更重视社会责任以及学生离开教师后的独立性，并将根据学生准备程度、任务难度和情境变化选择恰当支持的教育机敏视为卓越教师的核心。林心悦（2025）进一步由心智框架推导教师的专业品质，认为批判性思维使教师能够检验自身方法、理解他者视角并调整决策，教学热忱经过长期反思与实践，会转化为捕捉学生状态、把握教学时机的教育直觉。</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过程层面，Hattie及其合作者提出的DIIE模式把教学组织为诊断与发现、干预、实施和评估四个阶段。高妍等（2025）将这一模式阐释为教师可以共享的教学语言，诊断关注学生的先前知识、学习意愿与动力，干预针对当前水平与目标之间的差距选择策略，实施强调明确目标、适当任务和差异化支持，评估依据成功标准收集证据并决定后续方向；他们还区分了补偿性支持与适应性支持，并提出评估应同时考察成就与进步，对高成就但进步有限的学生同样需要重新审视支持方式。共享的教学语言使教师能够围绕学生证据讨论和调整教学，这为本课题建构四步调节的教学模型提供了直接参照。</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5）学校改进、领导力与家校协同</w:t>
      </w:r>
    </w:p>
    <w:p w14:paraId="12AFF7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03B1AE9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领导者在其中承担组织证据使用的责任。陈添（2025）认为，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可见的学习的影响还延伸到家庭。陈丽莎和伍绍杨（2025）针对中国家庭中常见的作业焦虑和过度干预，主张父母把明确的界限与积极回应、自主空间结合起来，以具体的任务反馈替代笼统表扬，并示范承认错误、分析过程和制定改进计划，使家庭成为支持学生学习的力量。</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6）学科教学与项目化学习中的应用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国内研究开始把可见的学习转化为学科教学和项目化学习的具体设计。石修银（2021）针对语文课堂目标模糊和浅层学习等问题，从教学设计、过程和评价三个维度提出重构建议，强调确立主要目标，通过追问、讨论和教师示范促进学生的认知改变，并运用成就水平检查单考察表层知识、深层理解和概念性思维。邱惠芬（2024）结合初中化学课程标准，构建了由目标、知识、实践和评价四个要素组成的学习分析框架，并以酸性土壤改良为例，通过方案设计、实验操作、定量分析和评价量表收集学习证据，诊断知识理解与实际表现之间的差距。马梓越等（2025）将表层、深度和迁移学习模型具体化为语文议论文、数学函数和科学生态系统的教学设计，指出实施的关键在于教师准确判断学生所处的阶段，避免在基础不足时过早提高复杂要求，或在学生已形成深度理解后继续重复表层练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项目化学习是另一类重要的应用场域。何光友等（2025）综合Hattie关于项目式学习效果差异较大的研究以及巴克教育研究所提出的项目式学习金标准，主张把项目式学习理解为可以整合多种高影响策略的开放框架，基础知识学习可以采用直接教学，深化理解和方案设计则需要适当的支架与启发，并提出明确目标与挑战性问题、分层指导、以评价反馈持续改进、重视学生声音与选择等设计原则。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沈勍，2025）。总体来看，这些研究为可见的学习的本土转化提供了丰富案例，但多聚焦于单一学科、单一环节或单个项目，对高阶能力的整体结构及其在多个场域中的持续发展关注不足。</w:t>
      </w:r>
    </w:p>
    <w:p w14:paraId="528377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7）全球迁移、学术争议与本研究的使用立场</w:t>
      </w:r>
    </w:p>
    <w:p w14:paraId="188771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1F1144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747513F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4A8B98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对这一理论同样保持了审慎态度。伍绍杨（2015）认为，可见的学习讲述的仍是一个未完成的故事，其研究主要来自发达英语国家，当教育结果主要以考试分数界定时，创造力、批判力和公民责任等难以测量的成果容易被忽视，而把改变学业分化的希望全部寄托于学校内部因素，也可能导向过于乐观的学校决定论。彭正梅（2015）借Berliner等人的论述指出，教育受到情境、互动和历史变化的影响，原始研究的质量和学业成就的界定都限制了综合结果的解释力，因而主张在肯定教育科学化价值的同时保持方法的多样性。</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的研究进一步把视角转向理论的跨国传播。伍绍杨和彭正梅（2026）识别出英语国家的政策嵌入、德国、日本及北欧的学术对话转化以及北美的商业驱动扩散三种模式，认为该理论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伍绍杨（2025）也提醒，复杂知识在传播中可能被简化为教学公式，评价可能被理解为监控工具，理论的科学性需要与教师的专业自主和创造性参与相结合，才能支持真正的教育改进。</w:t>
      </w:r>
    </w:p>
    <w:p w14:paraId="686F525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1B7B37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4F6CDBD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已有研究直接从可见的学习视角讨论高阶能力的培养。彭正梅等（2019）依据Hattie的学习模型指出，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并据此倡导勇于教授高阶能力。沈勍和伍绍杨（2025）结合刻意练习研究进一步提出，高质量的练习需要通过任务分析明确子技能和目标，以具体反馈持续调整表现，并由教师、专家或同伴提供示范与支架，支持随能力发展逐步减少，学生由此承担更多规划、监控和反思的责任。这些研究表明，高阶能力需要有计划地教授，学习进阶、有意对齐和反馈支架是可见的学习连接高阶能力培养的关键概念。</w:t>
      </w:r>
    </w:p>
    <w:p w14:paraId="1E3A61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40A943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389EC02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3D3E33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16457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0193BDDB"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1BE71C2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0C2ED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D4E869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488D85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7845F0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E165F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B696068"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04A440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2C4D9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36F74FB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48B908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D992F5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8B9E7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0EE01FCE"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4730E0DA"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392EDB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5B3CB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6DA025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33C733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7C1C6F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69F754B7"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5079CD04"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6BBAF8C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7EE7D55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1EEF8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660AA2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41172D50"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313229E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6C7E8CEF"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4DF19CF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492092F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01B2ED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853733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4478A9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1148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0625B8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013B7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3F6140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10EB378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2ABD6905"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F72A2C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2BDBB4D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26B4677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71F1A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62C8CF7D"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E989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309D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13CD1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AECBB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324747A8"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CCCE3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6B35E2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0D39EF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2AFEDE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1AB8FF5F"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394D8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04135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0A6D6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B87FB1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633FC141"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6299A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4520D84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1815594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060E07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70BF972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1FE5C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C1A42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2683E2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C8B22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433A62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01178B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7F458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86334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00E098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31DE709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D9184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12899F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44C0639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23B8FE8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B0972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046B79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A27FC6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5B0BB0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A8D3B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47341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341F383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2CBBC6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3AABE1E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F05806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411BDF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655794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6BE69B3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8DCDF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1C8281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9ED2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49042A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3FD40F6B"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45603F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86C5F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1091F35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4A31BB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70FBCE5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0727146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014598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660B14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5214B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008244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208464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21E79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362376B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098D04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01E370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0D70FEC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42EA22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2B2F31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4C9A65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A2C20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D547B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62E1B6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21DD9D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DE582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78B9223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7162D7F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780346B0" w14:textId="77777777" w:rsidR="00CD5D2E" w:rsidRDefault="00000000">
      <w:pPr>
        <w:keepNext/>
        <w:spacing w:before="120"/>
        <w:jc w:val="center"/>
      </w:pPr>
      <w:r>
        <w:rPr>
          <w:noProof/>
        </w:rPr>
        <w:lastRenderedPageBreak/>
        <w:drawing>
          <wp:inline distT="0" distB="0" distL="0" distR="0" wp14:anchorId="75E0F69B" wp14:editId="5261A1E0">
            <wp:extent cx="5216525" cy="65183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7e1b7d.png"/>
                    <pic:cNvPicPr/>
                  </pic:nvPicPr>
                  <pic:blipFill>
                    <a:blip r:embed="rId7"/>
                    <a:stretch>
                      <a:fillRect/>
                    </a:stretch>
                  </pic:blipFill>
                  <pic:spPr>
                    <a:xfrm>
                      <a:off x="0" y="0"/>
                      <a:ext cx="5216525" cy="6518332"/>
                    </a:xfrm>
                    <a:prstGeom prst="rect">
                      <a:avLst/>
                    </a:prstGeom>
                  </pic:spPr>
                </pic:pic>
              </a:graphicData>
            </a:graphic>
          </wp:inline>
        </w:drawing>
      </w:r>
    </w:p>
    <w:p w14:paraId="30BBBDCF"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2D6D69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5962AE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39DA7FF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w:t>
      </w:r>
      <w:r>
        <w:rPr>
          <w:rFonts w:ascii="Times New Roman" w:eastAsia="宋体" w:hAnsi="Times New Roman" w:cs="Times New Roman"/>
          <w:color w:val="000000"/>
          <w:kern w:val="0"/>
          <w:sz w:val="24"/>
        </w:rPr>
        <w:lastRenderedPageBreak/>
        <w:t>确课题研究什么、怎样研究、怎样评价的基本思路。</w:t>
      </w:r>
    </w:p>
    <w:p w14:paraId="0E6CFF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06A01A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47160AF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33B0B1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1C8DC6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05F4226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01D904B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7D97A46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3D8A99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92DAA9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37F741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238828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99700B0"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1022B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通过四个学科案例呈现模型在课堂中的转化实施及其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7B52F146"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7FF11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4F55EE7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EA941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2E48DDB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C6E8F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w:t>
      </w:r>
      <w:r>
        <w:rPr>
          <w:rFonts w:ascii="Times New Roman" w:eastAsia="宋体" w:hAnsi="Times New Roman" w:cs="Times New Roman"/>
          <w:kern w:val="0"/>
          <w:sz w:val="24"/>
        </w:rPr>
        <w:lastRenderedPageBreak/>
        <w:t>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8912D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748D837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73FA499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3E732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378190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008632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），围绕中学生高阶能力培育的需要，选取与责任承担、自我调节、合作协商和开放探索相关的内容，依据其内涵联系进行归并，形成责任担当、情绪调节、合作共情、包容创新四个理论维度。</w:t>
      </w:r>
    </w:p>
    <w:p w14:paraId="373CB1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E7987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w:t>
      </w:r>
      <w:r>
        <w:rPr>
          <w:rFonts w:ascii="Times New Roman" w:eastAsia="宋体" w:hAnsi="Times New Roman" w:cs="Times New Roman"/>
          <w:kern w:val="0"/>
          <w:sz w:val="24"/>
        </w:rPr>
        <w:lastRenderedPageBreak/>
        <w:t>中的运用，不将其解释为社会情感能力已经具有公认的高低层级。四个维度用于指导题项编制和现状分析，其结构合理性通过后续工具检验加以考察。</w:t>
      </w:r>
    </w:p>
    <w:p w14:paraId="0742BCC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265127C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12702F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74E58C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2539E5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391B9F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73B4DC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C8E4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7918A15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40F349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504AF5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66B810A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F3EB606" w14:textId="77777777">
        <w:trPr>
          <w:cantSplit/>
          <w:tblHeader/>
          <w:jc w:val="center"/>
        </w:trPr>
        <w:tc>
          <w:tcPr>
            <w:tcW w:w="4032" w:type="dxa"/>
            <w:tcBorders>
              <w:top w:val="single" w:sz="12" w:space="0" w:color="000000"/>
              <w:left w:val="nil"/>
              <w:bottom w:val="single" w:sz="6" w:space="0" w:color="000000"/>
              <w:right w:val="nil"/>
            </w:tcBorders>
            <w:vAlign w:val="center"/>
          </w:tcPr>
          <w:p w14:paraId="3E63AD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110442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6B679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02692B0A" w14:textId="77777777">
        <w:trPr>
          <w:cantSplit/>
          <w:trHeight w:val="90"/>
          <w:jc w:val="center"/>
        </w:trPr>
        <w:tc>
          <w:tcPr>
            <w:tcW w:w="4032" w:type="dxa"/>
            <w:tcBorders>
              <w:top w:val="nil"/>
              <w:left w:val="nil"/>
              <w:bottom w:val="nil"/>
              <w:right w:val="nil"/>
            </w:tcBorders>
            <w:vAlign w:val="center"/>
          </w:tcPr>
          <w:p w14:paraId="23DA10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7FA76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5347BE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31415FE7" w14:textId="77777777">
        <w:trPr>
          <w:cantSplit/>
          <w:jc w:val="center"/>
        </w:trPr>
        <w:tc>
          <w:tcPr>
            <w:tcW w:w="4032" w:type="dxa"/>
            <w:tcBorders>
              <w:top w:val="nil"/>
              <w:left w:val="nil"/>
              <w:bottom w:val="nil"/>
              <w:right w:val="nil"/>
            </w:tcBorders>
            <w:vAlign w:val="center"/>
          </w:tcPr>
          <w:p w14:paraId="17A4DE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2AF798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77A287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08BE4A" w14:textId="77777777">
        <w:trPr>
          <w:cantSplit/>
          <w:jc w:val="center"/>
        </w:trPr>
        <w:tc>
          <w:tcPr>
            <w:tcW w:w="4032" w:type="dxa"/>
            <w:tcBorders>
              <w:top w:val="nil"/>
              <w:left w:val="nil"/>
              <w:bottom w:val="nil"/>
              <w:right w:val="nil"/>
            </w:tcBorders>
            <w:vAlign w:val="center"/>
          </w:tcPr>
          <w:p w14:paraId="3408E7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54B45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25706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73A064B2" w14:textId="77777777">
        <w:trPr>
          <w:cantSplit/>
          <w:jc w:val="center"/>
        </w:trPr>
        <w:tc>
          <w:tcPr>
            <w:tcW w:w="4032" w:type="dxa"/>
            <w:tcBorders>
              <w:top w:val="nil"/>
              <w:left w:val="nil"/>
              <w:bottom w:val="single" w:sz="12" w:space="0" w:color="000000"/>
              <w:right w:val="nil"/>
            </w:tcBorders>
            <w:vAlign w:val="center"/>
          </w:tcPr>
          <w:p w14:paraId="1B7914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0F04B6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42CDFE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6B43F36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8DCADA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34FF8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1，第三个成分的特征值低于1，结果见表3-2。按32个题项计算，第一个成分解释了64.06%的方差，第二个成分解释了4.15%，前两个成分累计解释68.21%。第一个成分的特征值远高于其余成分，表明题项之间存在较强的共同变异。</w:t>
      </w:r>
    </w:p>
    <w:p w14:paraId="4AC9953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05F17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6DA1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DDE6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9C15E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3E2E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188B79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48043C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487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9F285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3783FD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90EB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03B450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7EA72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9F34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3F9F28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6724507A"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584555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76EC6D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773033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0F461D7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0FE52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w:t>
      </w:r>
      <w:r>
        <w:rPr>
          <w:rFonts w:ascii="Times New Roman" w:eastAsia="宋体" w:hAnsi="Times New Roman" w:cs="Times New Roman"/>
          <w:kern w:val="0"/>
          <w:sz w:val="24"/>
        </w:rPr>
        <w:lastRenderedPageBreak/>
        <w:t>成分上的载荷。</w:t>
      </w:r>
    </w:p>
    <w:p w14:paraId="6440C34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3DA3735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FF2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444C6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884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5727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1666B6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8D56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432D20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35502D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FFD60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246E23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663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F9EF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05BDD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F50A8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40CD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54F2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5EE45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60F45A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9388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53A8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1803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24991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6B616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39A6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417045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128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B5456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5D7DD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F307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9B8F2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5D2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44FDE4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5B43BE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0F1DD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2DEB8268"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77433D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69890F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4A1FF4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EDDA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459CD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F69B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15C80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35056B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C026E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2A87B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3FE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13806C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40D26B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36EBE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60103C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2501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2DAF96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442126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DB24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0617C4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E5B7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2CBF7F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4996C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803D5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78D116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D17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781DFB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314C2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1099C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2FFF5C8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48BA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691B6A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5BD096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C1D02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5C2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8CE2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21D98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303D2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5B903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782A6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429BE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06B77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35DF86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B3AC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4C445A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32CA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70A13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743BDF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7F1A4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44AB2F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519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554619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7D5FA2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58E42D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66823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3704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37A6BD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12C2E0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93522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0C21B6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CCB42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442820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2794A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121A0A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0BC2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08A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06B6E9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322B64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5B684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6B4201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43AF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1BA396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6DD2A2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4B83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20DBC1A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9A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646F1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145D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CE038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0D3ACB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9FF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799572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54D51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24146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09B3DEB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23AD65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4E1F1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18E84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28CAC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1BAC56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7377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6CAE21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6F50B6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66CE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16B534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7E7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388E84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4E889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854C2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CFD23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A1B5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16CDB7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6D0DC7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49E6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348007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08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3998BF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33F488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72A15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552B43A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9E8D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139CB6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7E1D89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E4200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2B7C5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CFC5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78D2B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62D1F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C0CD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1BCB0C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114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55111F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0D01A2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2CE9F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131E35EE"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579F30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11149F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5F24B0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1D95B3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0907A92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05F01D4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w:t>
      </w:r>
      <w:r>
        <w:rPr>
          <w:rFonts w:ascii="Times New Roman" w:eastAsia="宋体" w:hAnsi="Times New Roman" w:cs="Times New Roman"/>
          <w:kern w:val="0"/>
          <w:sz w:val="24"/>
        </w:rPr>
        <w:lastRenderedPageBreak/>
        <w:t>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679FC87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77D971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6BF20AD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F95E4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为考察学生问卷各理论维度内部题项的一致程度，研究计算Cronbach α系数。α按题项数、各题项方差之和与维度总分方差计算，其中题项标准差取自表3-8，维度标准差取自表3-7，结果见表3-4。</w:t>
      </w:r>
    </w:p>
    <w:p w14:paraId="746D82A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5D6FAE6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396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E4D07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3738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 α</w:t>
            </w:r>
          </w:p>
        </w:tc>
      </w:tr>
      <w:tr w:rsidR="000B1CCE" w14:paraId="283BE3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81D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F6BA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4F631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w:t>
            </w:r>
          </w:p>
        </w:tc>
      </w:tr>
      <w:tr w:rsidR="000B1CCE" w14:paraId="78874C5F"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1C9B3A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Mar>
              <w:top w:w="-1" w:type="dxa"/>
              <w:left w:w="-1" w:type="dxa"/>
              <w:bottom w:w="-1" w:type="dxa"/>
              <w:right w:w="-1" w:type="dxa"/>
            </w:tcMar>
            <w:tcBorders>
              <w:top w:val="nil"/>
              <w:left w:val="nil"/>
              <w:bottom w:val="nil"/>
              <w:right w:val="nil"/>
            </w:tcBorders>
            <w:vAlign w:val="center"/>
          </w:tcPr>
          <w:p w14:paraId="0A22C6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7317F1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w:t>
            </w:r>
          </w:p>
        </w:tc>
      </w:tr>
      <w:tr w:rsidR="000B1CCE" w14:paraId="58DEE648"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989D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Mar>
              <w:top w:w="-1" w:type="dxa"/>
              <w:left w:w="-1" w:type="dxa"/>
              <w:bottom w:w="-1" w:type="dxa"/>
              <w:right w:w="-1" w:type="dxa"/>
            </w:tcMar>
            <w:tcBorders>
              <w:top w:val="nil"/>
              <w:left w:val="nil"/>
              <w:bottom w:val="nil"/>
              <w:right w:val="nil"/>
            </w:tcBorders>
            <w:vAlign w:val="center"/>
          </w:tcPr>
          <w:p w14:paraId="374342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2A4CA1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50784B8D"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A3531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Mar>
              <w:top w:w="-1" w:type="dxa"/>
              <w:left w:w="-1" w:type="dxa"/>
              <w:bottom w:w="-1" w:type="dxa"/>
              <w:right w:w="-1" w:type="dxa"/>
            </w:tcMar>
            <w:tcBorders>
              <w:top w:val="nil"/>
              <w:left w:val="nil"/>
              <w:bottom w:val="nil"/>
              <w:right w:val="nil"/>
            </w:tcBorders>
            <w:vAlign w:val="center"/>
          </w:tcPr>
          <w:p w14:paraId="65AF16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0902EE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w:t>
            </w:r>
          </w:p>
        </w:tc>
      </w:tr>
      <w:tr w:rsidR="000B1CCE" w14:paraId="329E372B"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31F74F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Mar>
              <w:top w:w="-1" w:type="dxa"/>
              <w:left w:w="-1" w:type="dxa"/>
              <w:bottom w:w="-1" w:type="dxa"/>
              <w:right w:w="-1" w:type="dxa"/>
            </w:tcMar>
            <w:tcBorders>
              <w:top w:val="nil"/>
              <w:left w:val="nil"/>
              <w:bottom w:val="nil"/>
              <w:right w:val="nil"/>
            </w:tcBorders>
            <w:vAlign w:val="center"/>
          </w:tcPr>
          <w:p w14:paraId="77A5E5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324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w:t>
            </w:r>
          </w:p>
        </w:tc>
      </w:tr>
      <w:tr w:rsidR="000B1CCE" w14:paraId="0C0B1447"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全部题项</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32</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w:t>
            </w:r>
          </w:p>
        </w:tc>
      </w:tr>
    </w:tbl>
    <w:p w14:paraId="2015984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七个理论维度的Cronbach α介于0.87—0.93之间，高阶思维12题和高阶社会情感20题的α分别为0.96和0.97，全部32题为0.98，表明各维度题项具有较好的内部一致性，可以按理论维度计算题均分并进行描述和比较。问卷星原始报告按另一种六组题项划分统计，α介于0.9045—0.9349之间，与上述结果相互印证。同时，各维度α普遍较高，全部题项的α接近0.98，第一个成分解释了64.06%的方差，说明学生作答带有较强的总体评价倾向，七个维度之间的区分度有限。这也是本研究将七维用于组织测评内容，而不将其视为七个独立测量因素的原因。</w:t>
      </w:r>
    </w:p>
    <w:p w14:paraId="777F7CE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学生高阶能力基础的前测结果</w:t>
      </w:r>
    </w:p>
    <w:p w14:paraId="70E7DB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09D9A3E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2D23D52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720E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98356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44F5E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A57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28116F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B62D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31F8FD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3833F1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3BBEF6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0770186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DF10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6B7E89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70713D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435AA4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730C31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65AE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1E6C7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4D8100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690B56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7B7F46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E569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3D1CC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13A44B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20FF41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41A54F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E89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14BD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469528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6343F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E1346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F6A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79A992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796839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2E61EE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410253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848B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0" w:type="auto"/>
            <w:tcBorders>
              <w:top w:val="nil"/>
              <w:left w:val="nil"/>
              <w:bottom w:val="nil"/>
              <w:right w:val="nil"/>
            </w:tcBorders>
            <w:tcMar>
              <w:top w:w="-1" w:type="dxa"/>
              <w:left w:w="-1" w:type="dxa"/>
              <w:bottom w:w="-1" w:type="dxa"/>
              <w:right w:w="-1" w:type="dxa"/>
            </w:tcMar>
            <w:vAlign w:val="center"/>
          </w:tcPr>
          <w:p w14:paraId="2BE474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7666ED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65B08C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23B679A8"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149B8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299C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B53DB2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3B0AAD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2A65DC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20C522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45B637E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025118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8AC9C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6C51C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8A21D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407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165DE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1CA0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473AB4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1C82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CCC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70202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D75DB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D7B4D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0E64AC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18638A2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293C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72F93D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5ECBEB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501575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624E27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6B4D87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0CCFF4EA"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3DB8B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17864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2AF5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0CA16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26ED3A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5DF26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20F365C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3494B360"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1C07DEBA"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w:t>
      </w:r>
      <w:r>
        <w:rPr>
          <w:rFonts w:ascii="Times New Roman" w:eastAsia="黑体" w:hAnsi="Times New Roman" w:cs="Times New Roman"/>
          <w:kern w:val="0"/>
        </w:rPr>
        <w:lastRenderedPageBreak/>
        <w:t>到主动改进的学习过程。图中积极选项比例用于描述作答分布。</w:t>
      </w:r>
    </w:p>
    <w:p w14:paraId="74F836A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7155572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24B681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FDF6C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F1B26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56A9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5DB6C3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A10F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5DF19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7ADF25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14A969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726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0A189E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6D8B5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048FC4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2FF7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4468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6C5B45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0C8F2B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702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A924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3965AC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6F111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8E97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843DF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3EF24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76F64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4E0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F0130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6BAD6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2DBC0B14"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60975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29D2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0B574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2201B86A"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370C6C3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729F31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603406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46E4BC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50292C7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5E5FF2F4"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9AFB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ACD2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B0E984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F547A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CB3D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01EFF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1287314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F870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52F274A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A71521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86794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28C533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304CEF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7DA66FB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79511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w:t>
            </w:r>
          </w:p>
        </w:tc>
        <w:tc>
          <w:tcPr>
            <w:tcW w:w="1301" w:type="dxa"/>
            <w:tcBorders>
              <w:top w:val="nil"/>
              <w:left w:val="nil"/>
              <w:bottom w:val="nil"/>
              <w:right w:val="nil"/>
            </w:tcBorders>
            <w:tcMar>
              <w:top w:w="-1" w:type="dxa"/>
              <w:left w:w="-1" w:type="dxa"/>
              <w:bottom w:w="-1" w:type="dxa"/>
              <w:right w:w="-1" w:type="dxa"/>
            </w:tcMar>
            <w:vAlign w:val="center"/>
          </w:tcPr>
          <w:p w14:paraId="3429E9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6E3582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1AB9FD8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6C40F0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124BB6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319F6CE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8F0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58D939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20812E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16EAC6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47D5AA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6AED6D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5FA4743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C209B6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19F58F1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C7F17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32AEF7A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7D5F0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41A7DBB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4A37D88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30B241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1D7381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734D6F6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7CB826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3FA6F3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2CE95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2F2D15C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B7B7D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2B7B442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2F29A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200DF28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521D98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546E869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0A9F1B2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FA98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54C049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6FDB9F2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577479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2A5972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4479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7EDA1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E114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9CE57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BF84E5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1FE11A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19B00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11D01CC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3044572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46E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25244E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CE4D3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719F36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03FA6E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397749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618F5212"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8D166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245F3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2ECC2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7FE847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0CFA36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76136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2CB8C58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24C55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55725A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1F0F319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24ED50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3F3C13B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7ECD801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1EE41BC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77FBD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0A963E2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40DA55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13063D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717B574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23D0DE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7B363F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0096B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47FCD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5EA62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6BC865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01E8E7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5EF515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4747407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324B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0386C6C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48404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37A4DE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4AFF663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430238B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491835B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80E9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38E80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CEA59F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658B182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242A507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065D6C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4393E98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D208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49CC7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D9E71C3"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627F0DC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3F4026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1B1D06A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06395AD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C731C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071B9A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9011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4A82080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797BF7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23C637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0243BE8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15DA6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60CAF9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5C68658"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0C1CCAF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47A430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00EF956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5946795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BF206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0EE317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8FD781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6EF5A4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0BBB79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C7F43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0A056FE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FAA66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4725AA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AFD154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2A26E5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314D4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7C9C0F5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78F6BCB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DA3793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536D19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1B67EAA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7CA219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1B668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DC490D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7528078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B27C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56514B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7D6697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4799D5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73900C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78411DF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5CD4974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BB52A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103F3C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50489C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7A2598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0F5BAC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4B00128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64502C0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BC090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62B459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BE8762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600ACF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19C467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1EB36C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1224221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B614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Q25</w:t>
            </w:r>
          </w:p>
        </w:tc>
        <w:tc>
          <w:tcPr>
            <w:tcW w:w="1301" w:type="dxa"/>
            <w:tcBorders>
              <w:top w:val="nil"/>
              <w:left w:val="nil"/>
              <w:bottom w:val="nil"/>
              <w:right w:val="nil"/>
            </w:tcBorders>
            <w:tcMar>
              <w:top w:w="-1" w:type="dxa"/>
              <w:left w:w="-1" w:type="dxa"/>
              <w:bottom w:w="-1" w:type="dxa"/>
              <w:right w:w="-1" w:type="dxa"/>
            </w:tcMar>
            <w:vAlign w:val="center"/>
          </w:tcPr>
          <w:p w14:paraId="4E37E50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1598AF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73350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57F1B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085724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68557BC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3C35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13EE9F9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46C5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0ADC3AD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3DC9DC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042707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3066C64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795EB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7532CC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8E4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377E1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7B71194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3CE4CB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43038FE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1D153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066F01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6BA566E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4369535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AAEA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5A106B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42289FF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AB560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1B4D5D9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0B905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10AC4A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3CC3DF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415DAF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536547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B8CA73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4DF781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2B20D56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25A6CB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0ADF57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353B0B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3D457E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536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1AAE91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36003DC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24FB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71ECDC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43CA26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465E9D36"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2E0020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55E58EF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62AB2A2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5B7D9E8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D381C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6C990B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36C1F61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4A0B73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346196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1EC75C2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091B68B7"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260FD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996C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5904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16A6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FCEF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85C4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E9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9A78D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3500324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7B8CF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6912C3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FE341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1C5A34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4BA0D3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73E79A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171869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EA181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22E383D"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394FD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65CFA9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6A96D1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36E6E5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52FEA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0D59D8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4ACE28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61F294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02BC1824"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32303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0496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4B0865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1C2D3C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0E8907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39E736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76118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19483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C78DB66"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04F6DA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0D1E78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650495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BDEF2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3316FF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14421F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47B6FD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52240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2FB8CCF1"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385A3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8D30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31538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401635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2F08C9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7F2098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208159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1D4D0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0446D23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F9B0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949CB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7F1ACD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424F98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02A84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0DD459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26691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7DDD5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5306C54B"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2BFA95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3D28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10352B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2C8EB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0F1F3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6D223D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5AB10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1E94F1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45CBA83C"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3101E568"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30CA97EE"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6733546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373B116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5C8D3A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173F2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DFD2B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A31B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54B5B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CC7A43"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7B202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048CBE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0671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F2F1E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2DC0B5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550A0F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DF205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8C339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0F7FD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804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1F1F5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5A734E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149FE4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5158A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67065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313A6A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B49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F885C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5D530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546BD1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76144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99055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1739E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189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E818A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3AA25E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02028C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6D6F8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00D18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62D90B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92C2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82B34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4C8A1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680D94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BFE9B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1A21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14010B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90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E819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2D674F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6F69CA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8872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319E8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4485F9E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1A33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133C7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120D98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2EAE11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6EA01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A5406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21543F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D0E9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0387E6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FA6FC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1437C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9FD9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088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E686C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13B1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668078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699D2F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4E392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0210EF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EC1DD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7678701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170820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2DE5D0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646ECD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9C2C2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F99FE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21D4A9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057015B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37FDE9B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57C34432"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FC025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F1F2C2"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FAD6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B127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CFB0ED"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2DAB60C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1C12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0528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1F087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337801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DDFCC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E8859A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2ADA97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B4AD9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0188CD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78358C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5AE1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9A9E0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FE3A0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A7EE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2C656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1DE3B2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34358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9AB6DA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45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C695C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10A0C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5994D9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E6DE9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F7AE0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9AF3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3762F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580D802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18FA94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02CB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64EBE7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7F9011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6AB98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FF472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1FD796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CA8DB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D6787E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90A76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794A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535CD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4C0ACD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556DB9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803457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7D6DF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95943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081DB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10D0B42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319CD0C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31713643"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DBC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872C1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571EE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CFB2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210755B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6DADC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F3B72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B0AA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298ED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7FD87CE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F3DA1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029CFF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B03F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07093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9E86E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44EF77A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31CF13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6F3B79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1BD8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A400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4E9E1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B89B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D0F17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C867E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ED812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23EF4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2E72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64EAA9F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1987DF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5D7DC5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EB1B11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1E410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547D7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702BC5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5A4D2B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5D37E1F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D1801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D0E1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FFF7C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0759F8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21949C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B64A67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E440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6913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4D56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0B045D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4175B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43FB3B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F52072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8E955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7FCD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0DFC03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81E0F5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316399A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ADEE4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E090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90B084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574926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2C4A17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8EA10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6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23BE4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EB6A6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0013D2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3755F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B39F09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689AB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A8F248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7880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59EA1A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04FD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1AA5F12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8D016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F9C6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63BCB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0EF724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A48EC8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ECB5B2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2101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C544A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8C66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DC2915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C4E31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AD7EAB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A7482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2CE46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E77AA1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0FC4D88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B459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A4E8A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543D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2D4D5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7A11F69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E2CD8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868F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2FB9C2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211A2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998D8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7C8A4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574EEC0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9C26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4EDE82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9A26A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6EE8E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8CB7C8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3174F10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6E4E82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592389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F13E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52F58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F4C5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1F993B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490FC1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817E3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682F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EE922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20E18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06031A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401030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980F84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77C1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F721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66B14F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3B3D67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3DC855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8FF38A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C1AD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398F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347A7A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6EF7397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D64398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82B93D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22DEF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74649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E73940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3303A5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E15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5CFD09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AD3CF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ADA1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BC6FE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6C0D13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CB34E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05C95C8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20AE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7E9BF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D759A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03AD71B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2FEF2E2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C3290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8EEF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1702C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7D25F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0CB0A3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6F6AAE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D9A6DD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C09DC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150234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A673E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65CEF1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4F2445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3801D59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8755A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920A8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4EAFE9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7635FD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05215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9D840E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96B5DE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FDC6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30B3F7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031F91A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6D22C4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6D281C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3DF0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B3877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049F5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05266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543AC1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5FAF16EA"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6D739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9B72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20675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4CE071D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597B06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433D27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B0EEAA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4C9B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23F281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2963D4B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5E3E7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704A55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C2719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FC74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A08D8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50550A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696F1E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582B52E2"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384764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25D62D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248C10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2C5D81A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1A44B04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11177FB2"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4D8A901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47A0F18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C7176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D8A73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41E6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5E65E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790426"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63BDF2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FC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95F52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08FF3B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42A23E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6532AA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528EED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0613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92301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5EF1F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039867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08C1FD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E1A64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5FF8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22DAF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46434D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1EF214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48187A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073C0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7D17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B00F5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5ED234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414616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38D1B7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B13AB6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AAE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5DF6E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6416ED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5E90A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6F7FF6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53E3B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A3A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C945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323C4A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4DF251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643A22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D1B06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84CE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04E8EB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7697CD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38B1A4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20ECE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4F05C9A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D380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D052C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4A80A4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43343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7DB620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C67F1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1551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8DCBD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57668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46A96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580BEB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C4B794"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1AA560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57105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6BE03F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4E0B0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0AEB1D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2DC3B18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477DB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3C9957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61AB6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5FD3283D"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F941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5025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B3DC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31532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4F58A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8F0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0FDAB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475D4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866FD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2BBA1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332110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16907F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407043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2DC740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4FF99F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365AD6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55D6B1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099A5A09"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0DE6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3A5B1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5476AE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6805CD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41BC5F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2AC07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CA056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3E2E19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46B2908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017CBA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01FE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4C9982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382C6C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B51A3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26010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11C01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11F387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B7636C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B5E4C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7BAC87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24DA33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61F0B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6BA159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7FE9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6D498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37D618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6467715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12008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评价</w:t>
            </w:r>
          </w:p>
        </w:tc>
        <w:tc>
          <w:tcPr>
            <w:tcW w:w="936" w:type="dxa"/>
            <w:tcBorders>
              <w:top w:val="nil"/>
              <w:left w:val="nil"/>
              <w:bottom w:val="nil"/>
              <w:right w:val="nil"/>
            </w:tcBorders>
            <w:tcMar>
              <w:top w:w="-1" w:type="dxa"/>
              <w:left w:w="-1" w:type="dxa"/>
              <w:bottom w:w="-1" w:type="dxa"/>
              <w:right w:w="-1" w:type="dxa"/>
            </w:tcMar>
            <w:vAlign w:val="center"/>
          </w:tcPr>
          <w:p w14:paraId="74FB5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6A28C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38849D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528F5B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60A61F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6009C6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72092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4EB352A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F74D9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70C205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5E4C14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BDB4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33B310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78BF9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4FF55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19651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1CB1843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077A2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189163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1CA70D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4FC53E1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5CEB6B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4E9AC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234D4D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679A12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1169CA1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129C8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B0D5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6AA07E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2A1DC1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29A2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7FFBBA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774085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015AB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7F889D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227B65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72F37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00D7A2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6B8AD1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4780CA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2E5DC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375B5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6352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60EDE5F6"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37104B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7252A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DB6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7708A5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21CCC4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88CF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669CB3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24AB76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219C09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7A3590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73FE224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777627F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6A9E76E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E7A8F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9BFC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5024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A41D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10E14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3374CEA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4FC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5D90C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15FB9F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7114EB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4A8D8D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7443E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279F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4220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7A81DC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62E1F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122382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854E6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06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5EDC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4D7702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6998A0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1F6532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6EFC44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11AD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0D3993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74EA5D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5E2502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4CD3A8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3339507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A32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453FEA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400CC7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454665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8C33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1895B1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D0A0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36ACFB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254682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1D0984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112A2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0D981720"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41D0D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31A7C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2A1AC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60523A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4DAD54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1EBBD8E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4BF2B2A9" w14:textId="77777777">
        <w:trPr>
          <w:cantSplit/>
          <w:tblHeader/>
          <w:jc w:val="center"/>
        </w:trPr>
        <w:tc>
          <w:tcPr>
            <w:tcW w:w="1704" w:type="dxa"/>
            <w:tcBorders>
              <w:top w:val="single" w:sz="12" w:space="0" w:color="000000"/>
              <w:left w:val="nil"/>
              <w:bottom w:val="single" w:sz="6" w:space="0" w:color="000000"/>
              <w:right w:val="nil"/>
            </w:tcBorders>
            <w:vAlign w:val="center"/>
          </w:tcPr>
          <w:p w14:paraId="277CEB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7E575F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8E5C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22A45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16B7C8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2399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10E282C2" w14:textId="77777777">
        <w:trPr>
          <w:cantSplit/>
          <w:jc w:val="center"/>
        </w:trPr>
        <w:tc>
          <w:tcPr>
            <w:tcW w:w="1704" w:type="dxa"/>
            <w:tcBorders>
              <w:top w:val="nil"/>
              <w:left w:val="nil"/>
              <w:bottom w:val="nil"/>
              <w:right w:val="nil"/>
            </w:tcBorders>
            <w:vAlign w:val="center"/>
          </w:tcPr>
          <w:p w14:paraId="38BCD2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ED953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32572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537F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5680CC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2643C4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BA7F793" w14:textId="77777777">
        <w:trPr>
          <w:cantSplit/>
          <w:jc w:val="center"/>
        </w:trPr>
        <w:tc>
          <w:tcPr>
            <w:tcW w:w="1704" w:type="dxa"/>
            <w:tcBorders>
              <w:top w:val="nil"/>
              <w:left w:val="nil"/>
              <w:bottom w:val="single" w:sz="12" w:space="0" w:color="000000"/>
              <w:right w:val="nil"/>
            </w:tcBorders>
            <w:vAlign w:val="center"/>
          </w:tcPr>
          <w:p w14:paraId="5CBF17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29F49C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282C89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4F953B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2B069A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376C2A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05D1924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3E579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w:t>
      </w:r>
      <w:r>
        <w:rPr>
          <w:rFonts w:ascii="Times New Roman" w:eastAsia="宋体" w:hAnsi="Times New Roman" w:cs="Times New Roman"/>
          <w:kern w:val="0"/>
          <w:sz w:val="24"/>
        </w:rPr>
        <w:lastRenderedPageBreak/>
        <w:t>明性别差异随年级改变。个别分组的较低均值可以引导后续观察，但分层教学支持仍需落实到学生具体的分析、尝试、表达和调节表现。</w:t>
      </w:r>
    </w:p>
    <w:p w14:paraId="256EFC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2DCA0DD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113449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81EB3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2A5FD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ABD5C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581ED1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D0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0FA7AC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E7EF8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3B60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52BF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4E939A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0F8887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218CF1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FC6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06886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3A4C7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156A59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0C22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78FF2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18627D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76FEED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C2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1EBBE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2A4A14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10088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B2D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3B1D2B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690C18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3BCC4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3CB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5DCF62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77F2E1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45FEAE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91CC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4265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3EB522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2B73F7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6B1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3CAFE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3158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71B72940"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1AFC8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65D7FD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2A1E9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1AB676C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64F6C9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6AA558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6432E45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0F6EF590"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13A05DA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F56E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344A6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BD98E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06EA79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362A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B1BD2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55646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7C756E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44BD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424F8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39654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087827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113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EB17E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2A57E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57FCA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8761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8C67A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51557F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5A5D06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B4D3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3E3596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28D04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7689CE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C406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244BA7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05645E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0735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6F6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EED89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69D0B8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17871F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F0BD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A93F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19D18F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0FCDB2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D0D5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279E8B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086117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1DBF77AC"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6141FD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3BA7CA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2F20F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55EB722"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2DA46F4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184E3ED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24258B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CE0A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6D6B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B7B9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716B64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5386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7D562B58"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6DC9CA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20AC6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4ED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180A84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669296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5FD46A8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04E4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60BCB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431A37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4CD234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08D8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356E2252"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5D276E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6083BF94"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373F2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0CC56F9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0D571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39597E63"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39526BD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29FFE2B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58A91E28"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6AF6CD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193C79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40198A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2ED614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5E9928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4CA747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487CE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7BEAE8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7DE6C4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191DA2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20E15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00468A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2D3EA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58320B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12F1A9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5C099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768448A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学生调查呈现能力发展需要，教师调查呈现教学支持的基础与条件。两类结果共同用于确定学习模型的能力目标、任务要求与支持重点，并为学习决策路径、学习层次设计及后续教学模式构建提供依据。</w:t>
      </w:r>
    </w:p>
    <w:p w14:paraId="4BE3C4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7BF80A3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75AC0A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640CCE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5A5083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5DC721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3B4D1A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w:t>
      </w:r>
      <w:r>
        <w:rPr>
          <w:rFonts w:ascii="Times New Roman" w:eastAsia="宋体" w:hAnsi="Times New Roman" w:cs="Times New Roman"/>
          <w:kern w:val="0"/>
          <w:sz w:val="24"/>
        </w:rPr>
        <w:lastRenderedPageBreak/>
        <w:t>致性信度检验。</w:t>
      </w:r>
    </w:p>
    <w:p w14:paraId="1807A5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78527AE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0F427B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049695BF"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6ECD7237"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1FFB66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0A906E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61E6D0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3BC9E74" w14:textId="77777777">
        <w:trPr>
          <w:cantSplit/>
          <w:trHeight w:val="282"/>
          <w:jc w:val="center"/>
        </w:trPr>
        <w:tc>
          <w:tcPr>
            <w:tcW w:w="3504" w:type="dxa"/>
            <w:tcBorders>
              <w:top w:val="nil"/>
              <w:left w:val="nil"/>
              <w:bottom w:val="nil"/>
              <w:right w:val="nil"/>
            </w:tcBorders>
            <w:vAlign w:val="center"/>
          </w:tcPr>
          <w:p w14:paraId="5AA38B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4F2536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61AA0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06306ADF" w14:textId="77777777">
        <w:trPr>
          <w:cantSplit/>
          <w:trHeight w:val="269"/>
          <w:jc w:val="center"/>
        </w:trPr>
        <w:tc>
          <w:tcPr>
            <w:tcW w:w="3504" w:type="dxa"/>
            <w:tcBorders>
              <w:top w:val="nil"/>
              <w:left w:val="nil"/>
              <w:bottom w:val="nil"/>
              <w:right w:val="nil"/>
            </w:tcBorders>
            <w:vAlign w:val="center"/>
          </w:tcPr>
          <w:p w14:paraId="0617A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53888D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38AAA9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05912400" w14:textId="77777777">
        <w:trPr>
          <w:cantSplit/>
          <w:trHeight w:val="282"/>
          <w:jc w:val="center"/>
        </w:trPr>
        <w:tc>
          <w:tcPr>
            <w:tcW w:w="3504" w:type="dxa"/>
            <w:tcBorders>
              <w:top w:val="nil"/>
              <w:left w:val="nil"/>
              <w:bottom w:val="nil"/>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Bartlett球形度检验</w:t>
            </w:r>
          </w:p>
        </w:tc>
        <w:tc>
          <w:tcPr>
            <w:tcW w:w="2503" w:type="dxa"/>
            <w:tcBorders>
              <w:top w:val="nil"/>
              <w:left w:val="nil"/>
              <w:bottom w:val="nil"/>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252" w:type="dxa"/>
            <w:tcBorders>
              <w:top w:val="nil"/>
              <w:left w:val="nil"/>
              <w:bottom w:val="nil"/>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231</w:t>
            </w:r>
          </w:p>
        </w:tc>
      </w:tr>
      <w:tr w:rsidR="000B1CCE" w14:paraId="05912400" w14:textId="77777777">
        <w:trPr>
          <w:cantSplit/>
          <w:trHeight w:val="282"/>
          <w:jc w:val="center"/>
        </w:trPr>
        <w:tc>
          <w:tcPr>
            <w:tcW w:w="3504" w:type="dxa"/>
            <w:tcBorders>
              <w:top w:val="nil"/>
              <w:left w:val="nil"/>
              <w:bottom w:val="single" w:sz="12" w:space="0" w:color="000000"/>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C1ED6E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36278A5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25F373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前四个成分的特征值均大于1，第五个成分的特征值低于1，结果见表3-20。按22个题项计算，前四个成分分别解释了38.75%、10.64%、7.52%和5.97%的方差，累计解释62.87%。</w:t>
      </w:r>
    </w:p>
    <w:p w14:paraId="0794FAC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61FC42FA"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79648D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218E0F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232B52F" w14:textId="77777777">
        <w:trPr>
          <w:cantSplit/>
          <w:trHeight w:val="342"/>
          <w:jc w:val="center"/>
        </w:trPr>
        <w:tc>
          <w:tcPr>
            <w:tcW w:w="4390" w:type="dxa"/>
            <w:tcBorders>
              <w:top w:val="nil"/>
              <w:left w:val="nil"/>
              <w:bottom w:val="nil"/>
              <w:right w:val="nil"/>
            </w:tcBorders>
            <w:vAlign w:val="center"/>
          </w:tcPr>
          <w:p w14:paraId="25A256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5FE012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2D0BD97" w14:textId="77777777">
        <w:trPr>
          <w:cantSplit/>
          <w:trHeight w:val="326"/>
          <w:jc w:val="center"/>
        </w:trPr>
        <w:tc>
          <w:tcPr>
            <w:tcW w:w="4390" w:type="dxa"/>
            <w:tcBorders>
              <w:top w:val="nil"/>
              <w:left w:val="nil"/>
              <w:bottom w:val="nil"/>
              <w:right w:val="nil"/>
            </w:tcBorders>
            <w:vAlign w:val="center"/>
          </w:tcPr>
          <w:p w14:paraId="5E5D89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456305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158E2192" w14:textId="77777777">
        <w:trPr>
          <w:cantSplit/>
          <w:trHeight w:val="326"/>
          <w:jc w:val="center"/>
        </w:trPr>
        <w:tc>
          <w:tcPr>
            <w:tcW w:w="4390" w:type="dxa"/>
            <w:tcBorders>
              <w:top w:val="nil"/>
              <w:left w:val="nil"/>
              <w:bottom w:val="nil"/>
              <w:right w:val="nil"/>
            </w:tcBorders>
            <w:vAlign w:val="center"/>
          </w:tcPr>
          <w:p w14:paraId="1D05F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0986DB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38730879" w14:textId="77777777">
        <w:trPr>
          <w:cantSplit/>
          <w:trHeight w:val="326"/>
          <w:jc w:val="center"/>
        </w:trPr>
        <w:tc>
          <w:tcPr>
            <w:tcW w:w="4390" w:type="dxa"/>
            <w:tcBorders>
              <w:top w:val="nil"/>
              <w:left w:val="nil"/>
              <w:bottom w:val="nil"/>
              <w:right w:val="nil"/>
            </w:tcBorders>
            <w:vAlign w:val="center"/>
          </w:tcPr>
          <w:p w14:paraId="08AA99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13BF99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223201C3" w14:textId="77777777">
        <w:trPr>
          <w:cantSplit/>
          <w:trHeight w:val="342"/>
          <w:jc w:val="center"/>
        </w:trPr>
        <w:tc>
          <w:tcPr>
            <w:tcW w:w="4390" w:type="dxa"/>
            <w:tcBorders>
              <w:top w:val="nil"/>
              <w:left w:val="nil"/>
              <w:bottom w:val="single" w:sz="12" w:space="0" w:color="000000"/>
              <w:right w:val="nil"/>
            </w:tcBorders>
            <w:vAlign w:val="center"/>
          </w:tcPr>
          <w:p w14:paraId="3018D7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44162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737A4D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360512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BA2521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1D344E0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674F06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A1CD7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550CA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D421A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4D6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75EE98"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46D695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ADA9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6A41A9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7406E9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482FE0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6FD483F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239BFF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43B6F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0DCDF45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3123C80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44BDC29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3EDF9D2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C63A9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F0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lastRenderedPageBreak/>
              <w:t>Q7_3</w:t>
            </w:r>
          </w:p>
        </w:tc>
        <w:tc>
          <w:tcPr>
            <w:tcW w:w="0" w:type="auto"/>
            <w:tcBorders>
              <w:top w:val="nil"/>
              <w:left w:val="nil"/>
              <w:bottom w:val="nil"/>
              <w:right w:val="nil"/>
            </w:tcBorders>
            <w:tcMar>
              <w:top w:w="-1" w:type="dxa"/>
              <w:left w:w="-1" w:type="dxa"/>
              <w:bottom w:w="-1" w:type="dxa"/>
              <w:right w:w="-1" w:type="dxa"/>
            </w:tcMar>
            <w:vAlign w:val="center"/>
          </w:tcPr>
          <w:p w14:paraId="3C895AE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7C70E7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126EBB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3D1AE8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1E02D4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CC1E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4F870C5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0AF033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3BFA584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0E1A32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44A9BE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137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771D55E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3B763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407664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190089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54A85C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EF3A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7AB168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02FA56A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8DAAC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580BB8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6AE944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CC70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16BB4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2BEC06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18BD7D8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8853F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7B8A70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E6EC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62FB38C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5ABE9DC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5DB8F4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1B93435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7247BC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FCD6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66B4C99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40A68C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50636B7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111F21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2B7C5AF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15A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5C50FF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3402FA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7159BD0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1AB4F73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73B7479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962E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4F134CB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327225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600CDBC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68572F1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86553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4381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0DD24D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5805FC8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8B6CF2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1835861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4C72B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37C1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701953B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16AE2A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32AD4D6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3D7F01B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6A1A64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1628D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1229584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572D9B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0BC1BD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295DB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0ECF93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7C400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66B02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0F37C39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69586EB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009C7F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0F434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62A7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7FBCEA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0D70BB1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38C5DC5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19A2A2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0BA1C2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CD2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D2AF5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649E9A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33A32C9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15F24DD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0815B4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BBA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57E3DE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5BDE53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7B461FC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4C3E2B7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431B0C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CA62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4633AA7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472073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42FBB3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D153EE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5E735E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B3740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227842F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AAE87C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149C9D8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5754775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332BE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F7BE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5D5E731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0B7320C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ABDA58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3883CB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56113A9E"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36020A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74CCBA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2E33D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F888F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502C37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6E02947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740593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14E96DC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5A24D4E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5207FC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7784E5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0CE2E11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62D584"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A62EB3"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5A6BB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76AB5B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0E246"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2C5591D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69C99D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539515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1A227"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3916809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2F510E0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1803C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55E8D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0FD18A3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74B1511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79C814EC"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3FAF9B5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4EE6F04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0C9CE349"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0BD7A4C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6AD981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35377A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2C5136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42B35B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75D7E6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769FA175" w14:textId="77777777" w:rsidR="000B1CCE" w:rsidRDefault="00000000">
      <w:pPr>
        <w:keepNext/>
        <w:spacing w:before="12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6501F153"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1693E5AE" w14:textId="77777777" w:rsidR="000B1CCE" w:rsidRDefault="00000000">
      <w:pPr>
        <w:spacing w:line="360" w:lineRule="auto"/>
        <w:ind w:firstLineChars="200" w:firstLine="480"/>
      </w:pPr>
      <w:r>
        <w:rPr>
          <w:rFonts w:ascii="Times New Roman" w:eastAsia="宋体" w:hAnsi="Times New Roman" w:cs="Times New Roman"/>
          <w:kern w:val="0"/>
          <w:sz w:val="24"/>
        </w:rPr>
        <w:lastRenderedPageBreak/>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42DF0699"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010CF2E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07EE071"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CE46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6BEA6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0BCB4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825189"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19DF4900"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E7529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6FC8635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7597B4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5806D9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7FAB8C43"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600343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70DF995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4D0B62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48DDCA6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46228B3E"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330F04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377EE3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19E7D4B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6DD9586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58C5B9E7"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3644992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0B50A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4F38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464178D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79BF0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3DA2C09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27C358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0C279CD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E5400F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B9AD1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C3321C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A3ACE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2C08A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FB328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62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02F472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76CA6A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4E57F73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4606082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22FA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53DF826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4099FC9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6E7CD50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231579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745F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3B813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67D44A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5630A42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06D52CE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CFEE3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08F349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85AFED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55F082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3808E9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8B7B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241CD5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0144D5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48AD36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144E3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CAF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20DA8E8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7B997CD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4A575B1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37EE55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59208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5141F0A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69BAEC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431281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2B22893A"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4D5F41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5A66F1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E4D9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902CA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66F73A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58874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4EE7993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3CCFC59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ECE8F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B1D80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B9099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B0B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77F484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DBFD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7AB75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67B473A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10C530F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5D1B49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8BAC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5B7570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436754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E0F54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0A3ED52F"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7AE694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AD6B32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9A424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49061AC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2785341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3C2BD27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730F52E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35C19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1D8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FB4E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3E30B8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C57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5EDF5B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39D868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66569A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29A68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4EE76A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1EDB83A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5526B1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666C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2B4ADF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72662F0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197739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7B12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346FDB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242D8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5BC33E89"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0DE8AF4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3298AF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267E71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6C42E68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5D93DF2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0CE4C7E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100ADC4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D53EC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D761E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D347B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73E45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3BFE0C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B17C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32FCDD3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29BE7F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0C372E7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1492C7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270E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21679FA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1F65B4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1BC94C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36BB5B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14FD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735FE7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4130E8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0C5512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1ACBA1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BDD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299073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5A331E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00BE2C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027605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BD0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276A3E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1E15C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2DA733A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BD63AED"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04AC57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62B8771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9BC9A7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337E35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49F530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w:t>
      </w:r>
      <w:r>
        <w:rPr>
          <w:rFonts w:ascii="Times New Roman" w:eastAsia="宋体" w:hAnsi="Times New Roman" w:cs="Times New Roman"/>
          <w:kern w:val="0"/>
          <w:sz w:val="24"/>
        </w:rPr>
        <w:lastRenderedPageBreak/>
        <w:t>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5F408DC7"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A8BF684"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67CFD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3403853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32F504B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19F46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C11AE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331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6C7C9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9CD625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C312C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2B574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64BE2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0831CE8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70E7F9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1A3A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0C2F28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081FC5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45DE01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71D8AB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C0E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D5E7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71CE6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1AB6CC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2230D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3917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49386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140E2D2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7EE7EB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25BB14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4370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0140C0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2C358A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1D14101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0C8E41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89EC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6C90D6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0B7E314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033468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32A0DBD0"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486DBE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353193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49E12A2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5E1A50F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601D8A5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6851D6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269BA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3DA49E7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044CEB4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5F2C57"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34F6E6"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F0A19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749F2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0AB84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52E3F9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A574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5A226AB9"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75651CB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430A71D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02BE202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1DF27A50"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0EE8212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7A4C0092"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0BEDE7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45697DF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7B12DE9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7A4B03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2ADB37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36F60B7A" w14:textId="77777777" w:rsidR="000B1CCE" w:rsidRDefault="00000000">
      <w:pPr>
        <w:keepNext/>
        <w:spacing w:before="12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18231B8B"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15E45D4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74DAD54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57B1B38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46A3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DAC79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2709D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19E77C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233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21C7BBBE"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67A38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5E9620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9A33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B2E4C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67FFE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32FEA9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72B4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0B8165B0"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7E26D6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351AEF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6B5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0C9A426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14F2790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32B457EF"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656E13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4AE30D7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388D0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4B9E289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0D880E9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37A543C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5A25D9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790C29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6299E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44C0B9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0A9443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68A9BA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526F60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w:t>
      </w:r>
      <w:r>
        <w:rPr>
          <w:rFonts w:ascii="Times New Roman" w:eastAsia="宋体" w:hAnsi="Times New Roman" w:cs="Times New Roman"/>
          <w:sz w:val="24"/>
        </w:rPr>
        <w:lastRenderedPageBreak/>
        <w:t>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15CB552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348FA3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058C8E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7C447F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高阶能力培育需要突破的主要问题</w:t>
      </w:r>
    </w:p>
    <w:p w14:paraId="6AD65C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7F8501AE"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B73FEB"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1BFC27"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A53F95"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89F51E4"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C9E6626"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3C195E5"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44A06714"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B3F7181"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31579AF"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19EA10F5"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43994D83"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378318E0"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BF256AC"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1AF40B95"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F6D19CA"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44C1CE8D"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3B5E0F95"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2288A88A"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6FB66EB3"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5A1DC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31879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1CF780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5DFC1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2A0122F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08A7E9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2CC7D9C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09FAD6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76F754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096784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6351E7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5827454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75991C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0DDF33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46D5E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183B7F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3D9121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w:t>
      </w:r>
      <w:r>
        <w:rPr>
          <w:rFonts w:ascii="Times New Roman" w:eastAsia="宋体" w:hAnsi="Times New Roman" w:cs="Times New Roman"/>
          <w:kern w:val="0"/>
          <w:sz w:val="24"/>
        </w:rPr>
        <w:lastRenderedPageBreak/>
        <w:t>境中分别观察。</w:t>
      </w:r>
    </w:p>
    <w:p w14:paraId="03CD25C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702E2A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361C16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6E8658D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330A4C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2D1E01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733C1C9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4228C1F"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1C6680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35945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32D44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143B58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43AF1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F9F8B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16B6D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7FF110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3.</w:t>
      </w:r>
      <w:r>
        <w:rPr>
          <w:rFonts w:ascii="Times New Roman" w:eastAsia="黑体" w:hAnsi="Times New Roman" w:cs="Times New Roman"/>
          <w:b/>
          <w:sz w:val="24"/>
        </w:rPr>
        <w:t>指向高阶能力发展的学习模型</w:t>
      </w:r>
    </w:p>
    <w:p w14:paraId="5E090718"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1B62053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1A6E5B6F" w14:textId="77777777" w:rsidR="000B1CCE" w:rsidRDefault="000B1CCE">
      <w:pPr>
        <w:adjustRightInd w:val="0"/>
        <w:snapToGrid w:val="0"/>
        <w:spacing w:line="360" w:lineRule="auto"/>
        <w:ind w:firstLineChars="200" w:firstLine="480"/>
        <w:rPr>
          <w:rFonts w:ascii="宋体" w:eastAsia="宋体" w:hAnsi="宋体" w:cs="宋体"/>
          <w:sz w:val="24"/>
        </w:rPr>
      </w:pPr>
    </w:p>
    <w:p w14:paraId="16B666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6E73DC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6DCEA9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2C395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2FFB6A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w:t>
      </w:r>
      <w:r>
        <w:rPr>
          <w:rFonts w:ascii="Times New Roman" w:eastAsia="宋体" w:hAnsi="Times New Roman" w:cs="Times New Roman"/>
          <w:sz w:val="24"/>
        </w:rPr>
        <w:lastRenderedPageBreak/>
        <w:t>或成果。</w:t>
      </w:r>
    </w:p>
    <w:p w14:paraId="5B414B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72E92C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7669AB9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4EE79864"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25CE0F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6D3616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4F1BDDA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7B13BE2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3F7331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4137C5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138E2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50719BE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317760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4BC6E8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28CDDA82"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7C447E12"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6AA5785D" w14:textId="77777777" w:rsidR="000B1CCE" w:rsidRDefault="000B1CCE">
      <w:pPr>
        <w:adjustRightInd w:val="0"/>
        <w:snapToGrid w:val="0"/>
        <w:spacing w:line="360" w:lineRule="auto"/>
        <w:jc w:val="center"/>
        <w:rPr>
          <w:rFonts w:ascii="宋体" w:eastAsia="宋体" w:hAnsi="宋体" w:cs="宋体"/>
          <w:b/>
          <w:bCs/>
          <w:szCs w:val="21"/>
        </w:rPr>
      </w:pPr>
    </w:p>
    <w:p w14:paraId="690783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60468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0DD976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6A9C1E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025CF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4364720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7F775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20399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5D6C93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29614A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46242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898D6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3A72A1D2" w14:textId="77777777" w:rsidR="000B1CCE" w:rsidRDefault="000B1CCE">
      <w:pPr>
        <w:adjustRightInd w:val="0"/>
        <w:snapToGrid w:val="0"/>
        <w:spacing w:line="360" w:lineRule="auto"/>
        <w:ind w:firstLineChars="200" w:firstLine="480"/>
        <w:rPr>
          <w:rFonts w:ascii="宋体" w:eastAsia="宋体" w:hAnsi="宋体" w:cs="宋体"/>
          <w:sz w:val="24"/>
        </w:rPr>
      </w:pPr>
    </w:p>
    <w:p w14:paraId="5AB6BF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2FE1F1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09F7EB6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070F3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6D7B8A4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3773D8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7255B2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5CB066E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766879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211A09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7EEE71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1C83E8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0B75A3C8"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（五）学科课堂中的高阶能力培育实践案例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模型建构完成后，课题组在语文、英语、物理等学科开展了多轮研究课实践。为呈现模型怎样转化为具体的课堂教学，本节选取四个学科案例进行分析。案例选择兼顾学科、学段和学习样态的差异，物理《光的折射》侧重实验探究与模型建构，英语写作侧重论证思维的进阶，语文状物写作侧重真实任务中的观察与表达，语文《秋天的怀念》侧重协同探究中的文本理解与生命感悟。四个案例均以五环学习模型组织学生学习，以诊断发现、干预设计、实施推进和评估改进组织教师调节，并以五见为线索收集学习证据。</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参照学科实践学习分析框架的写法（邱惠芬，2024），每个案例从学情诊断与目标确立、五环实施过程、学习证据与反思三个方面展开，重点回答三个问题，一是七维高阶能力目标怎样转化为本课可观察的学习表现，二是学生的思维过程和社会情感表现怎样在课堂中外显，三是教师怎样依据这些证据调整教学。四个案例的基本情况见表3-31。</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表3-31  四个学科案例的基本情况</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709"/>
        <w:gridCol w:w="1597"/>
        <w:gridCol w:w="709"/>
        <w:gridCol w:w="887"/>
        <w:gridCol w:w="2307"/>
        <w:gridCol w:w="2307"/>
      </w:tblGrid>
      <w:tr w:rsidR="000B1CCE" w14:paraId="7531D65E" w14:textId="77777777">
        <w:trPr>
          <w:tblHeader/>
          <w:jc w:val="center"/>
        </w:trPr>
        <w:tc>
          <w:tcPr>
            <w:tcW w:w="709"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案例</w:t>
            </w:r>
          </w:p>
        </w:tc>
        <w:tc>
          <w:tcPr>
            <w:tcW w:w="159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学科与课题</w:t>
            </w:r>
          </w:p>
        </w:tc>
        <w:tc>
          <w:tcPr>
            <w:tcW w:w="7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执教教师</w:t>
            </w:r>
          </w:p>
        </w:tc>
        <w:tc>
          <w:tcPr>
            <w:tcW w:w="88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主样态</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能力重点</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关键证据</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案例一</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物理《光的折射》第一课时</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姜惠轶</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分析、评价、创造；合作共情、情绪调节</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前测、课堂实录、实验报告、光路图、课堂智能反馈报告、分层作业</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案例二</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英语中考写作（九年级）</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李静</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证据支撑的论证性实践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草稿至终稿、教师批注、同伴互评量表、自我评估清单</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案例三</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语文状物描写写作</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王尤迪</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真实情境的任务性实践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AI图像对比、1.0至4.0版本链、迁移习作、互评表</w:t>
            </w:r>
          </w:p>
        </w:tc>
      </w:tr>
      <w:tr w:rsidR="000B1CCE" w14:paraId="3AC77B2B" w14:textId="77777777">
        <w:trPr>
          <w:jc w:val="center"/>
        </w:trPr>
        <w:tc>
          <w:tcPr>
            <w:tcW w:w="709"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案例四</w:t>
            </w:r>
          </w:p>
        </w:tc>
        <w:tc>
          <w:tcPr>
            <w:tcW w:w="159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语文《秋天的怀念》第二课时（七年级）</w:t>
            </w:r>
          </w:p>
        </w:tc>
        <w:tc>
          <w:tcPr>
            <w:tcW w:w="7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董丹</w:t>
            </w:r>
          </w:p>
        </w:tc>
        <w:tc>
          <w:tcPr>
            <w:tcW w:w="88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分析、评价、创造；情绪调节、合作共情、责任担当、包容创新</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学案、短笺迭代记录单、答辩记录表、跨文本迁移阅读记录卡</w:t>
            </w:r>
          </w:p>
        </w:tc>
      </w:tr>
    </w:tbl>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1.物理《光的折射》，在实验与仿真中建构光路模型</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课前，姜惠轶老师通过预习案和前测诊断学生起点。35名学生不知道叉鱼时应瞄准什么位置，占83.3%；28名学生认为折射角可能等于入射角。课堂智能反馈报告对学生回答的结构分类显示，83%的回答属于单点结构，4%达到关联结构，尚无回答达到拓展抽象结构。这说明学生学习光的反射之后能够完成基础操作，但思维多停留在记忆、理解和应用层面，类比分析、循证归纳与模型建构的能力尚未形成。</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分为基础与高阶两级（表3-32）。基础目标对应三层六阶中的学习理解层，要求学生识别光的折射中的各个要素、规范操作并类比反射定律写出初步结论；高阶目标对应应用实践与迁移创新层，要求学生依据数据验证或修正猜想，运用光路可逆模型绘制叉鱼光路图，并把折射规律迁移到潭清疑水浅、繁星闪烁等新情境。高阶目标同时包含社会情感要求，即在模型建构和科普解释中包容不同观点，把物理知识转化为服务他人的行动。每一项目标都对应可见的评价依据，师生在课前就能明确学习要去哪里、做到什么程度。</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表3-32  《光的折射》教学目标与评价依据</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946"/>
        <w:gridCol w:w="3076"/>
        <w:gridCol w:w="3076"/>
        <w:gridCol w:w="1419"/>
      </w:tblGrid>
      <w:tr w:rsidR="000B1CCE" w14:paraId="7531D65E" w14:textId="77777777">
        <w:trPr>
          <w:tblHeader/>
          <w:jc w:val="center"/>
        </w:trPr>
        <w:tc>
          <w:tcPr>
            <w:tcW w:w="946"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目标层级</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可观测的学习目标</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评价依据</w:t>
            </w:r>
          </w:p>
        </w:tc>
        <w:tc>
          <w:tcPr>
            <w:tcW w:w="141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能力指向</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基础目标</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说出光的折射定义并识别相关光线与角，规范操作光具盘并如实记录多组数据，类比反射定律写出至少三条初步结论</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光路图描画正确，数据记录完整，类比推理栏写出三线共面、两线分居等结论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理解、应用</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高阶目标一</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基于反射定律提出折射规律的猜想，在多组数据中寻找证据验证或修正猜想，并解释异常数据</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猜想与假设栏有类比推理，结论至少三条且包含一条拓展结论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高阶目标二</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运用光路可逆模型绘制叉鱼光路图，标出虚像位置并解释瞄准下方的原因</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虚像位置标注正确，能口头解释人眼逆着折射光看到的像在反向延长线上</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分析、创造</w:t>
            </w:r>
          </w:p>
        </w:tc>
      </w:tr>
      <w:tr w:rsidR="000B1CCE" w14:paraId="3AC77B2B" w14:textId="77777777">
        <w:trPr>
          <w:jc w:val="center"/>
        </w:trPr>
        <w:tc>
          <w:tcPr>
            <w:tcW w:w="946"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高阶目标三</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把折射规律迁移到新情境，在科普解释中包容不同观点并提出服务他人的建议</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科普解释准确运用折射原理，提出不凭肉眼判断水深等具体建议</w:t>
            </w:r>
          </w:p>
        </w:tc>
        <w:tc>
          <w:tcPr>
            <w:tcW w:w="141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创造、合作共情、责任担当</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依据三层五环框架，本课把五环学习过程与学习理解、应用实践、迁移创新三个能力层级对应起来，每一环节同时呈现教师的调节行为与学生的学习行为，课堂活动与理论框架的对应关系见图3-11。</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328000" cy="6495781"/>
            <wp:docPr id="58" name="Picture 58"/>
            <wp:cNvGraphicFramePr>
              <a:graphicFrameLocks noChangeAspect="1"/>
            </wp:cNvGraphicFramePr>
            <a:graphic>
              <a:graphicData uri="http://schemas.openxmlformats.org/drawingml/2006/picture">
                <pic:pic>
                  <pic:nvPicPr>
                    <pic:cNvPr id="0" name="flow_jhy.png"/>
                    <pic:cNvPicPr/>
                  </pic:nvPicPr>
                  <pic:blipFill>
                    <a:blip r:embed="rId39"/>
                    <a:stretch>
                      <a:fillRect/>
                    </a:stretch>
                  </pic:blipFill>
                  <pic:spPr>
                    <a:xfrm>
                      <a:off x="0" y="0"/>
                      <a:ext cx="5328000" cy="6495781"/>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图3-11  《光的折射》五环学习与教师调节流程图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以叉鱼游戏开场。学生借助吸管瞄准鱼缸中的鱼，再用木条模拟鱼叉，结果明明瞄准了却没有叉到。预期与结果的冲突使学生开始怀疑眼睛看到的位置是否等于物体的真实位置，学习问题由此从学生自己的困惑中生成。教师随后引导学生观察浸入水中的木条，并连续追问木条是否真的折断、怎样证明它没有折断、为什么看起来折断、光在什么情况下会改变传播方向。四个追问依次推动学生区分现象与本质、设计验证方法、作出因果解释并归纳条件。学生提出抽出来看、从侧面看等验证办法，表明其已经具备用证据支撑判断的意识。</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教师继续追问光垂直射入水面是否偏折、两个方向的偏折是否相同。学生的回答呈现出明显分层，有的学生表示不确定，有的学生以侧面看木条仍是直的为证据，推断垂直入射时不偏折，还有学生由反射中的光路可逆类比提出折射也可能可逆。教师把不确定和没观察过的回答转化为探究任务，把证据迁移和类比推理的回答作为全班讨论的范例，由此形成本课的三个核心问题，即光在什么条件下偏折、偏折方向与介质有什么关系、光路是否可逆。这一过程对应教学模型中的诊断发现，教师通过学生的回答看见其认知起点和思维层次，并据此设计后续的分层探究任务。课堂智能反馈报告显示，该环节学生抬头率在85%以上，参与度约为70%。</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采用实体实验与仿真实验相结合的方式（图3-12）。学生分组用光具盘探究空气射入水或玻璃、水或玻璃射入空气四种路径。实验报告中的入射角经过多轮修订，0°用于检验垂直入射，15°、50°和75°用于比较角度变化的规律，水射入空气的46°和玻璃射入空气的40°接近全反射临界角，空气射入水的折射角与水射入空气的入射角相互对应，可为光路可逆的猜想提供定量证据。由于光具盘分度值为5°，水面晃动等因素也影响读数，全反射现象和水与玻璃的折射差异在实体实验中难以看清。教师因此引入PhET仿真，放大光在不同介质间传播时的角度差异，并用光强探测功能呈现折射光消失、反射光强等于入射光强的过程，学生据此建立全反射概念。仿真实验补足了实体实验的证据缺口，教学模型中的干预设计在这里表现为针对证据不足的环节及时提供技术支架。</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269521"/>
            <wp:docPr id="45" name="Picture 45"/>
            <wp:cNvGraphicFramePr>
              <a:graphicFrameLocks noChangeAspect="1"/>
            </wp:cNvGraphicFramePr>
            <a:graphic>
              <a:graphicData uri="http://schemas.openxmlformats.org/drawingml/2006/picture">
                <pic:pic>
                  <pic:nvPicPr>
                    <pic:cNvPr id="0" name="jhy_exp.jpg"/>
                    <pic:cNvPicPr/>
                  </pic:nvPicPr>
                  <pic:blipFill>
                    <a:blip r:embed="rId26"/>
                    <a:stretch>
                      <a:fillRect/>
                    </a:stretch>
                  </pic:blipFill>
                  <pic:spPr>
                    <a:xfrm>
                      <a:off x="0" y="0"/>
                      <a:ext cx="5040000" cy="126952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图3-12  学生分组实验中的光具盘（左）与PhET仿真实验中的全反射探测（右）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展学的核心任务是光路图投屏答辩。学生调用实验数据画出人眼看到鱼的光路图，确定虚像的位置，先讲作图思路再讲结论，其他小组质疑和互评（图3-13）。有的学生画出正确光路，并说明人眼逆着折射光看，虚像在实物上方；有的学生把光的传播方向画反，经同伴指出光应从鱼发出到达人眼后改正；还有学生没有画法线，同伴追问所标的角以何为参照后，学生补画法线并重新标角。教师在这一环节退居组织者和证据捕捉者的位置，把纠错交给同伴互评，同时记录学生在互评中的措辞和被质疑时的回应。课后访谈中，一名作图出错的学生表示开始有点不好意思，后来觉得同学说得对，改完就清楚了，这为合作共情与情绪调节的发展提供了过程证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240000" cy="2138507"/>
            <wp:docPr id="46" name="Picture 46"/>
            <wp:cNvGraphicFramePr>
              <a:graphicFrameLocks noChangeAspect="1"/>
            </wp:cNvGraphicFramePr>
            <a:graphic>
              <a:graphicData uri="http://schemas.openxmlformats.org/drawingml/2006/picture">
                <pic:pic>
                  <pic:nvPicPr>
                    <pic:cNvPr id="0" name="jhy_lightpath.jpg"/>
                    <pic:cNvPicPr/>
                  </pic:nvPicPr>
                  <pic:blipFill>
                    <a:blip r:embed="rId27"/>
                    <a:stretch>
                      <a:fillRect/>
                    </a:stretch>
                  </pic:blipFill>
                  <pic:spPr>
                    <a:xfrm>
                      <a:off x="0" y="0"/>
                      <a:ext cx="3240000" cy="213850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图3-13  学生构建的叉鱼光路图</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与反思迁移主要通过分层作业完成。课堂智能反馈报告提示本课缺少创造性问题，教师据此借助DeepSeek生成分层作业初稿，经审核修改后形成《星光与池水的奥秘》，题目按单点、多点、关联和拓展抽象结构分层设计。教师通过批注把典型错误转化为诊断性反馈，例如有学生认为传播速度快的介质中的角一定更大，教师批注垂直入射时是否还成立，学生据此修正结论；有学生设计在泳池底部安装红外传感器，教师追问传感器如何传递信息、救生员观察哪里，引导其由堆砌技术转向建立物理模型。在拓展迁移题中，有学生提出在泳池壁安装激光笔，利用光路可逆从岸上逆着折射光定位溺水者（图3-14）；优秀学生还能指出泳池中水与空气的界面是单次偏折，大气层是连续偏折，从介质是否均匀的角度解释繁星闪烁与池水变浅的区别。</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354337"/>
            <wp:docPr id="47" name="Picture 47"/>
            <wp:cNvGraphicFramePr>
              <a:graphicFrameLocks noChangeAspect="1"/>
            </wp:cNvGraphicFramePr>
            <a:graphic>
              <a:graphicData uri="http://schemas.openxmlformats.org/drawingml/2006/picture">
                <pic:pic>
                  <pic:nvPicPr>
                    <pic:cNvPr id="0" name="jhy_hw.jpg"/>
                    <pic:cNvPicPr/>
                  </pic:nvPicPr>
                  <pic:blipFill>
                    <a:blip r:embed="rId28"/>
                    <a:stretch>
                      <a:fillRect/>
                    </a:stretch>
                  </pic:blipFill>
                  <pic:spPr>
                    <a:xfrm>
                      <a:off x="0" y="0"/>
                      <a:ext cx="5220000" cy="135433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图3-14  学生分层作业中拓展迁移部分的作答</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链由前测、课堂实录、实验报告、光路图修订、课堂智能反馈报告和分层作业构成，覆盖目标可见、思维可见、证据可见、进步可见和能力可见五个方面。学生从叉鱼失败的困惑出发，经历提出问题、分析原因、设计验证、提出假设和类比推理，最终能够在新情境中调用光路可逆模型，体现了由学习理解到迁移创新的进阶。证据同时揭示了不足。课堂智能反馈报告显示迁移应用环节用时为0秒，评价型和创造型提问的比例较低，平均举手率仅为13%，理答方式中肯定和激励各占10%。教师据此提出，后续需要在课内预留迁移时间，增加分析型和评价型问题，设置轮值发言人和匿名投票，并在小组探究中加入过程性评价，使更多学生的思维过程能够被看见。</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2.英语写作，以三级反馈推动论证思维进阶</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（1）任务分析与目标确立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以2026年上海中考英语作文为载体。题目设定的情境是，英国朋友Jim制定了每月读5本中文小说的计划，一个月后感到难以执行，来信询问自己是否足够好、是否应当放弃。学生需要回复邮件，回应这两个问题，并提出两条合理的建议及理由。任务没有唯一答案，学生需要先共情，再辩证分析Jim的计划，提出个性化建议并论证其合理性，写作过程同时涉及分析、评价和创造。李静老师在前期教学中发现，学生习惯背诵范文和套用句式，作文能写得有条理，但论证常常断裂，观点也缺乏新意。由于思维过程隐藏在成稿之后，教师很难判断问题出在观点生成、论据选择还是论证逻辑上。</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设定为由有条理到有新意的思维进阶，并在动笔前公开英语写作高阶思维分层评价量表（表3-33）。量表从内容和语言两个方面设置优秀、良好、中等和待提高四个等级，内容维度依次对应构建独特观点、提出较有新意的观点、提出基本观点和无法提出明确观点。每个等级都配有本题情境下的建议示例，学生在写作前就能看到什么样的思维才算优秀，这对应五环中的目标引领和五见中的目标可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表3-33  英语写作高阶思维分层评价量表（节选）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821"/>
        <w:gridCol w:w="2668"/>
        <w:gridCol w:w="2155"/>
        <w:gridCol w:w="1436"/>
        <w:gridCol w:w="1436"/>
      </w:tblGrid>
      <w:tr w:rsidR="000B1CCE" w14:paraId="7531D65E" w14:textId="77777777">
        <w:trPr>
          <w:tblHeader/>
          <w:jc w:val="center"/>
        </w:trPr>
        <w:tc>
          <w:tcPr>
            <w:tcW w:w="821"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维度</w:t>
            </w:r>
          </w:p>
        </w:tc>
        <w:tc>
          <w:tcPr>
            <w:tcW w:w="266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优秀</w:t>
            </w:r>
          </w:p>
        </w:tc>
        <w:tc>
          <w:tcPr>
            <w:tcW w:w="21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良好</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中等</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待提高</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内容观点</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结合写作语境构建独特观点</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提出较有新意的观点</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提出基本观点但缺乏新意</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无法提出明确观点</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语言适切性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不符合语境</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语言准确性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语法正确</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错误较少</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错误较多</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错误频发</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语言丰富性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表达新颖</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表达较流畅</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表达较生硬</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表达混乱</w:t>
            </w:r>
          </w:p>
        </w:tc>
      </w:tr>
      <w:tr w:rsidR="000B1CCE" w14:paraId="3AC77B2B" w14:textId="77777777">
        <w:trPr>
          <w:jc w:val="center"/>
        </w:trPr>
        <w:tc>
          <w:tcPr>
            <w:tcW w:w="821"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建议示例</w:t>
            </w:r>
          </w:p>
        </w:tc>
        <w:tc>
          <w:tcPr>
            <w:tcW w:w="266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每周确定一个中国文化主题，围绕同一主题听一首歌、读一篇短文、看一段视频</w:t>
            </w:r>
          </w:p>
        </w:tc>
        <w:tc>
          <w:tcPr>
            <w:tcW w:w="21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先看影视改编再读原著，借助已知情节猜测生词</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把每月5本减少为1至3本短篇</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熬夜硬读，或惩罚自己完成阅读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依据三层五环框架，本课把五环学习过程与学习理解、应用实践、迁移创新三个能力层级对应起来，每一环节同时呈现教师的调节行为与学生的学习行为，课堂活动与理论框架的对应关系见图3-15。</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328000" cy="6495781"/>
            <wp:docPr id="59" name="Picture 59"/>
            <wp:cNvGraphicFramePr>
              <a:graphicFrameLocks noChangeAspect="1"/>
            </wp:cNvGraphicFramePr>
            <a:graphic>
              <a:graphicData uri="http://schemas.openxmlformats.org/drawingml/2006/picture">
                <pic:pic>
                  <pic:nvPicPr>
                    <pic:cNvPr id="0" name="flow_lj.png"/>
                    <pic:cNvPicPr/>
                  </pic:nvPicPr>
                  <pic:blipFill>
                    <a:blip r:embed="rId40"/>
                    <a:stretch>
                      <a:fillRect/>
                    </a:stretch>
                  </pic:blipFill>
                  <pic:spPr>
                    <a:xfrm>
                      <a:off x="0" y="0"/>
                      <a:ext cx="5328000" cy="6495781"/>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图3-15  英语写作五环学习与教师调节流程图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（2）过程性作品与三级反馈</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改变一稿定分的做法，系统收集学生的草稿、一稿、二稿、三稿和终稿，建立思维过程档案。以一名学生的草稿为例，其核心观点是不应放弃，并给出两条建议，一是把大任务分解为小目标，二是用新计划替代旧计划。教师从草稿中看到，第二条建议与第一条实质重复，只是表达方式不同，两条建议也都缺少说明其合理性的理由。教师在草稿上标注两个论证属于同一维度，并提示该生的核心观点缺少论证（图3-16）。这一诊断对应教学模型中的诊断发现，教师依据过程作品定位学生论证链断裂的具体位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914425"/>
            <wp:docPr id="48" name="Picture 48"/>
            <wp:cNvGraphicFramePr>
              <a:graphicFrameLocks noChangeAspect="1"/>
            </wp:cNvGraphicFramePr>
            <a:graphic>
              <a:graphicData uri="http://schemas.openxmlformats.org/drawingml/2006/picture">
                <pic:pic>
                  <pic:nvPicPr>
                    <pic:cNvPr id="0" name="lj_draft.jpg"/>
                    <pic:cNvPicPr/>
                  </pic:nvPicPr>
                  <pic:blipFill>
                    <a:blip r:embed="rId29"/>
                    <a:stretch>
                      <a:fillRect/>
                    </a:stretch>
                  </pic:blipFill>
                  <pic:spPr>
                    <a:xfrm>
                      <a:off x="0" y="0"/>
                      <a:ext cx="5220000" cy="1914425"/>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图3-16  学生写作草稿（左）与一稿（右）中的教师批注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教师实施教师、同伴和自我三级反馈。第一级为教师反馈，聚焦一稿，批注与评价量表的维度直接对应，重点提示补充支持论点的依据、从具体做法中提炼上位原则、找出论证链中断的位置。该生一稿中的第二条建议较有新意，但只有具体做法而缺少概括性的建议，教师据此提示其补全论证。第二级为同伴互评，聚焦二稿。同伴依据结构化互评量表逐项判断对方的核心观点是否明确、论据是否充分、是否以建议加理由的结构展开论证、语言是否正确、表达是否连贯，并以勾画和标注呈现对方的思维结构（图3-17）。审视他人论证的过程，也促使互评双方反思自己的论证策略。第三级为自我评估，聚焦三稿。学生对照分层量表判断自己所处的层级，书面写下存在的问题和改进办法，学习者由被动接受反馈转向主动优化自己的思维。</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680000" cy="1750129"/>
            <wp:docPr id="49" name="Picture 49"/>
            <wp:cNvGraphicFramePr>
              <a:graphicFrameLocks noChangeAspect="1"/>
            </wp:cNvGraphicFramePr>
            <a:graphic>
              <a:graphicData uri="http://schemas.openxmlformats.org/drawingml/2006/picture">
                <pic:pic>
                  <pic:nvPicPr>
                    <pic:cNvPr id="0" name="lj_peer.jpg"/>
                    <pic:cNvPicPr/>
                  </pic:nvPicPr>
                  <pic:blipFill>
                    <a:blip r:embed="rId30"/>
                    <a:stretch>
                      <a:fillRect/>
                    </a:stretch>
                  </pic:blipFill>
                  <pic:spPr>
                    <a:xfrm>
                      <a:off x="0" y="0"/>
                      <a:ext cx="4680000" cy="175012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图3-17  英语写作同伴互评量表</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（3）思维进阶的证据与反思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对比一稿、二稿、三稿和终稿的变化可以看到，绝大多数学生能够构建观点、论据和理由完整的论证链；在批判性思维方面，学生能够辩证回应Jim是否应当放弃计划这一开放问题，立场有据；在创造性思维方面，部分学生跳出常规思路，结合对文化理解、学习方法或自我管理的认识，提出情境化、可操作并具有个人意义的建议。终稿完成后，学生再次自评，判断自己是否实现了进阶，并思考这种思维能力还可以迁移到哪些题型（图3-18）。</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520881"/>
            <wp:docPr id="50" name="Picture 50"/>
            <wp:cNvGraphicFramePr>
              <a:graphicFrameLocks noChangeAspect="1"/>
            </wp:cNvGraphicFramePr>
            <a:graphic>
              <a:graphicData uri="http://schemas.openxmlformats.org/drawingml/2006/picture">
                <pic:pic>
                  <pic:nvPicPr>
                    <pic:cNvPr id="0" name="lj_self.jpg"/>
                    <pic:cNvPicPr/>
                  </pic:nvPicPr>
                  <pic:blipFill>
                    <a:blip r:embed="rId31"/>
                    <a:stretch>
                      <a:fillRect/>
                    </a:stretch>
                  </pic:blipFill>
                  <pic:spPr>
                    <a:xfrm>
                      <a:off x="0" y="0"/>
                      <a:ext cx="5220000" cy="152088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图3-18  学生自我评估清单（左）与终稿（右）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评价标准前置对应目标引领与目标可见，过程作品档案对应探究展学与思维可见，三级反馈对应反馈迭代与进步可见，终稿自评与迁移思考对应反思迁移与能力可见；教师则在草稿诊断、批注干预、组织互评和评估终稿中完成四步调节。本案例的不足在于，进阶描述主要来自教师对作品的整体判断，尚缺少按量表等级统计的全班分布，后续需要系统记录各稿次的等级变化。</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3.语文状物写作，借AI图像让描写思维可见</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状物描写是初中写作的常见难点。王尤迪老师通过前测草稿发现，学生的问题集中在四个方面，一是描写笼统，难以用文字构建具体画面；二是物与事、情割裂，只能静态描摹外形；三是回避物件的磨损痕迹，认识较为片面；四是缺少取舍意识，容易堆砌与主旨无关的细节。与此同时，学生还表现出固守个人视角、抵触修改草稿、照搬AI生成内容等社会情感方面的困难。教师据此把本课定位为真实情境的任务性实践，同时兼具证据支撑的论证性实践和综合迁移的创新性实践特征，能力重点为分析、评价、创造以及合作共情和责任担当，情绪调节和包容创新作为伴随维度加以观察。基础目标是理解准确、生动、真实、取舍四项状物原则，完成物件描写由1.0到2.0的迭代；高阶目标是建立物件、故事与情感之间的联系，完成多稿迭代和自选物件的迁移写作，并借助互评量表开展同伴评价。</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依据三层五环框架，本课把五环学习过程与学习理解、应用实践、迁移创新三个能力层级对应起来，每一环节同时呈现教师的调节行为与学生的学习行为，课堂活动与理论框架的对应关系见图3-19。</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328000" cy="6495781"/>
            <wp:docPr id="60" name="Picture 60"/>
            <wp:cNvGraphicFramePr>
              <a:graphicFrameLocks noChangeAspect="1"/>
            </wp:cNvGraphicFramePr>
            <a:graphic>
              <a:graphicData uri="http://schemas.openxmlformats.org/drawingml/2006/picture">
                <pic:pic>
                  <pic:nvPicPr>
                    <pic:cNvPr id="0" name="flow_wyd.png"/>
                    <pic:cNvPicPr/>
                  </pic:nvPicPr>
                  <pic:blipFill>
                    <a:blip r:embed="rId41"/>
                    <a:stretch>
                      <a:fillRect/>
                    </a:stretch>
                  </pic:blipFill>
                  <pic:spPr>
                    <a:xfrm>
                      <a:off x="0" y="0"/>
                      <a:ext cx="5328000" cy="6495781"/>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图3-19  状物写作五环学习与教师调节流程图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环节，学生阅读本课目标后先写下对凳子的最初描述，多数学生只写了凳子这一名词，教师保留这份草稿作为前测证据。任务驱动环节，教师出示一只蓝色塑料高脚方凳，组织三轮AI图像生成（图3-20）。第一轮，教师把学生的回答输入豆包，生成的是一只木面铁脚的吧台凳，与实物明显不符。教师追问，同样一个词，AI画出的和眼前的实物为什么不一样，我们缺少了哪些信息。学生补充蓝色、方形、塑料等颜色、形状和材质信息，第二轮生成的是一只蓝色矮圆凳，仍有偏差。有学生注意到实物是高脚凳，补充后第三轮生成的图像与实物基本一致。学生由此自主得出，描写物件要具体到颜色、材质、形状、光泽和高矮等方面，作品也由1.0版本的一个凳子，发展为2.0版本的一个蓝色塑料高脚凳。AI图像在这里充当即时反馈证据，把描写准确这一抽象要求转化为看得见的图文差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165699"/>
            <wp:docPr id="51" name="Picture 51"/>
            <wp:cNvGraphicFramePr>
              <a:graphicFrameLocks noChangeAspect="1"/>
            </wp:cNvGraphicFramePr>
            <a:graphic>
              <a:graphicData uri="http://schemas.openxmlformats.org/drawingml/2006/picture">
                <pic:pic>
                  <pic:nvPicPr>
                    <pic:cNvPr id="0" name="wyd_ai.jpg"/>
                    <pic:cNvPicPr/>
                  </pic:nvPicPr>
                  <pic:blipFill>
                    <a:blip r:embed="rId32"/>
                    <a:stretch>
                      <a:fillRect/>
                    </a:stretch>
                  </pic:blipFill>
                  <pic:spPr>
                    <a:xfrm>
                      <a:off x="0" y="0"/>
                      <a:ext cx="5220000" cy="116569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图3-20  实物凳子（左一）与三轮AI生成图像（左二至右一）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随后，教师围绕同一只凳子继续追问。凳子适用于哪些场景，学生联系教师听课、面批作业和运动会观赛等校园经验，归纳出凳子轻便、成本低等特点，认识到物件的价值体现在被人使用的过程中，由此提炼出生动原则。家里的凳子和商店里的凳子有何区别，学生认为家里的凳子有使用痕迹，更有生活气息，主张把这些不完美写进作文，由此形成真实原则。另一名学生随即反驳，认为并非所有缺点都要写，应挑选与主旨相关、具有特殊意义的痕迹，否则就是赘笔，取舍原则由此形成。四项原则都在学生依托证据的对话中生成，教师的作用是持续追问，并把学生的观点联结为可迁移的写作思维模型，即物件本体、客观特征、场景故事、岁月痕迹和主旨取舍。</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教师出示由凳子到老藤椅的1.0至4.0示范文本，逐版拆解每一轮新增的细节、场景和情感，并巡视学生草稿，依据涂改痕迹开展个别对话。对只会写外形的学生，教师提示这件物件发生过一件什么小事；对堆砌细节的学生，教师提示哪些细节最能表达想讲的情感。学生作品显示，一名学生以藤椅为对象，2.0版本写出棕色的靠背、金色的椅脚和弯曲的椅背，3.0版本补充椅背上的镂空让夏天坐着很凉快，4.0版本写到小时候喜欢把藤椅搬到床上，家人觉得多此一举，自己却从中获得安全和舒适的感觉（图3-21）。版本链使写作由描摹外形逐步走向书写个人记忆。</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3718552"/>
            <wp:docPr id="52" name="Picture 52"/>
            <wp:cNvGraphicFramePr>
              <a:graphicFrameLocks noChangeAspect="1"/>
            </wp:cNvGraphicFramePr>
            <a:graphic>
              <a:graphicData uri="http://schemas.openxmlformats.org/drawingml/2006/picture">
                <pic:pic>
                  <pic:nvPicPr>
                    <pic:cNvPr id="0" name="wyd_versions.jpg"/>
                    <pic:cNvPicPr/>
                  </pic:nvPicPr>
                  <pic:blipFill>
                    <a:blip r:embed="rId33"/>
                    <a:stretch>
                      <a:fillRect/>
                    </a:stretch>
                  </pic:blipFill>
                  <pic:spPr>
                    <a:xfrm>
                      <a:off x="0" y="0"/>
                      <a:ext cx="3060000" cy="3718552"/>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图3-21  学生藤椅描写的2.0至4.0版本</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按典型问题给出诊断性反馈并布置分层任务（表3-34）。学生接收反馈后亲笔写下修改点与修改原因，形成完整的版本链证据。反思迁移环节，教师布置同构异境的迁移任务，学生脱离范例凳子，自选毛衣、瓷碗、旧木椅等生活物件，沿用1.0至4.0的路径完成新习作，再把习作与AI生成的场景图结合，开展画廊漫步式展学，并使用互评表评价同伴作品（图3-22、图3-23）。迁移任务通过更换写作对象，检验学生能否复用写作思维方法。展学作品被分为童年童趣、私人生活、借物升华和个性创意四类，前两类多达到3.0水平，借物升华类达到4.0水平，个性创意类则体现了选材的新颖与多元。</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表3-34  状物写作的典型问题、诊断反馈与分层迭代任务</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877"/>
        <w:gridCol w:w="3609"/>
        <w:gridCol w:w="3032"/>
      </w:tblGrid>
      <w:tr w:rsidR="000B1CCE" w14:paraId="7531D65E" w14:textId="77777777">
        <w:trPr>
          <w:tblHeader/>
          <w:jc w:val="center"/>
        </w:trPr>
        <w:tc>
          <w:tcPr>
            <w:tcW w:w="1877"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36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基于证据的诊断反馈</w:t>
            </w:r>
          </w:p>
        </w:tc>
        <w:tc>
          <w:tcPr>
            <w:tcW w:w="3032"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分层迭代任务</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描写笼统，缺少外形细节</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对照实物，补充颜色、材质等信息，让读者能看见它</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基础层，由1.0升级为2.0，补齐客观特征</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只有外形，没有人与故事</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想一想这件物件陪伴你的哪个生活片段，把小故事加进去</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进阶层，增加生活场景，迭代至3.0</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只写崭新美好，回避磨损痕迹</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划痕和磨损也是时光留下的证据，尝试写一处</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进阶层，补充一处使用痕迹并写出感受</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细节堆砌，脱离主旨</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对照想表达的情感，保留相关细节，删去无关内容</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高阶层，以主旨为标尺筛选细节</w:t>
            </w:r>
          </w:p>
        </w:tc>
      </w:tr>
      <w:tr w:rsidR="000B1CCE" w14:paraId="3AC77B2B" w14:textId="77777777">
        <w:trPr>
          <w:jc w:val="center"/>
        </w:trPr>
        <w:tc>
          <w:tcPr>
            <w:tcW w:w="1877"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有故事但缺少情感落点</w:t>
            </w:r>
          </w:p>
        </w:tc>
        <w:tc>
          <w:tcPr>
            <w:tcW w:w="36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这件物件带给你怎样的触动，把感受收束在结尾</w:t>
            </w:r>
          </w:p>
        </w:tc>
        <w:tc>
          <w:tcPr>
            <w:tcW w:w="3032"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高阶层，完成4.0主旨升华</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4273018"/>
            <wp:docPr id="53" name="Picture 53"/>
            <wp:cNvGraphicFramePr>
              <a:graphicFrameLocks noChangeAspect="1"/>
            </wp:cNvGraphicFramePr>
            <a:graphic>
              <a:graphicData uri="http://schemas.openxmlformats.org/drawingml/2006/picture">
                <pic:pic>
                  <pic:nvPicPr>
                    <pic:cNvPr id="0" name="wyd_transfer.jpg"/>
                    <pic:cNvPicPr/>
                  </pic:nvPicPr>
                  <pic:blipFill>
                    <a:blip r:embed="rId34"/>
                    <a:stretch>
                      <a:fillRect/>
                    </a:stretch>
                  </pic:blipFill>
                  <pic:spPr>
                    <a:xfrm>
                      <a:off x="0" y="0"/>
                      <a:ext cx="3060000" cy="4273018"/>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图3-22  学生迁移习作与AI生成的场景图</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795724"/>
            <wp:docPr id="54" name="Picture 54"/>
            <wp:cNvGraphicFramePr>
              <a:graphicFrameLocks noChangeAspect="1"/>
            </wp:cNvGraphicFramePr>
            <a:graphic>
              <a:graphicData uri="http://schemas.openxmlformats.org/drawingml/2006/picture">
                <pic:pic>
                  <pic:nvPicPr>
                    <pic:cNvPr id="0" name="wyd_gallery.jpg"/>
                    <pic:cNvPicPr/>
                  </pic:nvPicPr>
                  <pic:blipFill>
                    <a:blip r:embed="rId35"/>
                    <a:stretch>
                      <a:fillRect/>
                    </a:stretch>
                  </pic:blipFill>
                  <pic:spPr>
                    <a:xfrm>
                      <a:off x="0" y="0"/>
                      <a:ext cx="5040000" cy="1795724"/>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图3-23  画廊漫步式展学</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案例按照前测、过程和后测的纵向证据，起点、过程、变化和迁移的横向证据，以及自评、互评和师评的多元互证组织材料。依据评价量表对86名学生初稿1.0和终稿4.0的水平评定显示，处于初始水平的学生由37.2%降至12.8%，入门水平由33.7%降至24.4%，进阶水平由20.9%升至41.9%，高阶水平由8.1%升至20.9%（表3-35）。一名学生在反思中写道，初稿只写了旧物件的样子，物件和自己的故事是分开的，第二次修改时加上了当年和外婆一起留下的划痕，改完才意识到写物件其实是写藏在物件身上的时光。这段反思与其草稿批注、自评量表和教师观察相互印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表3-35  状物写作初稿与终稿的水平分布（n＝86）</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548"/>
        <w:gridCol w:w="1548"/>
        <w:gridCol w:w="1936"/>
        <w:gridCol w:w="1548"/>
        <w:gridCol w:w="1936"/>
      </w:tblGrid>
      <w:tr w:rsidR="000B1CCE" w14:paraId="7531D65E" w14:textId="77777777">
        <w:trPr>
          <w:tblHeader/>
          <w:jc w:val="center"/>
        </w:trPr>
        <w:tc>
          <w:tcPr>
            <w:tcW w:w="154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水平</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初稿1.0比例（%）</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终稿4.0比例（%）</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初始水平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32</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37.2</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12.8</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入门水平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29</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33.7</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24.4</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进阶水平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36</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41.9</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7</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8.1</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r>
      <w:tr w:rsidR="000B1CCE" w14:paraId="3AC77B2B" w14:textId="77777777">
        <w:trPr>
          <w:jc w:val="center"/>
        </w:trPr>
        <w:tc>
          <w:tcPr>
            <w:tcW w:w="154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合计</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三轮AI图像生成与追问体现了任务驱动中的诊断发现和干预设计，版本链和草稿批注使思维可见和进步可见，迁移习作与画廊展学使能力可见。教师反思认为，AI图像降低了思辨的门槛，版本链使迭代真实发生，但仍需为每名学生完整留存1.0至4.0的全部草稿，补充小组思辨的观察量规以完善社会情感证据，并进一步提供辨别AI内容的支架，引导学生区分AI生成图像与自身真实的生活记忆。</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4.语文《秋天的怀念》，在协同探究中理解生命的意义</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为统编版七年级上册《秋天的怀念》第二课时。在第一课时梳理情节、初步感知母爱的基础上，董丹老师聚焦三次看花情节、菊花意象和好好儿活的主旨，把语言品味、文本解读、生命感悟与社会情感培育结合起来。教师依据学科高阶学习的三层五环框架设计本课，把五环学习过程与学习理解、应用实践、迁移创新三层能力表征贯通。课堂以协同探究的建构性实践为主样态，学生围绕文本细节、人物心理和意象内涵开展观点碰撞，在对话、追问和互评中共同建构对母爱、苦难与生命的理解；所有观点都要求锚定文本语句，体现证据支撑的论证性实践特征；最后撤去部分支架，引导学生面对自身的生命困境，体现综合迁移的创新性实践特征。</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目标分为基础与高阶两级。基础目标要求学生梳理三次看花情节，找出悄悄、扑、抓、挡等关键细节并说出背后母亲的心理，同时在小组研讨中尊重同伴的不同阅读感受。高阶目标要求学生比较三次看花中我的心理变化，阐释菊花和秋天的多重象征；在面对苦难话题和同伴不同感悟时克制主观情绪、换位共情；并结合自身生活体验解读好好儿活的多层内涵，完成生命感悟类创作。每项目标都配有可观察的评价依据，例如学案中能记录至少一位同学不同的阅读感受，小组汇报能结合文本语句讲清人物心理转变的逻辑。</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依据三层五环框架，本课把五环学习过程与学习理解、应用实践、迁移创新三个能力层级对应起来，每一环节同时呈现教师的调节行为与学生的学习行为，课堂活动与理论框架的对应关系见图3-24。</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328000" cy="6495781"/>
            <wp:docPr id="61" name="Picture 61"/>
            <wp:cNvGraphicFramePr>
              <a:graphicFrameLocks noChangeAspect="1"/>
            </wp:cNvGraphicFramePr>
            <a:graphic>
              <a:graphicData uri="http://schemas.openxmlformats.org/drawingml/2006/picture">
                <pic:pic>
                  <pic:nvPicPr>
                    <pic:cNvPr id="0" name="flow_dd.png"/>
                    <pic:cNvPicPr/>
                  </pic:nvPicPr>
                  <pic:blipFill>
                    <a:blip r:embed="rId42"/>
                    <a:stretch>
                      <a:fillRect/>
                    </a:stretch>
                  </pic:blipFill>
                  <pic:spPr>
                    <a:xfrm>
                      <a:off x="0" y="0"/>
                      <a:ext cx="5328000" cy="6495781"/>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图3-24  《秋天的怀念》五环学习与教师调节流程图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教师创设生命感悟观察员的课堂情境，设计基础与高阶两级任务。基础任务要求学生独立完成情节与细节表格，教师以三处悄悄地分别对应母亲什么心境、扑和抓能否替换为别的词语等问题作为思维支架。高阶任务要求学生探究三次看花中我的态度转变、结尾菊花描写的作用和秋天的含义，并撰写好好儿活当代启示短笺。问题链由母亲为什么执着于带我看菊花，到母亲口中的好好儿活与我后来领悟的是否相同，再到现实生活中怎样才算好好儿活，逐级提高开放程度。社会情感培育点同步嵌入任务之中，包括触及苦难话题时调节悲伤或急躁的情绪、接纳同伴不同的生命体验、主动分担小组任务等。</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探究展学环节，学生先在平台展示学案表格，再以小组思维导图汇报和短笺成果答辩的形式呈现观点差异、对话碰撞和集体理解逐步形成的过程。评价标准兼顾文本依据、分析逻辑、主题契合和个性化创意。教师重点观察学生能否读懂母子双重的苦难，成果是简单贴标签还是真正共情人物，探讨苦难话题时能否自我调适，以及面对不同人生感悟时是否愿意理解他人立场。社会情感观察记录表从责任担当、情绪调节、合作共情和包容创新四个维度记录学生的典型行为，例如复述同伴观点后再发表意见、观点冲突时平复情绪理性发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针对理解片面、逻辑不清、迁移空洞、情绪偏激、共情不足和回避思考六类典型问题设计反馈与分层迭代任务（表3-36）。学生使用短笺作品迭代版本记录单记录初稿、二稿和终稿的修改理由与新启示（图3-25），并在答辩中回应同伴和教师的提问（图3-26）。答辩记录显示，一名学生的核心观点是，好好儿活意味着接纳挫折与难过，珍惜身边的亲人，平凡认真地过好每一天。同伴提出三个问题，母亲和史铁生理解的好好儿活是否一样，如果生活没有大苦难，普通人怎样好好活，菊花和好好儿活有什么关系。学生回应，母亲希望儿子战胜绝望活下去，史铁生则是读懂了苦难；苦难并不只来自重大打击，学习失利、和朋友吵架也是；秋风中各色菊花泼泼洒洒地开放，象征历经磨难而绽放的生命。学生采纳了同伴意见，在终稿中补充了母子二人对好好儿活的不同理解，并把菊花意象融入对主旨的理解。答辩使同伴反馈直接转化为作品修改，协同建构的过程由此留下证据。</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表3-36  《秋天的怀念》典型问题、反馈与迭代任务（节选）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2068"/>
        <w:gridCol w:w="973"/>
        <w:gridCol w:w="2920"/>
        <w:gridCol w:w="2555"/>
      </w:tblGrid>
      <w:tr w:rsidR="000B1CCE" w14:paraId="7531D65E" w14:textId="77777777">
        <w:trPr>
          <w:tblHeader/>
          <w:jc w:val="center"/>
        </w:trPr>
        <w:tc>
          <w:tcPr>
            <w:tcW w:w="206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97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对应维度</w:t>
            </w:r>
          </w:p>
        </w:tc>
        <w:tc>
          <w:tcPr>
            <w:tcW w:w="2920"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反馈要点</w:t>
            </w:r>
          </w:p>
        </w:tc>
        <w:tc>
          <w:tcPr>
            <w:tcW w:w="25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迭代任务</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left"/>
              <w:rPr>
                <w:rFonts w:ascii="宋体" w:eastAsia="宋体" w:hAnsi="宋体" w:cs="宋体"/>
                <w:bCs/>
                <w:szCs w:val="18"/>
              </w:rPr>
            </w:pPr>
            <w:r>
              <w:rPr>
                <w:rStyle w:val="a7"/>
                <w:rFonts w:ascii="Times New Roman" w:eastAsia="宋体" w:hAnsi="Times New Roman" w:cs="Times New Roman"/>
                <w:b w:val="0"/>
                <w:bCs/>
                <w:kern w:val="0"/>
                <w:szCs w:val="21"/>
                <w:lang w:bidi="ar"/>
              </w:rPr>
              <w:t>只看到母爱伟大，忽略母亲自身的病痛</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提示母亲承受双重煎熬，回到文中寻找暗示病痛的语句</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圈画相关语句并写下两三句批注</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认为菊花只代表母爱</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追问不同花色对应怎样的生命状态</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完善菊花、秋天与好好儿活三者关联的思维导图</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启示只喊口号，缺少个人思考</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追问普通人怎样好好活，尝试写一件小事</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修改短笺，补充一处真实生活情境</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认为我过于暴躁，难以共情</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情绪调节</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引导代入人物处境，体会瘫痪后的绝望</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以事实描述加情绪标注写下我暴怒时的内心独白</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直接否定同伴的阅读感受</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合作共情</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先复述同伴的核心观点，再谈不同理解</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写下同伴观点中认可的部分，再提出不同思考</w:t>
            </w:r>
          </w:p>
        </w:tc>
      </w:tr>
      <w:tr w:rsidR="000B1CCE" w14:paraId="3AC77B2B" w14:textId="77777777">
        <w:trPr>
          <w:jc w:val="center"/>
        </w:trPr>
        <w:tc>
          <w:tcPr>
            <w:tcW w:w="206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回避深度思考，等待现成答案</w:t>
            </w:r>
          </w:p>
        </w:tc>
        <w:tc>
          <w:tcPr>
            <w:tcW w:w="97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责任担当</w:t>
            </w:r>
          </w:p>
        </w:tc>
        <w:tc>
          <w:tcPr>
            <w:tcW w:w="2920"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鼓励从细节出发说出真实感受</w:t>
            </w:r>
          </w:p>
        </w:tc>
        <w:tc>
          <w:tcPr>
            <w:tcW w:w="25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填写反思单，记录卡点、已有尝试和改进设想</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9600" cy="4320000"/>
            <wp:docPr id="55" name="Picture 55"/>
            <wp:cNvGraphicFramePr>
              <a:graphicFrameLocks noChangeAspect="1"/>
            </wp:cNvGraphicFramePr>
            <a:graphic>
              <a:graphicData uri="http://schemas.openxmlformats.org/drawingml/2006/picture">
                <pic:pic>
                  <pic:nvPicPr>
                    <pic:cNvPr id="0" name="dd_iter.jpg"/>
                    <pic:cNvPicPr/>
                  </pic:nvPicPr>
                  <pic:blipFill>
                    <a:blip r:embed="rId36"/>
                    <a:stretch>
                      <a:fillRect/>
                    </a:stretch>
                  </pic:blipFill>
                  <pic:spPr>
                    <a:xfrm>
                      <a:off x="0" y="0"/>
                      <a:ext cx="3069600" cy="4320000"/>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图3-25  学生好好儿活当代启示短笺的迭代版本记录单</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460909"/>
            <wp:docPr id="56" name="Picture 56"/>
            <wp:cNvGraphicFramePr>
              <a:graphicFrameLocks noChangeAspect="1"/>
            </wp:cNvGraphicFramePr>
            <a:graphic>
              <a:graphicData uri="http://schemas.openxmlformats.org/drawingml/2006/picture">
                <pic:pic>
                  <pic:nvPicPr>
                    <pic:cNvPr id="0" name="dd_defense.jpg"/>
                    <pic:cNvPicPr/>
                  </pic:nvPicPr>
                  <pic:blipFill>
                    <a:blip r:embed="rId37"/>
                    <a:stretch>
                      <a:fillRect/>
                    </a:stretch>
                  </pic:blipFill>
                  <pic:spPr>
                    <a:xfrm>
                      <a:off x="0" y="0"/>
                      <a:ext cx="4860000" cy="346090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图3-26  学生短笺成果答辩记录表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思迁移环节，教师引导学生提炼抓细节、品意象、悟主旨的散文阅读三步法，以及觉察情绪、换位共情、责任转化的社会情感三步法，再提供本课未学过的散文开展零支架迁移阅读（图3-27）。一名学生选择《合欢树》，摘抄母亲到处打听偏方为我治病等细节，判断合欢树象征母爱，读出全文借合欢树怀念逝去的母亲；在新旧联系中，学生认为两文的共通点是儿子遭遇人生苦难而母亲默默付出，不同之处在于《秋天的怀念》以菊花寄托母亲的心愿，《合欢树》以树的成长对应我的成长。在方法自评中，学生认为三步法中第一步用得最顺，第二步容易卡住，计划下次先弄清情节发展，再寻找意象并挖掘其背后的情感和象征意义。这份记录说明，学生已能把本课形成的阅读方法独立用于新文本，并对自身的方法运用作出反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533143"/>
            <wp:docPr id="57" name="Picture 57"/>
            <wp:cNvGraphicFramePr>
              <a:graphicFrameLocks noChangeAspect="1"/>
            </wp:cNvGraphicFramePr>
            <a:graphic>
              <a:graphicData uri="http://schemas.openxmlformats.org/drawingml/2006/picture">
                <pic:pic>
                  <pic:nvPicPr>
                    <pic:cNvPr id="0" name="dd_transfer.jpg"/>
                    <pic:cNvPicPr/>
                  </pic:nvPicPr>
                  <pic:blipFill>
                    <a:blip r:embed="rId38"/>
                    <a:stretch>
                      <a:fillRect/>
                    </a:stretch>
                  </pic:blipFill>
                  <pic:spPr>
                    <a:xfrm>
                      <a:off x="0" y="0"/>
                      <a:ext cx="4860000" cy="3533143"/>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图3-27  学生跨文本迁移阅读记录卡</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由学案中的细节解读、思维导图、短笺三稿、答辩记录、社会情感观察记录和跨文本迁移阅读记录卡构成。三稿与答辩记录使进步可见，迁移记录卡在撤去支架后检验方法能否独立运用，使能力可见；社会情感观察表和课后访谈则为情绪调节、合作共情等维度提供过程证据。学生的生命感悟始终建立在小组品读、文本论证和反馈修正之上，协同探究因而具有明确的证据基础。后续仍需对全班短笺的迭代质量和迁移记录卡的完成情况作系统统计，以判断这一设计对不同学生的作用。</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5.四个案例的比较与启示</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四个案例的学科、任务和样态各不相同，但在模型运行上呈现出共同特点（表3-37）。第一，成功标准前置是高阶学习的起点。四位教师都在学习开始前公开分层目标或评价量表，学生因此能够在学习过程中对照标准判断自己的位置。第二，认知冲突与过程作品使思维外显。叉鱼失败、AI图像与实物不符等冲突暴露了学生的前概念，草稿、版本链、光路图和短笺等过程作品则把思维过程固定为可以讨论和修改的对象。第三，多级反馈形成迭代闭环。教师批注、同伴互评、答辩追问和自我评估在四个案例中以不同组合出现，学生的修改理由和修订版本成为进步可见的直接证据。第四，迁移任务通过更换学习对象检验方法的掌握。救生员定位、自选物件写作和零支架散文阅读等任务都改变了学习情境，用来判断学生能否独立运用课堂中形成的思维方法。</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表3-37  四个案例中五环与五见的落实方式</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120"/>
        <w:gridCol w:w="2129"/>
        <w:gridCol w:w="1457"/>
        <w:gridCol w:w="2017"/>
        <w:gridCol w:w="1793"/>
      </w:tblGrid>
      <w:tr w:rsidR="000B1CCE" w14:paraId="7531D65E" w14:textId="77777777">
        <w:trPr>
          <w:tblHeader/>
          <w:jc w:val="center"/>
        </w:trPr>
        <w:tc>
          <w:tcPr>
            <w:tcW w:w="1120"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五环（五见）</w:t>
            </w:r>
          </w:p>
        </w:tc>
        <w:tc>
          <w:tcPr>
            <w:tcW w:w="212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物理《光的折射》</w:t>
            </w:r>
          </w:p>
        </w:tc>
        <w:tc>
          <w:tcPr>
            <w:tcW w:w="145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英语写作</w:t>
            </w:r>
          </w:p>
        </w:tc>
        <w:tc>
          <w:tcPr>
            <w:tcW w:w="201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语文状物写作</w:t>
            </w:r>
          </w:p>
        </w:tc>
        <w:tc>
          <w:tcPr>
            <w:tcW w:w="179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语文《秋天的怀念》</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目标引领（目标可见）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前测诊断，基础与高阶两级目标及评价依据</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四级评价量表与情境示例前置</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记录初始描述，明确四项原则与版本层级</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基础与高阶两级目标及可观测依据</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叉鱼失败与木条折断引发认知冲突</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回复Jim邮件的开放任务</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三轮AI图像生成与实物对比</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生命感悟观察员情境与递进问题链</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探究展学（思维可见）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实体实验与PhET仿真，光路图投屏答辩</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草稿至终稿的思维过程档案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示范文本拆解与草稿对话</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学案展示、思维导图汇报与短笺答辩</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反馈迭代（进步可见）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同伴互评纠错，分层作业批注</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教师、同伴、自我三级反馈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典型问题诊断与分层迭代任务</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六类典型问题反馈，短笺三稿迭代</w:t>
            </w:r>
          </w:p>
        </w:tc>
      </w:tr>
      <w:tr w:rsidR="000B1CCE" w14:paraId="3AC77B2B" w14:textId="77777777">
        <w:trPr>
          <w:jc w:val="center"/>
        </w:trPr>
        <w:tc>
          <w:tcPr>
            <w:tcW w:w="1120"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反思迁移（能力可见）</w:t>
            </w:r>
          </w:p>
        </w:tc>
        <w:tc>
          <w:tcPr>
            <w:tcW w:w="212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救生员定位、繁星闪烁等新情境</w:t>
            </w:r>
          </w:p>
        </w:tc>
        <w:tc>
          <w:tcPr>
            <w:tcW w:w="145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终稿自评与题型迁移思考</w:t>
            </w:r>
          </w:p>
        </w:tc>
        <w:tc>
          <w:tcPr>
            <w:tcW w:w="201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自选物件迁移写作与画廊展学</w:t>
            </w:r>
          </w:p>
        </w:tc>
        <w:tc>
          <w:tcPr>
            <w:tcW w:w="179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零支架跨文本迁移阅读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案例也暴露了共同的不足。社会情感能力的证据多来自教师观察和学生反思，结构化的过程记录仍然不足；多数案例对学生进步的描述以典型个案为主，按量表等级统计的全班分布较为有限，仅状物写作案例报告了初稿与终稿的水平分布。这些问题为模型的进一步迭代提供了方向，也与下文评价体系的建设直接相关。</w:t>
      </w:r>
    </w:p>
    <w:p w14:paraId="2161951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基于实践证据的模型迭代</w:t>
      </w:r>
    </w:p>
    <w:p w14:paraId="37A148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415AE8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579EDD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0496A9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22EDFA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1EA5A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543E85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DA0E0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w:t>
      </w:r>
      <w:r>
        <w:rPr>
          <w:rFonts w:ascii="Times New Roman" w:eastAsia="宋体" w:hAnsi="Times New Roman" w:cs="Times New Roman"/>
          <w:kern w:val="0"/>
          <w:sz w:val="24"/>
        </w:rPr>
        <w:t>版把迁移列为高阶思维的核心目标之一，强调能力在新情境中的运用；学生问卷沿用研究设计阶段确定的创造维度进行测量，因此本报告的统计结果仍以创造呈现。</w:t>
      </w:r>
    </w:p>
    <w:p w14:paraId="1FD130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3747C350" w14:textId="77777777" w:rsidR="00CD5D2E" w:rsidRDefault="00000000">
      <w:pPr>
        <w:keepNext/>
        <w:spacing w:before="120"/>
        <w:jc w:val="center"/>
      </w:pPr>
      <w:r>
        <w:rPr>
          <w:noProof/>
        </w:rPr>
        <w:lastRenderedPageBreak/>
        <w:drawing>
          <wp:inline distT="0" distB="0" distL="0" distR="0" wp14:anchorId="068BFB1A" wp14:editId="432CB710">
            <wp:extent cx="5200650" cy="3467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d10b0d.png"/>
                    <pic:cNvPicPr/>
                  </pic:nvPicPr>
                  <pic:blipFill>
                    <a:blip r:embed="rId19"/>
                    <a:stretch>
                      <a:fillRect/>
                    </a:stretch>
                  </pic:blipFill>
                  <pic:spPr>
                    <a:xfrm>
                      <a:off x="0" y="0"/>
                      <a:ext cx="5200650" cy="3467100"/>
                    </a:xfrm>
                    <a:prstGeom prst="rect">
                      <a:avLst/>
                    </a:prstGeom>
                  </pic:spPr>
                </pic:pic>
              </a:graphicData>
            </a:graphic>
          </wp:inline>
        </w:drawing>
      </w:r>
    </w:p>
    <w:p w14:paraId="571CA92E" w14:textId="77777777" w:rsidR="000B1CCE" w:rsidRDefault="00000000">
      <w:pPr>
        <w:spacing w:before="60" w:after="180"/>
        <w:jc w:val="center"/>
      </w:pPr>
      <w:r>
        <w:rPr>
          <w:rFonts w:ascii="Times New Roman" w:eastAsia="黑体" w:hAnsi="Times New Roman" w:cs="Times New Roman"/>
        </w:rPr>
        <w:t>图3-28  可见的学习视域下中学生高阶能力培育模型（2.0版）</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p w14:paraId="019330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06C193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4B365C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F8144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D2F5C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3D0D58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w:t>
      </w:r>
      <w:r>
        <w:rPr>
          <w:rFonts w:ascii="Times New Roman" w:eastAsia="宋体" w:hAnsi="Times New Roman" w:cs="Times New Roman"/>
          <w:sz w:val="24"/>
        </w:rPr>
        <w:lastRenderedPageBreak/>
        <w:t>五环中高阶学习怎样发生、怎样进阶、怎样留下证据。</w:t>
      </w:r>
    </w:p>
    <w:p w14:paraId="440158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29F32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3063EE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4C32C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4E97D1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314A5E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D1634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27E5FA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3CC74C6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4CBC2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57E6C94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4BC41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3CBD2B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4047FA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246B663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73C93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9E75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3B29CC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4D9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0B294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49BCB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67FF6B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4CCB2B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29420B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65B25D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C6BAF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0FEDE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1CB67F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2048C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w:t>
      </w:r>
      <w:r>
        <w:rPr>
          <w:rFonts w:ascii="Times New Roman" w:eastAsia="宋体" w:hAnsi="Times New Roman" w:cs="Times New Roman"/>
          <w:sz w:val="24"/>
        </w:rPr>
        <w:lastRenderedPageBreak/>
        <w:t>代）由按照预设推进教学，进一步走向依据学生学习证据持续诊断、调节和改进。</w:t>
      </w:r>
    </w:p>
    <w:p w14:paraId="23BD31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2C28C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334087ED"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4DAB63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055AF2"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3F7EDD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11158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117BEBD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5A13F87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4B30C7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29546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5BE2D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BDC10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47F52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37B11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534C6A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35976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0C009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0D1A3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4314F0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1AA7FF36"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4DC09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E232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45A31895"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F67B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3FE169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69913DD9"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CF2F5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2FC311D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24C35824"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03FEA3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5AD7D2E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5B895B57"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5191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5F9112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31BE0A30"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F8201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798656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3B482E8D"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6299A0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3AC1E3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6CA0A71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5B2EB4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29D85E2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能够接纳不同观点和新的信息，在开放和不确定情境中持续尝试、调整并形成新想法。</w:t>
            </w:r>
          </w:p>
        </w:tc>
      </w:tr>
    </w:tbl>
    <w:p w14:paraId="6A368A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497985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56134F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3DCE844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w:t>
      </w:r>
      <w:r>
        <w:rPr>
          <w:rFonts w:ascii="Times New Roman" w:eastAsia="宋体" w:hAnsi="Times New Roman" w:cs="Times New Roman"/>
          <w:sz w:val="24"/>
        </w:rPr>
        <w:lastRenderedPageBreak/>
        <w:t>的相互参照，提高对研究成效判断的可靠性。</w:t>
      </w:r>
    </w:p>
    <w:p w14:paraId="36B50D2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表3-38  高阶能力培育评价工具与证据采集</w:t>
      </w:r>
      <w:r>
        <w:rPr>
          <w:rFonts w:ascii="Times New Roman" w:eastAsia="黑体" w:hAnsi="Times New Roman" w:cs="Times New Roman"/>
        </w:rPr>
      </w:r>
      <w:r>
        <w:rPr>
          <w:rFonts w:ascii="Times New Roman" w:eastAsia="黑体" w:hAnsi="Times New Roman" w:cs="Times New Roman"/>
        </w:rPr>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555631F0"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C672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34AF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44E3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E6182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38A6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06D4C61C"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66C6A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6EBA2C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7746E7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76226F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20DCF4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76A9849D"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BC0DD51"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20F728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44D1A4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9917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1CB569D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DE69646"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60516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2DF7E7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A69B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55446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6D1085B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3992C6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021FB8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5EFF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32964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4A3876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732DEA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F472FB2"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664A5E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4E1F60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24D54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24C5D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561B458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18FDAFD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74F55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197F7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497CC9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53488C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13686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3E2C6C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6DF09F3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w:t>
      </w:r>
      <w:r>
        <w:rPr>
          <w:rFonts w:ascii="Times New Roman" w:eastAsia="宋体" w:hAnsi="Times New Roman" w:cs="Times New Roman"/>
          <w:sz w:val="24"/>
        </w:rPr>
        <w:lastRenderedPageBreak/>
        <w:t>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431953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3D9ACC2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76961C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77BF07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769164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42BDA00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7FB088C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327D0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01A9A91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64C7D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61A9F44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表3-39  研究样本基本情况</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3830AD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0CDA0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1411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4E31F9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3FF1E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65265A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713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181B5D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6CDB2B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2F1574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01553D2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655A4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4A4554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0C1AC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0F63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05D49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169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043C21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11E33F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61885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836ED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ED44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7723A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1447D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2420C5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3CE141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D0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3B5FF15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6ABB5F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31419A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3145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AAF40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16126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4718B5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19F2CF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17EBE0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E79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3A37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1C4AE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515A7F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538889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020A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C61AE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6A7DA6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16F3D1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1E71686E"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3816B3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59F8AB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33DA0B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EFEC2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7FC016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73E7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0397A7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6C0F56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2363F9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4D629F9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表3-40  高阶思维总体前后测配对比较（n=1346）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48DCB570"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90EA7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7F17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A2DB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C6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F3A0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506DB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8EC3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1F43687D"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62977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FECC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089E49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3B642C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0D0F8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289396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40FF5A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05230FD7"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80C53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0BDE23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64002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5C9A258"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53660706"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C28512B"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1BE85E3" w14:textId="77777777" w:rsidR="000B1CCE" w:rsidRDefault="000B1CCE">
            <w:pPr>
              <w:adjustRightInd w:val="0"/>
              <w:snapToGrid w:val="0"/>
              <w:spacing w:before="20" w:after="20"/>
              <w:jc w:val="center"/>
              <w:rPr>
                <w:rFonts w:ascii="宋体" w:eastAsia="宋体" w:hAnsi="宋体" w:cs="宋体"/>
                <w:sz w:val="24"/>
              </w:rPr>
            </w:pPr>
          </w:p>
        </w:tc>
      </w:tr>
    </w:tbl>
    <w:p w14:paraId="2D234B5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3E0DA4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2C5ACD4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328104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表3-41  高阶社会情感总体前后测配对比较（n=1346）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845AC5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8C78E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06AF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21C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8484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A8C6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D98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9F38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BDB59A6"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3F10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15F7A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56E809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1EBD86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7DF38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79995D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BB64E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87D25D3"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90B14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922A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160F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F7B4E20"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70F8D8"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1073A6E"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D595E22" w14:textId="77777777" w:rsidR="000B1CCE" w:rsidRDefault="000B1CCE">
            <w:pPr>
              <w:adjustRightInd w:val="0"/>
              <w:snapToGrid w:val="0"/>
              <w:spacing w:before="20" w:after="20"/>
              <w:jc w:val="center"/>
              <w:rPr>
                <w:rFonts w:ascii="宋体" w:eastAsia="宋体" w:hAnsi="宋体" w:cs="宋体"/>
                <w:sz w:val="24"/>
              </w:rPr>
            </w:pPr>
          </w:p>
        </w:tc>
      </w:tr>
    </w:tbl>
    <w:p w14:paraId="742109E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328700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4.032分提高至4.400分，平均增加0.368分。高阶社会情感总体自评得分明显提高，配对效应量为1.099。相较于高阶思维总体，其平均增分在数值上更大；该比较未构成两类增幅差异的正式检验。由于该结果来自学生自评，且后测均分接近量表上限，社会期望、学生对题项理解的变化以及重复填答带来的熟悉效应都可能放大自评增幅，这一效应量需要结合课堂观察和学生作品等证据审慎解释。</w:t>
      </w:r>
    </w:p>
    <w:p w14:paraId="002901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02CC2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1037513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35342FB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表3-42  两个学段的高阶思维总体前后测比较</w:t>
      </w:r>
      <w:r>
        <w:rPr>
          <w:rFonts w:ascii="Times New Roman" w:eastAsia="黑体" w:hAnsi="Times New Roman" w:cs="Times New Roman"/>
        </w:rPr>
      </w:r>
      <w:r>
        <w:rPr>
          <w:rFonts w:ascii="Times New Roman" w:eastAsia="黑体" w:hAnsi="Times New Roman" w:cs="Times New Roman"/>
        </w:rPr>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0A40055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7F6F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6A60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FF82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334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7E49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C3C11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D2A63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CAE7E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19C7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90C29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42B348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72ED05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0A01DC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46AA2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09EF4E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51A846FD"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D498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59A271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47E5C8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5394F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12A050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2B415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05E232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3FB83F5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1A61AD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表3-43  两个学段的高阶社会情感总体前后测比较</w:t>
      </w:r>
      <w:r>
        <w:rPr>
          <w:rFonts w:ascii="Times New Roman" w:eastAsia="黑体" w:hAnsi="Times New Roman" w:cs="Times New Roman"/>
        </w:rPr>
      </w:r>
      <w:r>
        <w:rPr>
          <w:rFonts w:ascii="Times New Roman" w:eastAsia="黑体" w:hAnsi="Times New Roman" w:cs="Times New Roman"/>
        </w:rPr>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643115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0373A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D8E9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7172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3851D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BA7BFF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7BC5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04A87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249E11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FD4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12352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63299B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4E40BB2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2459701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162EB5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1906BB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48176"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574CDF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3B1CDD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5D610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F2408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5454CF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54B7D4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B6A17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DB75E4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0EA90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06BA15D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表3-44  高中与初中学生平均增分的比较</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1A9562FE"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E39C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E6E0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5029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61B7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CE80DE"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3295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90D5747"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700365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4D5873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55448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407335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1EC929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2643FB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4BD384D8"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2FD9F42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5777E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2F2C0D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4807B4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6A91E4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EE73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C9C3B26"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6095CA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6D9090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5DFAD9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7B6ED7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表3-45  各年级高阶思维总体的前后变化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6056FC8E"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44BD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2B2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0BEF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F6061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54057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622B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27D6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7F0577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0423C6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6B8F74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797269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3541F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3F58F1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524308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709966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18FD51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A58F2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7167C2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34AF80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4BEC46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425F78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6394BAD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5BD190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5A5DFDC"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55EE4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321AAE3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49B6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1916FA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218AD1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6596BE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63288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372AAEE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789C9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2C0202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64151B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18CC6C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75766E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5B6DAA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1938E8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B1E175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B83F97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1106B4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493FFF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373068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572716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118E78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21B9A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0473A1A"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C71FD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3C249C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639A10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287ABE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07F6B1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1E0F5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4E19D6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27CCC6C9"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578CE1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2B293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7C81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42FD05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7FD541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3351C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30DE9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75F2DFA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表3-46  各年级高阶社会情感总体的前后变化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EFEF704"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7B64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B886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FD8A6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B494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AED3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FDF8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2268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E13B9A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65740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7C43E6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3E0B6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6ECF4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218C60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16382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018172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B439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5C510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64125C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F62B1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7834A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17FB39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BE93C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5DD3C4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945E5B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50FC57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7BA99E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353D50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0C4228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611A9E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55477E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32D6E6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7A3BAF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98B2D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3B6D7B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721FCD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49271E5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7CC3E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03666E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0BB4F1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0ECC11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1F4767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11610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53441D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77300F4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09C821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5DB1FA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EDCD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905C5A8"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5B8E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222F3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07E85F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78912A2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740C4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16FA8E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253D3A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6860EC5"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2D7C89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DA7B1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453F5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2AA2033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246220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638318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375AEE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FF17F4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7EAD57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5AFE1D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61AF21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16A3ED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9CEEF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表3-47  年级发展特点的探索性分组</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BDA06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D363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AFE8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6A1B0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9CAE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31672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38E2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6F656F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21710C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08F4C6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442600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640D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6256AA7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31D61D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7E34A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58703F41"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00DBDE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0DFCDC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38A29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50D362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65377B6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1C86E4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7DEAB68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）剔除同选项答卷的敏感性检验</w:t>
      </w:r>
    </w:p>
    <w:p w14:paraId="306952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538EE34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表3-48  两个总体指标的敏感性分析</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1375A4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B1C8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546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5F1D1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ED2A1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63DCB8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0E5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25E6F0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279853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9C63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35D90326"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25AE88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33BC54F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5B1559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5D0C244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615AA198"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6CF627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3A5346F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27D5EE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表3-49  分析前后测配对比较（n=1346）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A75378D"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1A931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8A74F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B5C86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D5D2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F4F7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D848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6B6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5F3D72E"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7DE119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3FA4D8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31FF53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B2CF4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76A0CF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124510D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7EA473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32EAEB6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692B9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5DCBF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0AB98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209EC3D"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1B8C504"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786AF0A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99F64CD" w14:textId="77777777" w:rsidR="000B1CCE" w:rsidRDefault="000B1CCE">
            <w:pPr>
              <w:adjustRightInd w:val="0"/>
              <w:snapToGrid w:val="0"/>
              <w:spacing w:before="20" w:after="20"/>
              <w:jc w:val="center"/>
              <w:rPr>
                <w:rFonts w:ascii="宋体" w:eastAsia="宋体" w:hAnsi="宋体" w:cs="宋体"/>
                <w:sz w:val="24"/>
              </w:rPr>
            </w:pPr>
          </w:p>
        </w:tc>
      </w:tr>
    </w:tbl>
    <w:p w14:paraId="7955D3F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CB092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分。分析维度得分的提高，反映学生对分解问题、联系已有知识、筛选信息和探究原因等学习行为的自我评价有所改善。</w:t>
      </w:r>
    </w:p>
    <w:p w14:paraId="4CE789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69809B0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表3-50  评价前后测配对比较（n=1346）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FD3DD56"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C8FC7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8A4A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ED8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9D414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DD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E4A3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4EA3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6540CE7"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4DDEEB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7BF413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5DA0B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7ADF99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6F106A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3D6D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44BC49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63C2EDFA"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617FA0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848E3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1F3CC4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94CE494"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5EA0B0A"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4EB6291E"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D543D5D" w14:textId="77777777" w:rsidR="000B1CCE" w:rsidRDefault="000B1CCE">
            <w:pPr>
              <w:adjustRightInd w:val="0"/>
              <w:snapToGrid w:val="0"/>
              <w:spacing w:before="20" w:after="20"/>
              <w:jc w:val="center"/>
              <w:rPr>
                <w:rFonts w:ascii="宋体" w:eastAsia="宋体" w:hAnsi="宋体" w:cs="宋体"/>
                <w:sz w:val="24"/>
              </w:rPr>
            </w:pPr>
          </w:p>
        </w:tc>
      </w:tr>
    </w:tbl>
    <w:p w14:paraId="48307DD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075787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3ED8C2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）创造</w:t>
      </w:r>
    </w:p>
    <w:p w14:paraId="0B269A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表3-51  创造前后测配对比较（n=1346）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53A06016"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FFDEE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1830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40193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7CB3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247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7A0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5FDC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4D42CB9"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4A93040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050E91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1AE374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23023B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27C09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21F081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22A2A6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0FB7FDB"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6AC49C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13AA7A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E21860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7208A86"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766EFC6F"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1AD732A6"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4CBEDB9A" w14:textId="77777777" w:rsidR="000B1CCE" w:rsidRDefault="000B1CCE">
            <w:pPr>
              <w:adjustRightInd w:val="0"/>
              <w:snapToGrid w:val="0"/>
              <w:spacing w:before="20" w:after="20"/>
              <w:jc w:val="center"/>
              <w:rPr>
                <w:rFonts w:ascii="宋体" w:eastAsia="宋体" w:hAnsi="宋体" w:cs="宋体"/>
                <w:sz w:val="24"/>
              </w:rPr>
            </w:pPr>
          </w:p>
        </w:tc>
      </w:tr>
    </w:tbl>
    <w:p w14:paraId="5B64D76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46A7E1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31778B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523C8BE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77D0CE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表3-52  责任担当前后测配对比较（n=1346）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B2046FD"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854E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1622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3FA48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985A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CD85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887D6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3FF82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578A655"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05028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E3594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687E4F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0CA4B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BCB60C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44D64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68051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F28DAF4"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2091DA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794A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1CB8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6D3D79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03A6BC"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F204812"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7479C935" w14:textId="77777777" w:rsidR="000B1CCE" w:rsidRDefault="000B1CCE">
            <w:pPr>
              <w:adjustRightInd w:val="0"/>
              <w:snapToGrid w:val="0"/>
              <w:spacing w:before="20" w:after="20"/>
              <w:jc w:val="center"/>
              <w:rPr>
                <w:rFonts w:ascii="宋体" w:eastAsia="宋体" w:hAnsi="宋体" w:cs="宋体"/>
                <w:sz w:val="24"/>
              </w:rPr>
            </w:pPr>
          </w:p>
        </w:tc>
      </w:tr>
    </w:tbl>
    <w:p w14:paraId="5D64C7A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E4BA1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3690595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）情绪调节</w:t>
      </w:r>
    </w:p>
    <w:p w14:paraId="5AC040A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表3-53  情绪调节前后测配对比较（n=1346）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161E11C1"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7E7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BC88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C7DC2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54CC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30AE4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99BC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DC4A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0BE327E"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1A9BDA8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681B36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77059A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2CF578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0139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69C5DD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66CB4F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44A8D1"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BA3CD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1A72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FB434E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0F5EBF31"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40D9678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F65B71A"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C2E5376" w14:textId="77777777" w:rsidR="000B1CCE" w:rsidRDefault="000B1CCE">
            <w:pPr>
              <w:adjustRightInd w:val="0"/>
              <w:snapToGrid w:val="0"/>
              <w:spacing w:before="20" w:after="20"/>
              <w:jc w:val="center"/>
              <w:rPr>
                <w:rFonts w:ascii="宋体" w:eastAsia="宋体" w:hAnsi="宋体" w:cs="宋体"/>
                <w:sz w:val="24"/>
              </w:rPr>
            </w:pPr>
          </w:p>
        </w:tc>
      </w:tr>
    </w:tbl>
    <w:p w14:paraId="4D0D105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093815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478C3F7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）合作共情</w:t>
      </w:r>
    </w:p>
    <w:p w14:paraId="6A6C2E8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表3-54  合作共情前后测配对比较（n=1346）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4AE51B9C"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1802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DF32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A94D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0867D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851C5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9C2E8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11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7461A27"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26118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1E73F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4F6A64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3F9ADA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32C4D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441CEE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4E4C4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C54DEF8"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76652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B7382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95C56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6796D2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4B5D43BD"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3FC89F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1A44CC0D" w14:textId="77777777" w:rsidR="000B1CCE" w:rsidRDefault="000B1CCE">
            <w:pPr>
              <w:adjustRightInd w:val="0"/>
              <w:snapToGrid w:val="0"/>
              <w:spacing w:before="20" w:after="20"/>
              <w:jc w:val="center"/>
              <w:rPr>
                <w:rFonts w:ascii="宋体" w:eastAsia="宋体" w:hAnsi="宋体" w:cs="宋体"/>
                <w:sz w:val="24"/>
              </w:rPr>
            </w:pPr>
          </w:p>
        </w:tc>
      </w:tr>
    </w:tbl>
    <w:p w14:paraId="3EFABE8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346C83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420E2C7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34CC6D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表3-55  包容创新前后测配对比较（n=1346）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31309A59"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7F8E4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82A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53B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47A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F326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0DBCF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7E17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022D1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309E0A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9F9ED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44078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6ED60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23A0B2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66EE45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DF6CC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8DD3ECA"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2CC72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86463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E4613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173625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290719C"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A63248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87CDAA8" w14:textId="77777777" w:rsidR="000B1CCE" w:rsidRDefault="000B1CCE">
            <w:pPr>
              <w:adjustRightInd w:val="0"/>
              <w:snapToGrid w:val="0"/>
              <w:spacing w:before="20" w:after="20"/>
              <w:jc w:val="center"/>
              <w:rPr>
                <w:rFonts w:ascii="宋体" w:eastAsia="宋体" w:hAnsi="宋体" w:cs="宋体"/>
                <w:sz w:val="24"/>
              </w:rPr>
            </w:pPr>
          </w:p>
        </w:tc>
      </w:tr>
    </w:tbl>
    <w:p w14:paraId="6ABEAA77"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2F9E845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6F474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1DD3EBE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660E05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表3-56  学生前测开放性回答三级编码表</w:t>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029BC2CA"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E5123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F9059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4599A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909B1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6CC060A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C8C80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25301B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41A75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4C4777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306CB12C"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B481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08F562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48D0E3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10B2A4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1BDC55B9"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4D59F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2254EC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2EFD41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44BCD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318034B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ED153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F7B5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A4397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3E2877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3079F8A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E743D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6C77C1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4952AB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037B69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69792B6D"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2460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637BD2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204936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33C361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6881167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883ED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84D99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441676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2CD7A9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1453E584"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3B485A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1BD32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323C0D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44D40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357B9B81"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7198A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832F4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25CB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106609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6209839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同一条回答可能涉及多类困难，因此按类别统计的涉及回答数之和大于有效回答数。</w:t>
      </w:r>
    </w:p>
    <w:p w14:paraId="220B49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61CD09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3A7A102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表3-57  学生后测开放性回答三级编码表</w:t>
      </w:r>
      <w:r>
        <w:rPr>
          <w:rFonts w:ascii="Times New Roman" w:eastAsia="黑体" w:hAnsi="Times New Roman" w:cs="Times New Roman"/>
        </w:rPr>
      </w:r>
      <w:r>
        <w:rPr>
          <w:rFonts w:ascii="Times New Roman" w:eastAsia="黑体" w:hAnsi="Times New Roman" w:cs="Times New Roman"/>
        </w:rPr>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0A98068D"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C9D0C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5C2A4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DD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5B45F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846C33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53FFF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033304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574135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7BA807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4DD76089"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DBC9E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5811D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E91B5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76EF1A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0062286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A9F33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288E27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708A4C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04AD1D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66A6D86D"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0B5A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63A79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2EDC1D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4D7398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429063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29C9C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3C6214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9C23A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4B52CD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31A3E91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547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1C399C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692C7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69851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149D4C6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8330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57E3C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8294C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4379040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7D9E2F6C"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188D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28DBE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17797E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2AF7C0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57AC11C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8E3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44107A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4735F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7C294E4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4C7F9AE4"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F336E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73133D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443B71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3772DC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2CC92B8D"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665E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1F505F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69792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68DACB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3C987CEA"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同一条回答可能同时描述多方面的变化，各类别的涉及回答数可以重叠。</w:t>
      </w:r>
    </w:p>
    <w:p w14:paraId="40FCFBC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44546BF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表3-58  学生前后测开放性文本主题对应表</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57AF17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BEDF0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67F43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42AB3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69F16C0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2DFD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4667F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DCD598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67E6E8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97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64F082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79D127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46711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6E4F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42FCD3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847A30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15B9B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6CD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76ED00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7D4330F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41BEC5DD"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113CA9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5F3664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44C12BE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4EB993EA"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lastRenderedPageBreak/>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406C4F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16396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333B066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7A7246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0D190A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表3-59  纳入匹配表的教师背景分布（n＝129）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1BCAD9B8"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A7829E"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4A91F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CE4470"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244DD6"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6BF962"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0F2C8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2D0CB7"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684DAD1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06F6E2EB"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5C4BD136"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14AFE4A"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650A46FB"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651ECD0"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1FF6DB67"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2BB310E7"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3A5F9CE"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6D30F8"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04FC91D5"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687355E5"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65DD533"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F9C382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723CA0C"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330B14F0"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4B2F084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095D2BA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8C8E8F5"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0E9DDA45"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58CB45AF"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093D2265"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2843726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6613B0D"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B234C32"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442EF846"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58F774AA"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4F14011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E89A32E"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4145DE8C"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30777B99"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72CD7525"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42776D8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D7B3B9B"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BAA782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25CF8D7D"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673C5C9"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613C4E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AB1FF7A"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19A2DBF1"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17DC6054"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7C683DB2"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2605C20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F76D49F"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0CC7C2C3"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66877500"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75A069BF"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2BC2AD38"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45F1EB00"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CD13205"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78CD8C"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257244B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667C128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40DFFF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6C63CE8D" w14:textId="77777777" w:rsidR="000B1CCE" w:rsidRDefault="00000000">
      <w:pPr>
        <w:keepNext/>
        <w:snapToGrid w:val="0"/>
        <w:spacing w:before="180" w:after="60"/>
        <w:jc w:val="center"/>
      </w:pPr>
      <w:r>
        <w:rPr>
          <w:rFonts w:ascii="Times New Roman" w:eastAsia="黑体" w:hAnsi="Times New Roman" w:cs="Times New Roman"/>
        </w:rPr>
        <w:t>表3-60  纳入匹配表的教师学科分布（n＝129）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312BF243"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7FAF2"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62FC32"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1BB52"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0E05BBA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F9B407"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6F7C5984"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1083093A" w14:textId="77777777" w:rsidR="000B1CCE" w:rsidRDefault="00000000">
            <w:pPr>
              <w:snapToGrid w:val="0"/>
              <w:spacing w:before="20" w:after="20"/>
              <w:jc w:val="center"/>
            </w:pPr>
            <w:r>
              <w:rPr>
                <w:rFonts w:ascii="Times New Roman" w:eastAsia="宋体" w:hAnsi="Times New Roman" w:cs="Times New Roman"/>
              </w:rPr>
              <w:t>22.48</w:t>
            </w:r>
          </w:p>
        </w:tc>
      </w:tr>
      <w:tr w:rsidR="000B1CCE" w14:paraId="35B6A54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CFDD23D"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0077215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7546BC67" w14:textId="77777777" w:rsidR="000B1CCE" w:rsidRDefault="00000000">
            <w:pPr>
              <w:snapToGrid w:val="0"/>
              <w:spacing w:before="20" w:after="20"/>
              <w:jc w:val="center"/>
            </w:pPr>
            <w:r>
              <w:rPr>
                <w:rFonts w:ascii="Times New Roman" w:eastAsia="宋体" w:hAnsi="Times New Roman" w:cs="Times New Roman"/>
              </w:rPr>
              <w:t>14.73</w:t>
            </w:r>
          </w:p>
        </w:tc>
      </w:tr>
      <w:tr w:rsidR="000B1CCE" w14:paraId="6CC1AF9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AF00670"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533C883"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4EA00A8D" w14:textId="77777777" w:rsidR="000B1CCE" w:rsidRDefault="00000000">
            <w:pPr>
              <w:snapToGrid w:val="0"/>
              <w:spacing w:before="20" w:after="20"/>
              <w:jc w:val="center"/>
            </w:pPr>
            <w:r>
              <w:rPr>
                <w:rFonts w:ascii="Times New Roman" w:eastAsia="宋体" w:hAnsi="Times New Roman" w:cs="Times New Roman"/>
              </w:rPr>
              <w:t>11.63</w:t>
            </w:r>
          </w:p>
        </w:tc>
      </w:tr>
      <w:tr w:rsidR="000B1CCE" w14:paraId="4E0D2EC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D79408A"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0FADD982"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B7E0EDF" w14:textId="77777777" w:rsidR="000B1CCE" w:rsidRDefault="00000000">
            <w:pPr>
              <w:snapToGrid w:val="0"/>
              <w:spacing w:before="20" w:after="20"/>
              <w:jc w:val="center"/>
            </w:pPr>
            <w:r>
              <w:rPr>
                <w:rFonts w:ascii="Times New Roman" w:eastAsia="宋体" w:hAnsi="Times New Roman" w:cs="Times New Roman"/>
              </w:rPr>
              <w:t>10.85</w:t>
            </w:r>
          </w:p>
        </w:tc>
      </w:tr>
      <w:tr w:rsidR="000B1CCE" w14:paraId="379D639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AC8FAE9"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3B4E9C54"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1D01AB5" w14:textId="77777777" w:rsidR="000B1CCE" w:rsidRDefault="00000000">
            <w:pPr>
              <w:snapToGrid w:val="0"/>
              <w:spacing w:before="20" w:after="20"/>
              <w:jc w:val="center"/>
            </w:pPr>
            <w:r>
              <w:rPr>
                <w:rFonts w:ascii="Times New Roman" w:eastAsia="宋体" w:hAnsi="Times New Roman" w:cs="Times New Roman"/>
              </w:rPr>
              <w:t>8.53</w:t>
            </w:r>
          </w:p>
        </w:tc>
      </w:tr>
      <w:tr w:rsidR="000B1CCE" w14:paraId="17E94950"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C01E5BB"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FD6FCEA"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5B18FDF" w14:textId="77777777" w:rsidR="000B1CCE" w:rsidRDefault="00000000">
            <w:pPr>
              <w:snapToGrid w:val="0"/>
              <w:spacing w:before="20" w:after="20"/>
              <w:jc w:val="center"/>
            </w:pPr>
            <w:r>
              <w:rPr>
                <w:rFonts w:ascii="Times New Roman" w:eastAsia="宋体" w:hAnsi="Times New Roman" w:cs="Times New Roman"/>
              </w:rPr>
              <w:t>8.53</w:t>
            </w:r>
          </w:p>
        </w:tc>
      </w:tr>
      <w:tr w:rsidR="000B1CCE" w14:paraId="5BD7A2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BAE39BB"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15E9B991"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4280A21A" w14:textId="77777777" w:rsidR="000B1CCE" w:rsidRDefault="00000000">
            <w:pPr>
              <w:snapToGrid w:val="0"/>
              <w:spacing w:before="20" w:after="20"/>
              <w:jc w:val="center"/>
            </w:pPr>
            <w:r>
              <w:rPr>
                <w:rFonts w:ascii="Times New Roman" w:eastAsia="宋体" w:hAnsi="Times New Roman" w:cs="Times New Roman"/>
              </w:rPr>
              <w:t>7.75</w:t>
            </w:r>
          </w:p>
        </w:tc>
      </w:tr>
      <w:tr w:rsidR="000B1CCE" w14:paraId="3C2DFB6C"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A87A706"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411F8086"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70926B5E" w14:textId="77777777" w:rsidR="000B1CCE" w:rsidRDefault="00000000">
            <w:pPr>
              <w:snapToGrid w:val="0"/>
              <w:spacing w:before="20" w:after="20"/>
              <w:jc w:val="center"/>
            </w:pPr>
            <w:r>
              <w:rPr>
                <w:rFonts w:ascii="Times New Roman" w:eastAsia="宋体" w:hAnsi="Times New Roman" w:cs="Times New Roman"/>
              </w:rPr>
              <w:t>4.65</w:t>
            </w:r>
          </w:p>
        </w:tc>
      </w:tr>
      <w:tr w:rsidR="000B1CCE" w14:paraId="20B4F81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1324E4"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387B23AF"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6714B6C8" w14:textId="77777777" w:rsidR="000B1CCE" w:rsidRDefault="00000000">
            <w:pPr>
              <w:snapToGrid w:val="0"/>
              <w:spacing w:before="20" w:after="20"/>
              <w:jc w:val="center"/>
            </w:pPr>
            <w:r>
              <w:rPr>
                <w:rFonts w:ascii="Times New Roman" w:eastAsia="宋体" w:hAnsi="Times New Roman" w:cs="Times New Roman"/>
              </w:rPr>
              <w:t>4.65</w:t>
            </w:r>
          </w:p>
        </w:tc>
      </w:tr>
      <w:tr w:rsidR="000B1CCE" w14:paraId="75A4B7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99D5CBF"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04FBEA8D"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F61CA8F" w14:textId="77777777" w:rsidR="000B1CCE" w:rsidRDefault="00000000">
            <w:pPr>
              <w:snapToGrid w:val="0"/>
              <w:spacing w:before="20" w:after="20"/>
              <w:jc w:val="center"/>
            </w:pPr>
            <w:r>
              <w:rPr>
                <w:rFonts w:ascii="Times New Roman" w:eastAsia="宋体" w:hAnsi="Times New Roman" w:cs="Times New Roman"/>
              </w:rPr>
              <w:t>2.33</w:t>
            </w:r>
          </w:p>
        </w:tc>
      </w:tr>
      <w:tr w:rsidR="000B1CCE" w14:paraId="32D53FC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264421"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16108453"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12B131EE" w14:textId="77777777" w:rsidR="000B1CCE" w:rsidRDefault="00000000">
            <w:pPr>
              <w:snapToGrid w:val="0"/>
              <w:spacing w:before="20" w:after="20"/>
              <w:jc w:val="center"/>
            </w:pPr>
            <w:r>
              <w:rPr>
                <w:rFonts w:ascii="Times New Roman" w:eastAsia="宋体" w:hAnsi="Times New Roman" w:cs="Times New Roman"/>
              </w:rPr>
              <w:t>2.33</w:t>
            </w:r>
          </w:p>
        </w:tc>
      </w:tr>
      <w:tr w:rsidR="000B1CCE" w14:paraId="6D4CCD3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FC26E8"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196D70EB"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1691AAA9" w14:textId="77777777" w:rsidR="000B1CCE" w:rsidRDefault="00000000">
            <w:pPr>
              <w:snapToGrid w:val="0"/>
              <w:spacing w:before="20" w:after="20"/>
              <w:jc w:val="center"/>
            </w:pPr>
            <w:r>
              <w:rPr>
                <w:rFonts w:ascii="Times New Roman" w:eastAsia="宋体" w:hAnsi="Times New Roman" w:cs="Times New Roman"/>
              </w:rPr>
              <w:t>0.78</w:t>
            </w:r>
          </w:p>
        </w:tc>
      </w:tr>
      <w:tr w:rsidR="000B1CCE" w14:paraId="34A6D12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6699D2F"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CBFE4A0"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38B28BB8" w14:textId="77777777" w:rsidR="000B1CCE" w:rsidRDefault="00000000">
            <w:pPr>
              <w:snapToGrid w:val="0"/>
              <w:spacing w:before="20" w:after="20"/>
              <w:jc w:val="center"/>
            </w:pPr>
            <w:r>
              <w:rPr>
                <w:rFonts w:ascii="Times New Roman" w:eastAsia="宋体" w:hAnsi="Times New Roman" w:cs="Times New Roman"/>
              </w:rPr>
              <w:t>0.78</w:t>
            </w:r>
          </w:p>
        </w:tc>
      </w:tr>
      <w:tr w:rsidR="000B1CCE" w14:paraId="506730D0"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7EB2D80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2E165EFC"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2B46A651"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1C88F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2623D5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47D03C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1AA823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3F7850F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05C7A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5805E4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50D9B8E" w14:textId="77777777" w:rsidR="000B1CCE" w:rsidRDefault="00000000">
      <w:pPr>
        <w:keepNext/>
        <w:snapToGrid w:val="0"/>
        <w:spacing w:before="180" w:after="60"/>
        <w:jc w:val="center"/>
      </w:pPr>
      <w:r>
        <w:rPr>
          <w:rFonts w:ascii="Times New Roman" w:eastAsia="黑体" w:hAnsi="Times New Roman" w:cs="Times New Roman"/>
        </w:rPr>
        <w:t>表3-61  教师认知与价值认同前后测配对分析（n＝129）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590BE6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61581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04FAA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40FFF0E"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4B88CA2"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6F806CF"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429F28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497817"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A46E17B"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2CE6650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1DBE293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2340DA62"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0A06B78C"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3EBC3673"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5581A348"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961E243"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B320DC3" w14:textId="77777777" w:rsidR="000B1CCE" w:rsidRDefault="000B1CCE">
            <w:pPr>
              <w:snapToGrid w:val="0"/>
              <w:spacing w:before="20" w:after="20"/>
              <w:jc w:val="center"/>
              <w:rPr>
                <w:b/>
              </w:rPr>
            </w:pPr>
          </w:p>
        </w:tc>
      </w:tr>
      <w:tr w:rsidR="000B1CCE" w14:paraId="28C89DCC"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C451E41"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52A64CC0"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50DB30E0"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03EED406"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7C48AB10"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0AD7908F"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0AD1684A"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1E9A840D" w14:textId="77777777" w:rsidR="000B1CCE" w:rsidRDefault="00000000">
            <w:pPr>
              <w:snapToGrid w:val="0"/>
              <w:spacing w:before="20" w:after="20"/>
              <w:jc w:val="center"/>
            </w:pPr>
            <w:r>
              <w:rPr>
                <w:rFonts w:ascii="Times New Roman" w:eastAsia="宋体" w:hAnsi="Times New Roman" w:cs="Times New Roman"/>
              </w:rPr>
              <w:t>0.74</w:t>
            </w:r>
          </w:p>
        </w:tc>
      </w:tr>
      <w:tr w:rsidR="000B1CCE" w14:paraId="14EAF5A4"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335A61FE"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2D6E20AC"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74E82053"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082D190D"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4526B5CE"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79196E82"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5FB166CA"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33C12D13" w14:textId="77777777" w:rsidR="000B1CCE" w:rsidRDefault="00000000">
            <w:pPr>
              <w:snapToGrid w:val="0"/>
              <w:spacing w:before="20" w:after="20"/>
              <w:jc w:val="center"/>
            </w:pPr>
            <w:r>
              <w:rPr>
                <w:rFonts w:ascii="Times New Roman" w:eastAsia="宋体" w:hAnsi="Times New Roman" w:cs="Times New Roman"/>
              </w:rPr>
              <w:t>0.90</w:t>
            </w:r>
          </w:p>
        </w:tc>
      </w:tr>
    </w:tbl>
    <w:p w14:paraId="14DE4FD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2FAA054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289A7A7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表3-62  教师课堂教学实践前后测配对分析（n＝129）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21632B1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95A28F6"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E24281"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5D1E203C"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7C781AD"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C6A88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3D40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BD4E50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4E8009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478DA42"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5B5A0C10"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88DA5D8"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5D2015C0"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2EF4F20"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1BB5971"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B62FD39"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F993DE4" w14:textId="77777777" w:rsidR="000B1CCE" w:rsidRDefault="000B1CCE">
            <w:pPr>
              <w:snapToGrid w:val="0"/>
              <w:spacing w:before="20" w:after="20"/>
              <w:jc w:val="center"/>
              <w:rPr>
                <w:b/>
              </w:rPr>
            </w:pPr>
          </w:p>
        </w:tc>
      </w:tr>
      <w:tr w:rsidR="000B1CCE" w14:paraId="655452F9"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536A58A5"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1D7A4F5"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38E01DE0"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08E6F02C"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1E987AA3"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5AA590F6"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CB70DBA"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359662AD" w14:textId="77777777" w:rsidR="000B1CCE" w:rsidRDefault="00000000">
            <w:pPr>
              <w:snapToGrid w:val="0"/>
              <w:spacing w:before="20" w:after="20"/>
              <w:jc w:val="center"/>
            </w:pPr>
            <w:r>
              <w:rPr>
                <w:rFonts w:ascii="Times New Roman" w:eastAsia="宋体" w:hAnsi="Times New Roman" w:cs="Times New Roman"/>
              </w:rPr>
              <w:t>0.72</w:t>
            </w:r>
          </w:p>
        </w:tc>
      </w:tr>
      <w:tr w:rsidR="000B1CCE" w14:paraId="43912285"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F000946"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6F70B51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51DF49EE"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2419EE"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A03C3EF"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0D808710"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6CA1F1F"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6318A57A" w14:textId="77777777" w:rsidR="000B1CCE" w:rsidRDefault="00000000">
            <w:pPr>
              <w:snapToGrid w:val="0"/>
              <w:spacing w:before="20" w:after="20"/>
              <w:jc w:val="center"/>
            </w:pPr>
            <w:r>
              <w:rPr>
                <w:rFonts w:ascii="Times New Roman" w:eastAsia="宋体" w:hAnsi="Times New Roman" w:cs="Times New Roman"/>
              </w:rPr>
              <w:t>0.75</w:t>
            </w:r>
          </w:p>
        </w:tc>
      </w:tr>
    </w:tbl>
    <w:p w14:paraId="31E6230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64DBA8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9E1DCF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48E6E8D0" w14:textId="77777777" w:rsidR="000B1CCE" w:rsidRDefault="00000000">
      <w:pPr>
        <w:keepNext/>
        <w:snapToGrid w:val="0"/>
        <w:spacing w:before="180" w:after="60"/>
        <w:jc w:val="center"/>
      </w:pPr>
      <w:r>
        <w:rPr>
          <w:rFonts w:ascii="Times New Roman" w:eastAsia="黑体" w:hAnsi="Times New Roman" w:cs="Times New Roman"/>
        </w:rPr>
        <w:t>表3-63  教师教学自我效能前后测配对分析（n＝129）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09D74D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7E61C8"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47A16E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ACDE001"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7176DC3"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8DAC527"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BCA57FC"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9E512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6F085BB4"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1397D37E"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4299408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0C4D0D8E"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030DAEE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EFB4469"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487C32F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FBCB8E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660F2B98" w14:textId="77777777" w:rsidR="000B1CCE" w:rsidRDefault="000B1CCE">
            <w:pPr>
              <w:snapToGrid w:val="0"/>
              <w:spacing w:before="20" w:after="20"/>
              <w:jc w:val="center"/>
              <w:rPr>
                <w:b/>
              </w:rPr>
            </w:pPr>
          </w:p>
        </w:tc>
      </w:tr>
      <w:tr w:rsidR="000B1CCE" w14:paraId="573B563D"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2EB30167"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24498D62"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34C1AE96"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05537CFF"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6EEF0791"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63024A12"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9E0933E"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77D9148" w14:textId="77777777" w:rsidR="000B1CCE" w:rsidRDefault="00000000">
            <w:pPr>
              <w:snapToGrid w:val="0"/>
              <w:spacing w:before="20" w:after="20"/>
              <w:jc w:val="center"/>
            </w:pPr>
            <w:r>
              <w:rPr>
                <w:rFonts w:ascii="Times New Roman" w:eastAsia="宋体" w:hAnsi="Times New Roman" w:cs="Times New Roman"/>
              </w:rPr>
              <w:t>0.73</w:t>
            </w:r>
          </w:p>
        </w:tc>
      </w:tr>
      <w:tr w:rsidR="000B1CCE" w14:paraId="541C09D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1A684F42"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2EB55C70"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7EA7F6C5"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0CB2EBB7"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09809B"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52978BD4"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ADC35D6"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0D0A02D9" w14:textId="77777777" w:rsidR="000B1CCE" w:rsidRDefault="00000000">
            <w:pPr>
              <w:snapToGrid w:val="0"/>
              <w:spacing w:before="20" w:after="20"/>
              <w:jc w:val="center"/>
            </w:pPr>
            <w:r>
              <w:rPr>
                <w:rFonts w:ascii="Times New Roman" w:eastAsia="宋体" w:hAnsi="Times New Roman" w:cs="Times New Roman"/>
              </w:rPr>
              <w:t>0.77</w:t>
            </w:r>
          </w:p>
        </w:tc>
      </w:tr>
    </w:tbl>
    <w:p w14:paraId="52B229C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17F9019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46BE0ED0" w14:textId="77777777" w:rsidR="000B1CCE" w:rsidRDefault="00000000">
      <w:pPr>
        <w:keepNext/>
        <w:snapToGrid w:val="0"/>
        <w:spacing w:before="180" w:after="60"/>
        <w:jc w:val="center"/>
      </w:pPr>
      <w:r>
        <w:rPr>
          <w:rFonts w:ascii="Times New Roman" w:eastAsia="黑体" w:hAnsi="Times New Roman" w:cs="Times New Roman"/>
        </w:rPr>
        <w:t>表3-64  教师现实阻碍前后测配对分析（n＝129）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80E0364"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4B14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4D5CC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5EC9275"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BB88BE"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79ACA1"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E05A88"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FDD62B"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09D50C8"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2CA4F004"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4E989761"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4EF43A7B"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0A745D26"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2D2633D4"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D9F0842"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90CA750"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057B9204" w14:textId="77777777" w:rsidR="000B1CCE" w:rsidRDefault="000B1CCE">
            <w:pPr>
              <w:snapToGrid w:val="0"/>
              <w:spacing w:before="20" w:after="20"/>
              <w:jc w:val="center"/>
              <w:rPr>
                <w:b/>
              </w:rPr>
            </w:pPr>
          </w:p>
        </w:tc>
      </w:tr>
      <w:tr w:rsidR="000B1CCE" w14:paraId="752801CA"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5E3104BC"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198F98B6"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34E22D9F"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63FD0CBE"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7DDEC902"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66D258D2"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2EA65D50"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3F56848E" w14:textId="77777777" w:rsidR="000B1CCE" w:rsidRDefault="00000000">
            <w:pPr>
              <w:snapToGrid w:val="0"/>
              <w:spacing w:before="20" w:after="20"/>
              <w:jc w:val="center"/>
            </w:pPr>
            <w:r>
              <w:rPr>
                <w:rFonts w:ascii="Times New Roman" w:eastAsia="宋体" w:hAnsi="Times New Roman" w:cs="Times New Roman"/>
              </w:rPr>
              <w:t>0.95</w:t>
            </w:r>
          </w:p>
        </w:tc>
      </w:tr>
      <w:tr w:rsidR="000B1CCE" w14:paraId="3EE53E57"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1AD9AA28"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2B61791B"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556FB99A"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3A303D03"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A15D6D"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348A076C"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E4B987F"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252606F2" w14:textId="77777777" w:rsidR="000B1CCE" w:rsidRDefault="00000000">
            <w:pPr>
              <w:snapToGrid w:val="0"/>
              <w:spacing w:before="20" w:after="20"/>
              <w:jc w:val="center"/>
            </w:pPr>
            <w:r>
              <w:rPr>
                <w:rFonts w:ascii="Times New Roman" w:eastAsia="宋体" w:hAnsi="Times New Roman" w:cs="Times New Roman"/>
              </w:rPr>
              <w:t>0.95</w:t>
            </w:r>
          </w:p>
        </w:tc>
      </w:tr>
    </w:tbl>
    <w:p w14:paraId="7B9573E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2F8D79F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618D6A1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092B37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59F20A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3586E2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12AA0A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204E92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0169F0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表3-65  教师前测开放性回答三级编码表</w:t>
      </w:r>
      <w:r>
        <w:rPr>
          <w:rFonts w:ascii="Times New Roman" w:eastAsia="黑体" w:hAnsi="Times New Roman" w:cs="Times New Roman"/>
        </w:rPr>
      </w:r>
      <w:r>
        <w:rPr>
          <w:rFonts w:ascii="Times New Roman" w:eastAsia="黑体" w:hAnsi="Times New Roman" w:cs="Times New Roman"/>
        </w:rPr>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6CE525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4853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76D7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BEE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3F0D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3AF009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F57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0B45BA9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140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356A71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F92FE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5541C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58C7FD1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480FED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132AA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3357808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3EE9FE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31D557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608421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701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0653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5BC339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6B6EB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123B7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0D75826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434114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14801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5E830A8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6438003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536DEF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3B7CF1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2AADC6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D297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1DEC19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05A05B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73E43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153844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462B00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A33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7B23A1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20FC2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041252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4DE430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3F692F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B2E7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3C6952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2F8184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16D25B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EFF33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10DF51C1"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1529F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19CC11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44D456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210DAC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249F5D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6250146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352AC1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443DEF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170907A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表3-66  教师后测开放性回答三级编码表</w:t>
      </w:r>
      <w:r>
        <w:rPr>
          <w:rFonts w:ascii="Times New Roman" w:eastAsia="黑体" w:hAnsi="Times New Roman" w:cs="Times New Roman"/>
        </w:rPr>
      </w:r>
      <w:r>
        <w:rPr>
          <w:rFonts w:ascii="Times New Roman" w:eastAsia="黑体" w:hAnsi="Times New Roman" w:cs="Times New Roman"/>
        </w:rPr>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063C429E"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76D5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9E3AF1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0030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420ED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5C41523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FC9D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02206AB"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0D44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7B3C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D11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8F5B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354E190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1EABBC5D"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46696A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EAE57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316F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1D4C5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145512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5766F29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3D65EB9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0A0BD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03049A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62B4E5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50E7605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7313CFE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376868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15135E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230DF7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69E513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142539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19C7D583"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A1BD31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787D20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735A4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68AC18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2D2FB1E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698B9BE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256D51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783986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51E24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7188C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271EF43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1EA53DF5"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BE8B0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18B6D9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39BC8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0F93BF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237B8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718D44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4446A26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64D0A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34A177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31798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1F309D8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7276DB7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E93BDF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4ECA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05D6EE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218D32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0CC236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39C5FA39"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4CE5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AA562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05BED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059F6A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4FBDA7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659A80E1"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7B1D2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28F39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5352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2C51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5EBF227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734F31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4027D57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533569A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432439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5FC02A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表3-67  课堂评价工具内部一致性检验结果</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57BECE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14E7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CBD8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45A1C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F5BF2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070FBC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3CA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7B72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683BC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58FD43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0487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BCA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D13A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52AB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430D1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7EE3F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48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736D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E5C08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2BB633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4F796E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07E1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B6D70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09201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C533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0D5B9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8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7B826F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5605F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3EB996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15B15867"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524D3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76F6C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74510B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643664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4F9916C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3F0B7BF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表3-68  删除一级维度后的内部一致性检验</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5C87A72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9FFBB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876E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B721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103680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2470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FEDE6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04AD87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243CAB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69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8C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21A724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10EB0A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9DD9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09F9B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762BF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642CC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0052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B6741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0340B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4BE934BE"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4400D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4848E5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2F863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4C992B1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2B17424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表3-69  各维度与其余四维总分的相关度</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44741B9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55D8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61C616"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F8EF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D034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1D0C39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52D3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458CC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45F3EF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A48F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6AD77D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060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7690E7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300298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6E987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505CBE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743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E0C1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218FDB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26EC3F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23FC9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ECA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9A2C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13F4EE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367C8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F6BBB93"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4419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10E634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6A6A8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130059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33079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4646C2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23ADB0D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5964D4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0C4A9A1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表3-70  课堂评价总分总体描述统计</w:t>
      </w:r>
      <w:r>
        <w:rPr>
          <w:rFonts w:ascii="Times New Roman" w:eastAsia="黑体" w:hAnsi="Times New Roman" w:cs="Times New Roman"/>
        </w:rPr>
      </w:r>
      <w:r>
        <w:rPr>
          <w:rFonts w:ascii="Times New Roman" w:eastAsia="黑体" w:hAnsi="Times New Roman" w:cs="Times New Roman"/>
        </w:rPr>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0CD0D20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62B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AFD6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13EF9C28"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2159E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527CAC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644B2B6C"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A4653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70776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162CA6A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2CDB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18C69A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06989962"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A030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7054F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591AB2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2740FE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3711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6EA2C97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060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76B73C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4963BB90"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6180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1416CA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210AE31A"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121F51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5676A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39B714B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3FA29A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表3-71  课堂评价总分区间分布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2672400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FC22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C8F82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E619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7FBC9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B0F8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0FF4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672CA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37AD3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0A3259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2091F7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4A3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62A291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11A8D7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1566B7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3ACD3B03"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1ADC91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1AD7D1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648434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3EE037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6E5DAE5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1AF722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15F4F2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710C026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表3-72  五个评价维度的描述统计</w:t>
      </w:r>
      <w:r>
        <w:rPr>
          <w:rFonts w:ascii="Times New Roman" w:eastAsia="黑体" w:hAnsi="Times New Roman" w:cs="Times New Roman"/>
        </w:rPr>
      </w:r>
      <w:r>
        <w:rPr>
          <w:rFonts w:ascii="Times New Roman" w:eastAsia="黑体" w:hAnsi="Times New Roman" w:cs="Times New Roman"/>
        </w:rPr>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4016F16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C5A2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E8BA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499D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395385"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45C5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C7AA5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DE5B6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65D7D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BA8B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3815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419D86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33D9C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7DA666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73A4D4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15665D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312F7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599A83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580BCD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826B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286B5D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39E9AB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546DC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2FD5D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D070C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327D37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08D7C0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0E277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BD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8D7B1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75BA80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0ECFC7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54260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52EAC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12E85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6644C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3B1724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1A3F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09103B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ED6EA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25F37B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08D54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7868DF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A5D49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17DAA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5DEE6455"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01E7CE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4DE7F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56C681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186B4B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672A4D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5CFC0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4C710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4004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D8BED1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1C14626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表3-73  五维重复测量整体差异检验</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29CED40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0EEB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7A97A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19E2B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BE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62792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78741444"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7EA95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422EBF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167E58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081612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1C11C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183A755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15B4F94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表3-74  五维两两比较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500AF89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AFA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EF0F3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2874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038ED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EFB6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A422A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17571A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A500C0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6558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D0131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1E005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73176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9FB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A56B6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7B9611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5782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AA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631B18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218C11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D084E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B670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1AF82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3C5F3F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46A068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6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7BD17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C46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8E29E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D9F6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4EC202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3EF9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CEEAD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E76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0C319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7C21D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70F55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95BE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AB029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433944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8F719A7"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26295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4B09E5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55C6DC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4AA002B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779437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0C1416B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79B7BA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1889FCA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表3-75  不同学科课堂评价描述统计</w:t>
      </w:r>
      <w:r>
        <w:rPr>
          <w:rFonts w:ascii="Times New Roman" w:eastAsia="黑体" w:hAnsi="Times New Roman" w:cs="Times New Roman"/>
        </w:rPr>
      </w:r>
      <w:r>
        <w:rPr>
          <w:rFonts w:ascii="Times New Roman" w:eastAsia="黑体" w:hAnsi="Times New Roman" w:cs="Times New Roman"/>
        </w:rPr>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290773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AE1F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3060D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A28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02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EF52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0EBF5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CF49F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556F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E3505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3B6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0AC3A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A3E2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4E56D0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738EE2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B8672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7FE7F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00A2BC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3ED87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2A03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C68B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14CFC8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024261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7A21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11CCD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38FD6B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6D2232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140097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E6F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59A5FF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503ABA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1B8F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54677C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131E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12A0DA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3FE374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56EC3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BCE9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6B572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0AB474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47E2E1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6604C5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00C81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5ACB09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3A43C8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5DA3934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1548C4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23A0E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EF1B3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49914A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5E770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7AD2C8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0356F1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3985D0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6756E6F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0BE82E9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表3-76  英语学科低分记录的敏感性描述</w:t>
      </w:r>
      <w:r>
        <w:rPr>
          <w:rFonts w:ascii="Times New Roman" w:eastAsia="黑体" w:hAnsi="Times New Roman" w:cs="Times New Roman"/>
        </w:rPr>
      </w:r>
      <w:r>
        <w:rPr>
          <w:rFonts w:ascii="Times New Roman" w:eastAsia="黑体" w:hAnsi="Times New Roman" w:cs="Times New Roman"/>
        </w:rPr>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01F1657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50E1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D77DE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05E5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38BC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A2F082"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58D273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CD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00500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1910F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BFB3B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301962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0D5716A3"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1C9A18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5E98E7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AE529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34827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0CD2C8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610C10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26F43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1BAA0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6FB9C7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45389FA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表3-77  不同课例课堂评价得分及离散程度</w:t>
      </w:r>
      <w:r>
        <w:rPr>
          <w:rFonts w:ascii="Times New Roman" w:eastAsia="黑体" w:hAnsi="Times New Roman" w:cs="Times New Roman"/>
        </w:rPr>
      </w:r>
      <w:r>
        <w:rPr>
          <w:rFonts w:ascii="Times New Roman" w:eastAsia="黑体" w:hAnsi="Times New Roman" w:cs="Times New Roman"/>
        </w:rPr>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53BB2A2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529D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8113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DD46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E802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BFAD04"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5D3D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14242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81AE03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E4D1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ED421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B240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FB5E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20181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87BBD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1E1509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4B553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17D6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F983A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E17C3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30BC5E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4593B3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E4D7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0C7A4F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34BFF8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B443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4A00C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0B0E9B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4A7ABB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618706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404B8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143448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58D09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9AD6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621AC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74D82A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23D3C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E970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25F00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1A1D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397BA2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FD5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1524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2C0916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73C0DC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8D194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B2B80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3EF0DD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7E39EA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078C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7AE93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5F4AB2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4FC024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195128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597E9C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694B06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459E87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E838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DCB99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6DD11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9FE1D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54C67C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5D9E3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1AAEF9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1277CF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A41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332C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E8EFC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5E739B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41325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3D99D5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51B11B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58785EDD"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1952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0CC36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3E61B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46A9BE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7903AC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1CFB1F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68E5F1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1CDC37C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75397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CD74A9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表3-78  英语1课例的敏感性描述</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31FB5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55F7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077F0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A0BAA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4AE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3B89B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7EA7B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7F34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451CEE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1E5B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3B042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7BEAED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2FD55934"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036C38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69CEB8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8BB9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D45B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5BA86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26CBF63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79B132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1DF23E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71617A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43ADE30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表3-79  教师开放式评语主题编码频次</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6CFD7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EB32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E143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5B9F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312A6B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48E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0E092B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10D75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E301E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79B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2F7D15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6CA417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611423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FFC7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5D8DB8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20EDE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7F4BAE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4E0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220314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6B3585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0DD55B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7784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2524C6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0EEF4F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0E890E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127A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58E7FC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56E0F0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75B32D1B"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3AEBAA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7E0979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4C9470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75D64E9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39927C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43BC65F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2DA1B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314BD9B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表3-80  五维量化结构与开放文本的对应分析</w:t>
      </w:r>
      <w:r>
        <w:rPr>
          <w:rFonts w:ascii="Times New Roman" w:eastAsia="黑体" w:hAnsi="Times New Roman" w:cs="Times New Roman"/>
        </w:rPr>
      </w:r>
      <w:r>
        <w:rPr>
          <w:rFonts w:ascii="Times New Roman" w:eastAsia="黑体" w:hAnsi="Times New Roman" w:cs="Times New Roman"/>
        </w:rPr>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21A08308"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EBD7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C8BE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49AE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BA2D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8049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6BDE4BD9"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25CF8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5B077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DDC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01C74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55C7C5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1003533A"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A10BE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7F65C8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7ECF1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69B798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4364E0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609B5DC7"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A9C9B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1503B0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49882A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07D7C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7AF9EA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7491F9D8"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3698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42D307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34D6F4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572EC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14F420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6382879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1F2AC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46835C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874F3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79A5FA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6F852F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2197946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4F25EF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7D6C07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34701B2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4BCF2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6478E4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0CD1C54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68A069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表3-81  10节课教师与学生行为结构及教师主要行为时间</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1BAFC59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2C9C5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27761C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EE8F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F36A7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4881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6A9D49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CF7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AFDE5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5961E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1CCE0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6AA34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171CD2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28B3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77A2E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355BB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19CD55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45F0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FCC79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B540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F6A28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76A18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2D57C6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1B6514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100EA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EB1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9E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01BD47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5566E1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6DEE5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72B89A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48E5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4CF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54C2D0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50BCA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F678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526F33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02E8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A294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012D4D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4214D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46CF1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06E626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407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E7E25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1878B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69DA5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7BC1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B264E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66F1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643D5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236C7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13DADD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E7936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588AE2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929C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E8C6C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2C1E88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2A596A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352BF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CC0B992"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6328F2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4E65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04E6E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8CBC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CD39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89BFD4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3350E5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41780B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356FC7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1C3D43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表3-82  10节课学生主要学习行为时间分布</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26CA7D3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510C8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BA0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3733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B026B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B06A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54CFA7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2BD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2A2E0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D9C9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BF234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65CF17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016D5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57BA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98E0A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929DC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F67D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C2FC7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13D8B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02AA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FA4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7905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BC880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075F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C8DF9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541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46F2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8656F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67E3E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43FBE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02ECE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AA63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CC436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6A88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781156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C1D6E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74ACA0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C1B0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7A57F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3287A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2EEED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2902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64A81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341D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794DED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8AC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0AEEEB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AD69C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DBE08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4F21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DB653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BF08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9B37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5580B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7E70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4645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8D644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F0609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5BA49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6B34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25E1394A"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053DF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35569E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570A6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465EE9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422BD0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4C5F80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表3-83  学生主要学习行为的描述统计</w:t>
      </w:r>
      <w:r>
        <w:rPr>
          <w:rFonts w:ascii="Times New Roman" w:eastAsia="黑体" w:hAnsi="Times New Roman" w:cs="Times New Roman"/>
        </w:rPr>
      </w:r>
      <w:r>
        <w:rPr>
          <w:rFonts w:ascii="Times New Roman" w:eastAsia="黑体" w:hAnsi="Times New Roman" w:cs="Times New Roman"/>
        </w:rPr>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756E638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BF9C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FF431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0D6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B0DF3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6FA73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21EDEA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C68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56706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17297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35BC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6C9818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52C46A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41C0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8838B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8C92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0D899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00803D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4EBB77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4824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EB9A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337E2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1F6D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252670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DB682A8"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08F681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73C356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27D2A6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575CD1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1ED6B3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4DBF25F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39208B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085A0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11603F2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3463F8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7A38F40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表3-84  10节课师生问答与学生讨论时间</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2D552BF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F7169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29D1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4F77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A18AC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07407D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557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1896F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08E1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62EAA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3CE13B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8C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BB660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9DEE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BD246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43D16B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BF99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C6F1E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0458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7B98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92A2D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1419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282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8DA98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5293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2A00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328F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8A9F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B961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87AAC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19A9C3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509D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BA33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44620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1594B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55482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D01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6A2FCB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6992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D9EEF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51278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C5A3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512D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D50E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E99E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017365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AE9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CEAC3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67A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41194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753B0910"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43003E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B5E8D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56874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434626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4D7A2F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0F94F7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60F984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表3-85  6节课提问认知层级分布</w:t>
      </w:r>
      <w:r>
        <w:rPr>
          <w:rFonts w:ascii="Times New Roman" w:eastAsia="黑体" w:hAnsi="Times New Roman" w:cs="Times New Roman"/>
        </w:rPr>
      </w:r>
      <w:r>
        <w:rPr>
          <w:rFonts w:ascii="Times New Roman" w:eastAsia="黑体" w:hAnsi="Times New Roman" w:cs="Times New Roman"/>
        </w:rPr>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479CCE07"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680C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5C1EE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290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DDE82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406C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A045A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9DB5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46A7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79AC85A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598C5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0D8BD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5F472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DE111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E767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2A5B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7120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3F2EE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EA5F947"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A90C3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EA79E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F6708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ECA7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86B2A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25737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66F7ED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067F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139C9770"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058FD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FC10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0FFCE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09F64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DD1C7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E57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A3D7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D7F31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73F8E6C"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796A53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F0EFE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4250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4101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102D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FADB7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1661B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3EB315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131B8878"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5C47BE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77136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D50BB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2E6E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95ED6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665D5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BB48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7751E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1D0E9DA4"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224F28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51D2A1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7A5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2809BE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D267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5AD46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287C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ED002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54C2633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4065D9A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表3-86  6节课提问认知层级总体结构</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5D142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E5BA1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5DEFC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C4AA9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656E353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E61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1941FC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138EB9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6B7DD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FC6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21CDE09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722E0B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81EF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E5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62FFD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0BA8DC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046353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9DB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6BBD4D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584905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567F0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8F50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1A85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6E8953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4A825A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8E6E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36431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80031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49C1CCD"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05D074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2905C1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5CDD6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6409A6E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155FD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3ADAFB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DFAB3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5D462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0FE25A5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79B04DB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表3-87  希沃AI原始反馈文本编码示例</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43E35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A323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A334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1244B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6706E7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C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711314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03F848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31253EB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F4E7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645B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144188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6DEF25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E40B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53AAA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553BB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555666A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73C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67888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92396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0E92AC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C9E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6F516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21C145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698A933D"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2BE2A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11E9E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7EA3B6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043F78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1203A0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303C39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116C49B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02552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18E0EF7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08508D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1559874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26A6F0C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30CAC0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D6EE6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93FDB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12786BC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4F72DA1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D34A7A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0F86FC"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26BA2D9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587E6EE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426342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8AA5BD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4A91DAA9"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46A106C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571177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9D1221"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4ACD722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7992E4E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8ECF0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A7F56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D7DAE42"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434572C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364645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D69F8C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357ACE3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7EB5914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A51775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25B204B"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CF283C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78A12D99"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16924B0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0555DC8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9F93633"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5A5F36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11AA5B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4F8648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6D87C8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0D1C5C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1415D0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23FDDF6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5D716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61A4B3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971E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8595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15D4D3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20C876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4579B5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692670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02BCA35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19D21C71"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2C99C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23BA580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3ED038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551DCB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730D59F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40F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178E1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4577FE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277A9A1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25764AB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0"/>
                    <a:stretch>
                      <a:fillRect/>
                    </a:stretch>
                  </pic:blipFill>
                  <pic:spPr>
                    <a:xfrm>
                      <a:off x="0" y="0"/>
                      <a:ext cx="4229735" cy="2561590"/>
                    </a:xfrm>
                    <a:prstGeom prst="rect">
                      <a:avLst/>
                    </a:prstGeom>
                  </pic:spPr>
                </pic:pic>
              </a:graphicData>
            </a:graphic>
          </wp:inline>
        </w:drawing>
      </w:r>
    </w:p>
    <w:p w14:paraId="461CE03D"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5CD35F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411D4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355B535F"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B0FB224"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1431E6A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96B14E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0E83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3DDFA1B"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05D0C67D"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7BD4EFA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B9A329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59289FE"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51C49A48"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7E5FA128"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35B6760A"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DB36E0"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65901DC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B20C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724576A"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783A6C6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745D7EA9"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41D1121B"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CB06144"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6C41928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4D4593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16EF2E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5869B85F"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AD30BA5"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3D72B1CD"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741BDEDC"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010695D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9E775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C553706"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0C2CA2AC"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27694A85"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0D5CA656"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3665F8CD"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6714FCC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4AFD40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66698A"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BEB9359"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07808A5D"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6948BAC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2631FF1F"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06B39BD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B32918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E0587BD"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45353121"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4AAA62B"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1B577AB"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9BCAFDD"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614118E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36E1F7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2B9A69E"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4739D071"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0FFE5F1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2C9389C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31900D1"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535C07D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964707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D3B615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2A114355"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7350E4B9"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1638D0A"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3266776"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570F9233"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CA6811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6AB397C9"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06D2F5F4"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63255C0"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41084DC"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78C5CB27"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0B68921C"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45B9FF0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0B78CA7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33FC0F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67F6D368"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031935DF"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1"/>
                    <a:stretch>
                      <a:fillRect/>
                    </a:stretch>
                  </pic:blipFill>
                  <pic:spPr>
                    <a:xfrm>
                      <a:off x="0" y="0"/>
                      <a:ext cx="4427855" cy="2171700"/>
                    </a:xfrm>
                    <a:prstGeom prst="rect">
                      <a:avLst/>
                    </a:prstGeom>
                  </pic:spPr>
                </pic:pic>
              </a:graphicData>
            </a:graphic>
          </wp:inline>
        </w:drawing>
      </w:r>
    </w:p>
    <w:p w14:paraId="79344D80" w14:textId="77777777" w:rsidR="000B1CCE" w:rsidRDefault="00000000">
      <w:pPr>
        <w:spacing w:before="40" w:after="160"/>
        <w:jc w:val="left"/>
      </w:pPr>
      <w:r>
        <w:rPr>
          <w:rFonts w:ascii="Times New Roman" w:eastAsia="华文楷体" w:hAnsi="Times New Roman" w:cs="Times New Roman"/>
          <w:sz w:val="18"/>
        </w:rPr>
        <w:t>模型</w:t>
      </w:r>
      <w:r>
        <w:rPr>
          <w:rFonts w:ascii="Times New Roman" w:eastAsia="华文楷体" w:hAnsi="Times New Roman" w:cs="Times New Roman"/>
          <w:sz w:val="18"/>
        </w:rPr>
        <w:t>2.0</w:t>
      </w:r>
      <w:r>
        <w:rPr>
          <w:rFonts w:ascii="Times New Roman" w:eastAsia="华文楷体" w:hAnsi="Times New Roman" w:cs="Times New Roman"/>
          <w:sz w:val="18"/>
        </w:rPr>
        <w:t>强调迁移作为能力运用指向；本图严格沿用学生问卷原测量维度创造进行统计呈现。</w:t>
      </w:r>
    </w:p>
    <w:p w14:paraId="668E2F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77B2A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1AB828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260238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E474C3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50443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63BD717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75B78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1D2F2D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35E158C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11744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4B542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08CAF6C2"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268B6310"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D692E24"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71C07B9"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612C96"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FF82B04"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1E971EF5"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30D2FA9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4C643048"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3A9D215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3914984A"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662323A0"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6D1A9BAC" w14:textId="77777777" w:rsidR="000B1CCE" w:rsidRDefault="00000000">
            <w:pPr>
              <w:spacing w:before="20" w:after="20"/>
              <w:jc w:val="center"/>
            </w:pPr>
            <w:r>
              <w:rPr>
                <w:rFonts w:ascii="Times New Roman" w:eastAsia="宋体" w:hAnsi="Times New Roman" w:cs="Times New Roman"/>
              </w:rPr>
              <w:t>0.940</w:t>
            </w:r>
          </w:p>
        </w:tc>
      </w:tr>
      <w:tr w:rsidR="000B1CCE" w14:paraId="338DB16D"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28E34181"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3154A783"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7AB2888"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1C3E9804"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285A842E" w14:textId="77777777" w:rsidR="000B1CCE" w:rsidRDefault="00000000">
            <w:pPr>
              <w:spacing w:before="20" w:after="20"/>
              <w:jc w:val="center"/>
            </w:pPr>
            <w:r>
              <w:rPr>
                <w:rFonts w:ascii="Times New Roman" w:eastAsia="宋体" w:hAnsi="Times New Roman" w:cs="Times New Roman"/>
              </w:rPr>
              <w:t>0.852</w:t>
            </w:r>
          </w:p>
        </w:tc>
      </w:tr>
      <w:tr w:rsidR="000B1CCE" w14:paraId="2D0C2F9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5DDC7ED5"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6EFAA238"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02E2D51"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268D305A"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1184C1D1" w14:textId="77777777" w:rsidR="000B1CCE" w:rsidRDefault="00000000">
            <w:pPr>
              <w:spacing w:before="20" w:after="20"/>
              <w:jc w:val="center"/>
            </w:pPr>
            <w:r>
              <w:rPr>
                <w:rFonts w:ascii="Times New Roman" w:eastAsia="宋体" w:hAnsi="Times New Roman" w:cs="Times New Roman"/>
              </w:rPr>
              <w:t>0.852</w:t>
            </w:r>
          </w:p>
        </w:tc>
      </w:tr>
      <w:tr w:rsidR="000B1CCE" w14:paraId="7FBD2F7D"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478A8454"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8036781"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5A6834D"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007E6BC"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4A2B71E5" w14:textId="77777777" w:rsidR="000B1CCE" w:rsidRDefault="00000000">
            <w:pPr>
              <w:spacing w:before="20" w:after="20"/>
              <w:jc w:val="center"/>
            </w:pPr>
            <w:r>
              <w:rPr>
                <w:rFonts w:ascii="Times New Roman" w:eastAsia="宋体" w:hAnsi="Times New Roman" w:cs="Times New Roman"/>
              </w:rPr>
              <w:t>0.852</w:t>
            </w:r>
          </w:p>
        </w:tc>
      </w:tr>
    </w:tbl>
    <w:p w14:paraId="17D3B8F6"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306B74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25512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34FB62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2AEE063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8720065"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2"/>
                    <a:stretch>
                      <a:fillRect/>
                    </a:stretch>
                  </pic:blipFill>
                  <pic:spPr>
                    <a:xfrm>
                      <a:off x="0" y="0"/>
                      <a:ext cx="4352925" cy="2272665"/>
                    </a:xfrm>
                    <a:prstGeom prst="rect">
                      <a:avLst/>
                    </a:prstGeom>
                  </pic:spPr>
                </pic:pic>
              </a:graphicData>
            </a:graphic>
          </wp:inline>
        </w:drawing>
      </w:r>
    </w:p>
    <w:p w14:paraId="1885D8F1"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61E05C8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7749C1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639499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56E2958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4D8F5A39"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3"/>
                    <a:stretch>
                      <a:fillRect/>
                    </a:stretch>
                  </pic:blipFill>
                  <pic:spPr>
                    <a:xfrm>
                      <a:off x="0" y="0"/>
                      <a:ext cx="4498975" cy="2347595"/>
                    </a:xfrm>
                    <a:prstGeom prst="rect">
                      <a:avLst/>
                    </a:prstGeom>
                  </pic:spPr>
                </pic:pic>
              </a:graphicData>
            </a:graphic>
          </wp:inline>
        </w:drawing>
      </w:r>
    </w:p>
    <w:p w14:paraId="0F85120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7F12524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7CEBCB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CE5403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01DE70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4D9A4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31988C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44575B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667019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758A61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58C670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4FC8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50DD26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4F17E4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296EF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535E6A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6832CA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4B6B3796"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F85EC69"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FCB7F51"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CE013FA" w14:textId="77777777" w:rsidR="000B1CCE" w:rsidRDefault="00000000">
            <w:pPr>
              <w:spacing w:before="20" w:after="20"/>
              <w:jc w:val="center"/>
            </w:pPr>
            <w:r>
              <w:rPr>
                <w:rFonts w:ascii="Times New Roman" w:eastAsia="宋体" w:hAnsi="Times New Roman" w:cs="Times New Roman"/>
                <w:b/>
              </w:rPr>
              <w:t>主要证据</w:t>
            </w:r>
          </w:p>
        </w:tc>
      </w:tr>
      <w:tr w:rsidR="000B1CCE" w14:paraId="7140E74C"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B404032"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1AEB9BAD"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5BC009B2"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7A19E1CD"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1F6558E"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23D07AC"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3A5C1838"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7C0E5FB3"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4DF85DEC"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4C380884"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1CAB8B5E"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04B916FA"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4E7A4BF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44C118D3"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EE2252D"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4BB33050"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34514F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2E618E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B1EAC7"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1788CD3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76360A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1238083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0A9F36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18F7489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61A898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1BF529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74C47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34577D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1B860493"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翁绮睿, 彭正梅. (2023). 成为自己的教师：“可见的学习”视野下的学生自评能力研究. 教育发展研究, 43(22), 38–54.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伍绍杨. (2025). 唤醒家庭的力量. 上海教育, (26), 50–51.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陈添. (2025). 认识你的领导力：以可见的学习重塑教育变革. 上海教育, (26), 48–49.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高嘉诚, 梁锦芳. (2025). “可见的学习”视域下学生自评力培养的实践. 上海教育, (26), 52–53.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高妍, 缪秋英, 邓莉. (2025). DIIE模式：一种教师可以共享的教学语言. 上海教育, (26), 40–41.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何光友, 沈勍, 伍绍杨. (2025). 可见的学习视角下的项目化设计. 上海教育, (26), 44–45.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 王倩, 陈唤春, 高星原. (2021). 交往能力：中国青少年社会与情感能力测评分报告之五. 华东师范大学学报（教育科学版）, 39(9), 93–108. https://doi.org/10.16382/j.cnki.1000-5560.2021.09.006</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 (2022). 义务教育课程方案（2022年版）. 北京师范大学出版社.</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 (2023). 基础教育课程教学改革深化行动方案（教材厅函〔2023〕3号）. https://www.gov.cn/zhengce/zhengceku/202306/content_6884785.htm</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 (2025). 中小学生成式人工智能使用指南（2025年版）. 转引自中国新闻网2025年5月12日报道. https://www.chinanews.com.cn/cj/2025/05-12/10414191.shtml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李茂森, 祝蕾蕾. (2022). 中小学课堂教学反馈的现实困境与改进路径：基于哈蒂“可见的学习”的视角. 教育发展研究, 42(20), 77–84.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林心悦. (2025). 卓越教师的三个形象与十个心智框架. 上海教育, (26), 46–47.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 杨向东. (2022). 什么才是高阶思维？——以“新旧知识关系建立”为核心的高阶思维概念框架. 华东师范大学学报（教育科学版）, 40(11), 58–68. https://doi.org/10.16382/j.cnki.1000-5560.2022.11.005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马梓越, 沈勍, 伍绍杨. (2025). 可见的学习与学科教学应用. 上海教育, (26), 42–43.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(2015). 寻求教学的“圣杯”：论哈蒂《可见的学习》及教育学的实证倾向. 教育发展研究, 35(6), 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施芳婷, 伍绍杨. (2022). 卓越教师的10个心智框架：《可见的学习》与《学记》的比较. 湖南师范大学教育科学学报, 21(5), 23–31.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(2025). 可见的学习：从理论探索到实践创新. 上海教育, (26), 26–28.</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邓莉. (2019). 如何培养高阶能力：哈蒂“可见的学习”的视角. 教育研究, 40(5), 76–85.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邱惠芬. (2024). “可见的学习”视域下初中化学学科实践学习分析框架的建构. 化学教学, (2), 27–33.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(2019a). 上海市初中学业水平考试实施办法（沪教委规〔2019〕2号）.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(2019b). 上海市初中学生综合素质评价实施办法（沪教委规〔2019〕3号）.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(2021). 上海市普通高中课程实施方案.</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(2023). 关于实施项目化学习推动义务教育育人方式改革的指导意见（沪教委基〔2023〕24号）. https://edu.sh.gov.cn/xxgk2_zdgz_jcjy_01/20230901/d22c1043024d4d0e9d32b85fd3392186.html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(2025). 基于“可见的学习”，探索学生高阶能力培养. 上海教育, (26), 54–55.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伍绍杨. (2025). 高阶能力的培养之道. 上海教育, (26), 36–37.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施芳婷. (2025). 重新评估学校成功学习的条件. 上海教育, (26), 29–31.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石修银. (2021). 基于“可见的学习”理论的语文教学设计、过程及评价. 课程·教材·教法, 41(8), 83–89.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温英贝, 伍绍杨. (2025). 有效反馈的艺术. 上海教育, (26), 38–39.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(2015). 可见的学习：未完成的故事. 基础教育, 12(5), 107–112.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(2025). 可见的学习的全球迁移. 上海教育, (26), 32–33.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(2021). 迈向更有效的反馈：哈蒂“可见的学习”的模式. 开放教育研究, 27(4), 27–40.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(2025). 学习科学证明了什么：哈蒂“可见的学习”的视角. 教育发展研究, 45(8), 39–50.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(2026). 教育知识的全球迁移与重构：以“可见的学习”为例. 比较教育研究, 48(3), 92–101.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施芳婷, 彭正梅. (2023). 哪些因素对学业成就的影响最大：基于对“哈蒂排名”和PISA-TALIS的分析. 外国教育研究, 50(7), 58–82.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 (2025, 1月14日). 素养立意的课程建设与教学变革. 中国教育在线. https://www.eol.cn/news/xueshu/hui/202501/t20250114_2651182.shtml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 黄忠敬, 王纮, 王翔宇, 张静. (2024). 中国青少年社会与情感能力发展水平报告——基于第二轮SSES测评数据. 华东师范大学学报（教育科学版）, 42(5), 1–32. https://doi.org/10.16382/j.cnki.1000-5560.2024.05.001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张诗琪. (2025). 学习的九个基本原则. 上海教育, (26), 34–35.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 国务院. (2020). 深化新时代教育评价改革总体方案. https://www.gov.cn/zhengce/2020-10/13/content_5551032.htm</w:t>
      </w:r>
    </w:p>
    <w:p w14:paraId="3E5FA7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76A55D2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0F27E8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31EBC14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3C6387C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515CD1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70D2B8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5EEA628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60D265E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029C23B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3B13D4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02D8108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35FEB0C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06D1BD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3765B95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5482FF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408C643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4EC5C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5AA59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1E8E78A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5AB7F87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5EC4880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34A2A23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5E3540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3BF6E91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0A58619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7BA374C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8C2E6B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781A6C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8CF982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3F0CF4A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6F124E0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2C487EE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7439DA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6A807E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5E8597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4610689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7E88C0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5F3B59E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02F3F35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63CA377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5FBE2C7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DBDB5F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11FA968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556E868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0C2C953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2564DEC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29C27D6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2552032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5650D3F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3A23DB"/>
    <w:rsid w:val="004C0E21"/>
    <w:rsid w:val="006E72A5"/>
    <w:rsid w:val="00CD5D2E"/>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47D56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18573</Words>
  <Characters>105871</Characters>
  <Application>Microsoft Office Word</Application>
  <DocSecurity>0</DocSecurity>
  <Lines>882</Lines>
  <Paragraphs>248</Paragraphs>
  <ScaleCrop>false</ScaleCrop>
  <Company/>
  <LinksUpToDate>false</LinksUpToDate>
  <CharactersWithSpaces>124196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4</cp:revision>
  <dcterms:created xsi:type="dcterms:W3CDTF">2026-10-11T12:17:00Z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