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w:t>
      </w:r>
      <w:r w:rsidRPr="00BF4EC4">
        <w:rPr>
          <w:rFonts w:ascii="Times New Roman" w:eastAsia="宋体" w:hAnsi="Times New Roman" w:cs="Times New Roman"/>
          <w:color w:val="000000"/>
          <w:kern w:val="0"/>
          <w:sz w:val="24"/>
        </w:rPr>
        <w:lastRenderedPageBreak/>
        <w:t>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w:t>
      </w:r>
      <w:r w:rsidRPr="00BF4EC4">
        <w:rPr>
          <w:rFonts w:ascii="Times New Roman" w:eastAsia="宋体" w:hAnsi="Times New Roman" w:cs="Times New Roman"/>
          <w:color w:val="000000"/>
          <w:kern w:val="0"/>
          <w:sz w:val="24"/>
        </w:rPr>
        <w:lastRenderedPageBreak/>
        <w:t>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w:t>
      </w:r>
      <w:r w:rsidRPr="00BF4EC4">
        <w:rPr>
          <w:rFonts w:ascii="Times New Roman" w:eastAsia="宋体" w:hAnsi="Times New Roman" w:cs="Times New Roman"/>
          <w:color w:val="000000"/>
          <w:kern w:val="0"/>
          <w:sz w:val="24"/>
        </w:rPr>
        <w:lastRenderedPageBreak/>
        <w:t>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w:t>
      </w:r>
      <w:r w:rsidRPr="00BF4EC4">
        <w:rPr>
          <w:rFonts w:ascii="Times New Roman" w:eastAsia="宋体" w:hAnsi="Times New Roman" w:cs="Times New Roman"/>
          <w:color w:val="000000"/>
          <w:kern w:val="0"/>
          <w:sz w:val="24"/>
        </w:rPr>
        <w:lastRenderedPageBreak/>
        <w:t>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w:t>
      </w:r>
      <w:r w:rsidRPr="00BF4EC4">
        <w:rPr>
          <w:rFonts w:ascii="Times New Roman" w:eastAsia="宋体" w:hAnsi="Times New Roman" w:cs="Times New Roman"/>
          <w:color w:val="000000"/>
          <w:kern w:val="0"/>
          <w:sz w:val="24"/>
        </w:rPr>
        <w:lastRenderedPageBreak/>
        <w:t>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w:t>
      </w:r>
      <w:r w:rsidRPr="00BF4EC4">
        <w:rPr>
          <w:rFonts w:ascii="Times New Roman" w:eastAsia="宋体" w:hAnsi="Times New Roman" w:cs="Times New Roman"/>
          <w:color w:val="000000"/>
          <w:kern w:val="0"/>
          <w:sz w:val="24"/>
        </w:rPr>
        <w:lastRenderedPageBreak/>
        <w:t>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w:t>
      </w:r>
      <w:r w:rsidRPr="00BF4EC4">
        <w:rPr>
          <w:rFonts w:ascii="Times New Roman" w:eastAsia="宋体" w:hAnsi="Times New Roman" w:cs="Times New Roman"/>
          <w:color w:val="000000"/>
          <w:kern w:val="0"/>
          <w:sz w:val="24"/>
        </w:rPr>
        <w:lastRenderedPageBreak/>
        <w:t>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w:t>
      </w:r>
      <w:r w:rsidRPr="00BF4EC4">
        <w:rPr>
          <w:rFonts w:ascii="Times New Roman" w:eastAsia="宋体" w:hAnsi="Times New Roman" w:cs="Times New Roman"/>
          <w:color w:val="000000"/>
          <w:kern w:val="0"/>
          <w:sz w:val="24"/>
        </w:rPr>
        <w:lastRenderedPageBreak/>
        <w:t>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3-7），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过程维度把教师活动与学生实践联系起来，依据证据反馈推动学习深化（图3-8），将五环学习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