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些政策要求指向同一个方向。学校教育既要关心学生最终的学业结果，也要关心学生在学习过程中是否真正经历了分析、判断、探究、合作和创新；评价既要判断学生是否学会，也要为改进教与学提供依据。这正是高阶能力培育需要回答的问题。</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。上海的课程改革已经从文件层面进入学校日常教学和持续研究的层面。</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1947127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研究周期为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11</w:t>
      </w:r>
      <w:r w:rsidRPr="00BF4EC4">
        <w:rPr>
          <w:rFonts w:ascii="Times New Roman" w:eastAsia="宋体" w:hAnsi="Times New Roman" w:cs="Times New Roman"/>
          <w:color w:val="000000"/>
          <w:kern w:val="0"/>
          <w:sz w:val="24"/>
        </w:rPr>
        <w:t>月至</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月，与上海项目化学习由全面启动到常态化实施的推进时段基本重合。课题组在学科课堂和科创项目中探索高阶能力</w:t>
      </w:r>
      <w:r w:rsidRPr="00BF4EC4">
        <w:rPr>
          <w:rFonts w:ascii="Times New Roman" w:eastAsia="宋体" w:hAnsi="Times New Roman" w:cs="Times New Roman"/>
          <w:color w:val="000000"/>
          <w:kern w:val="0"/>
          <w:sz w:val="24"/>
        </w:rPr>
        <w:lastRenderedPageBreak/>
        <w:t>培育的做法，与市级层面关于真实问题、持续探究和教学评一致的要求方向一致，研究成果也可以为学校落实上述要求提供校本经验。</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。对一所上海初高中学校而言，学生能否在真实、复杂的问题中分析判断、提出方案并与人合作，已经成为课程、教学和评价共同关注的内容，学校需要找到在日常课堂和科创活动中系统培养这些能力的办法。</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研究证据也表明，技术本身不会自动提升学生的思维水平。综合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可见的学习理论正是针对这一问题提出的。该理论主张教师明确告知学生成功的学习表现是什么样子，让学生清楚学习要到达哪里、当前处在什么位置以及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。如何把这一主张转化为能够识别和支持高阶能力的具体课堂做法，是当前课堂教学改革需要解决的现实问题。</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D9579D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关于高阶能力的研究</w:t>
      </w:r>
      <w:bookmarkEnd w:id="8"/>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）以高阶能力为主题进行检索，共获得相关文献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篇作为国内文献分析样本。同时，课题组梳理了国外关于高阶思维、批判性思维、创造力、社会情感能力、深度学习、</w:t>
      </w:r>
      <w:r w:rsidRPr="00BF4EC4">
        <w:rPr>
          <w:rFonts w:ascii="Times New Roman" w:eastAsia="宋体" w:hAnsi="Times New Roman" w:cs="Times New Roman"/>
          <w:color w:val="000000"/>
          <w:kern w:val="0"/>
          <w:sz w:val="24"/>
        </w:rPr>
        <w:lastRenderedPageBreak/>
        <w:t>探究式学习和形成性评价的代表性研究，从内涵与结构、发展条件、学科与情境、评价方式和数智技术影响五个方面进行综述。</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中国知网计量可视化分析的结果显示，国内关于高阶能力的研究总体呈波动上升趋势。</w:t>
      </w:r>
      <w:r w:rsidRPr="00BF4EC4">
        <w:rPr>
          <w:rFonts w:ascii="Times New Roman" w:eastAsia="宋体" w:hAnsi="Times New Roman" w:cs="Times New Roman"/>
          <w:color w:val="000000"/>
          <w:kern w:val="0"/>
          <w:sz w:val="24"/>
        </w:rPr>
        <w:t>2004—2017</w:t>
      </w:r>
      <w:r w:rsidRPr="00BF4EC4">
        <w:rPr>
          <w:rFonts w:ascii="Times New Roman" w:eastAsia="宋体" w:hAnsi="Times New Roman" w:cs="Times New Roman"/>
          <w:color w:val="000000"/>
          <w:kern w:val="0"/>
          <w:sz w:val="24"/>
        </w:rPr>
        <w:t>年相关研究数量较少，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年以后逐渐增加，</w:t>
      </w:r>
      <w:r w:rsidRPr="00BF4EC4">
        <w:rPr>
          <w:rFonts w:ascii="Times New Roman" w:eastAsia="宋体" w:hAnsi="Times New Roman" w:cs="Times New Roman"/>
          <w:color w:val="000000"/>
          <w:kern w:val="0"/>
          <w:sz w:val="24"/>
        </w:rPr>
        <w:t>2020—2021</w:t>
      </w:r>
      <w:r w:rsidRPr="00BF4EC4">
        <w:rPr>
          <w:rFonts w:ascii="Times New Roman" w:eastAsia="宋体" w:hAnsi="Times New Roman" w:cs="Times New Roman"/>
          <w:color w:val="000000"/>
          <w:kern w:val="0"/>
          <w:sz w:val="24"/>
        </w:rPr>
        <w:t>年出现较明显增长，</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年以来再次升温，</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79C88D6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）高阶能力的内涵与结构</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高阶能力研究通常以本杰明</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布卢姆（</w:t>
      </w:r>
      <w:r w:rsidRPr="00BF4EC4">
        <w:rPr>
          <w:rFonts w:ascii="Times New Roman" w:eastAsia="宋体" w:hAnsi="Times New Roman" w:cs="Times New Roman"/>
          <w:color w:val="000000"/>
          <w:kern w:val="0"/>
          <w:sz w:val="24"/>
        </w:rPr>
        <w:t>Benjamin Bloom</w:t>
      </w:r>
      <w:r w:rsidRPr="00BF4EC4">
        <w:rPr>
          <w:rFonts w:ascii="Times New Roman" w:eastAsia="宋体" w:hAnsi="Times New Roman" w:cs="Times New Roman"/>
          <w:color w:val="000000"/>
          <w:kern w:val="0"/>
          <w:sz w:val="24"/>
        </w:rPr>
        <w:t>）教育目标分类的修订版为起点。修订版将认知过程划分为记忆、理解、应用、分析、评价和创造六个层次，并将知识区分为事实性、概念性、程序性和元认知知识四类，二者交叉构成的二维矩阵为检验课程目标能否从信息接收推进到批判与创新提供了参照</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。分析、评价和创造通常被视为较高层次的认知活动，构成高阶思维最常见的操作性含义。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层级划分并不能完整刻画高阶思维的性质。劳伦</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瑞斯尼克（</w:t>
      </w:r>
      <w:r w:rsidRPr="00BF4EC4">
        <w:rPr>
          <w:rFonts w:ascii="Times New Roman" w:eastAsia="宋体" w:hAnsi="Times New Roman" w:cs="Times New Roman"/>
          <w:color w:val="000000"/>
          <w:kern w:val="0"/>
          <w:sz w:val="24"/>
        </w:rPr>
        <w:t>Lauren B. Resnick</w:t>
      </w:r>
      <w:r w:rsidRPr="00BF4EC4">
        <w:rPr>
          <w:rFonts w:ascii="Times New Roman" w:eastAsia="宋体" w:hAnsi="Times New Roman" w:cs="Times New Roman"/>
          <w:color w:val="000000"/>
          <w:kern w:val="0"/>
          <w:sz w:val="24"/>
        </w:rPr>
        <w:t>）将高阶思维界定为非算法性的、需要心智努力并涉及自我调节的复杂认知过程，其特征在于往往存在多种解法，或需要在不确定条件下作出审慎判断；当代实证研究据此将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。这一取向把高阶思维从静态的目标层级拓展为在劣构情境中展开的动态加工过程。</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上述成分中，批判性思维与创造力受到的关注最多。批判性思维被界定为以理由为依据、有目的并能够自我调节的反思性判断，既包括解释、分析、评价、推论、说明和自我调节等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。创造力被界定为在特定情境中生成兼具新颖性和适切性的观念、方案或产品的能力</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，针对大学生的多层元分析表明，创造力能够通过系统训练得到显著提升</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。国内研究进一步指出，高阶思维的核心在于新旧知识关系的建立，其概念框架包括问题情境分析、新旧知识关系建立、多维信息综合、创新性知识生成以及对思维过程的监控与调节五个成分</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与创造力相互关联。元分析显示，学生样本中二者呈中等程度的正相关，两者都涉及评价、判断和自我调节等认知与元认知过程，要求灵活且目标导向的推理，元认知因而构成二者相互关联的共同基础，也为联合培养提供了理论可能</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。这一发现提示，高阶思维的各个成分在真实任务中往往同时被调用，将分析、评价和创造置于同一学习过程中加以培养，比孤立训练某一成分更符合高阶思维的实际运作方式。</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社会情感能力逐渐被纳入高阶能力的讨论范围。经济合作与发展组织（</w:t>
      </w:r>
      <w:proofErr w:type="spellStart"/>
      <w:r w:rsidRPr="00BF4EC4">
        <w:rPr>
          <w:rFonts w:ascii="Times New Roman" w:eastAsia="宋体" w:hAnsi="Times New Roman" w:cs="Times New Roman"/>
          <w:color w:val="000000"/>
          <w:kern w:val="0"/>
          <w:sz w:val="24"/>
        </w:rPr>
        <w:t>Organisation</w:t>
      </w:r>
      <w:proofErr w:type="spellEnd"/>
      <w:r w:rsidRPr="00BF4EC4">
        <w:rPr>
          <w:rFonts w:ascii="Times New Roman" w:eastAsia="宋体" w:hAnsi="Times New Roman" w:cs="Times New Roman"/>
          <w:color w:val="000000"/>
          <w:kern w:val="0"/>
          <w:sz w:val="24"/>
        </w:rPr>
        <w:t xml:space="preserve"> for Economic Co-operation and Development, OECD</w:t>
      </w:r>
      <w:r w:rsidRPr="00BF4EC4">
        <w:rPr>
          <w:rFonts w:ascii="Times New Roman" w:eastAsia="宋体" w:hAnsi="Times New Roman" w:cs="Times New Roman"/>
          <w:color w:val="000000"/>
          <w:kern w:val="0"/>
          <w:sz w:val="24"/>
        </w:rPr>
        <w:t>）开展的社会与情感能力调查（</w:t>
      </w:r>
      <w:r w:rsidRPr="00BF4EC4">
        <w:rPr>
          <w:rFonts w:ascii="Times New Roman" w:eastAsia="宋体" w:hAnsi="Times New Roman" w:cs="Times New Roman"/>
          <w:color w:val="000000"/>
          <w:kern w:val="0"/>
          <w:sz w:val="24"/>
        </w:rPr>
        <w:t>Survey on Social and Emotional Skills, SSES</w:t>
      </w:r>
      <w:r w:rsidRPr="00BF4EC4">
        <w:rPr>
          <w:rFonts w:ascii="Times New Roman" w:eastAsia="宋体" w:hAnsi="Times New Roman" w:cs="Times New Roman"/>
          <w:color w:val="000000"/>
          <w:kern w:val="0"/>
          <w:sz w:val="24"/>
        </w:rPr>
        <w:t>）从任务能力、情绪调节、协作能力、开放能力和交往能力五个领域考察青少年的社会情感发展</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；学术、社会与情感学习协作组织（</w:t>
      </w:r>
      <w:r w:rsidRPr="00BF4EC4">
        <w:rPr>
          <w:rFonts w:ascii="Times New Roman" w:eastAsia="宋体" w:hAnsi="Times New Roman" w:cs="Times New Roman"/>
          <w:color w:val="000000"/>
          <w:kern w:val="0"/>
          <w:sz w:val="24"/>
        </w:rPr>
        <w:t>Collaborative for Academic, Social, and Emotional Learning, CASEL</w:t>
      </w:r>
      <w:r w:rsidRPr="00BF4EC4">
        <w:rPr>
          <w:rFonts w:ascii="Times New Roman" w:eastAsia="宋体" w:hAnsi="Times New Roman" w:cs="Times New Roman"/>
          <w:color w:val="000000"/>
          <w:kern w:val="0"/>
          <w:sz w:val="24"/>
        </w:rPr>
        <w:t>）提出自我意识、自我管理、社会意识、人际关系技能和负责任决策五个领域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。元分析表明，系统实施的校本社会情感学习能够改善学生的</w:t>
      </w:r>
      <w:r w:rsidRPr="00BF4EC4">
        <w:rPr>
          <w:rFonts w:ascii="Times New Roman" w:eastAsia="宋体" w:hAnsi="Times New Roman" w:cs="Times New Roman"/>
          <w:color w:val="000000"/>
          <w:kern w:val="0"/>
          <w:sz w:val="24"/>
        </w:rPr>
        <w:lastRenderedPageBreak/>
        <w:t>社会情感技能、日常行为和学业成绩</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国内学者参与社会与情感能力调查测评，提供了与中学生高阶能力培育关系密切的本土证据。济南市</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岁和</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岁学生的第二轮测评数据显示，</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岁组在全部</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项社会与情感能力上的得分均高于</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岁组女生在责任感、共情和包容度上得分高于男生，情绪控制和抗压力与学业焦虑关系最为密切，成就动机、毅力和好奇心与语文、数学和艺术成绩相关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。基于苏州市数据的研究发现，交往能力与其他社会与情感能力之间存在中等程度的相关，并受同伴关系、家庭背景、教师和学校因素的影响</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。上述结果表明，社会情感能力在中学阶段并不随年龄增长自然提高，学校层面的有意识培养具有必要性。同时，将深受文化影响的共情、情绪等品质转化为统一分数进行跨情境比较，存在标准化和简化的风险</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w:t>
      </w:r>
    </w:p>
    <w:p w14:paraId="4DCE2E3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总体而言，高阶能力的内涵经历了由认知层级划分到思维过程刻画、再到认知与社会情感综合发展的演变。学生在完成复杂任务时既需要分析、评价和创造，也需要承担责任、调节情绪、与人合作并保持开放，这为从高阶思维能力与高阶社会情感能力两个方面界定中学生高阶能力提供了依据。</w:t>
      </w:r>
    </w:p>
    <w:p w14:paraId="79CFF1A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）高阶能力的发展条件</w:t>
      </w:r>
    </w:p>
    <w:p w14:paraId="3975C5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现有证据较为一致地表明，高阶能力不会随知识难度的提高而自然形成，其发展依赖特定的教学条件。首先，高阶思维需要作为明确的教学目标加以培养。关于批判性思维教学策略的元分析发现，将批判性思维作为显性目标并与学科内容相结合的混合模式，其效果显著优于仅在学科学习中隐性渗透的模式，真实性问题、深度对话与教师指导三者结合时效果最佳</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w:t>
      </w:r>
    </w:p>
    <w:p w14:paraId="7618E8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其次，高阶思维的发展依赖思维过程的外化与社会性检验。合作学习对高阶思维的促进作用高于其对学业成绩和情感态度的作用，其机制在于学习者必须阐</w:t>
      </w:r>
      <w:r w:rsidRPr="00BF4EC4">
        <w:rPr>
          <w:rFonts w:ascii="Times New Roman" w:eastAsia="宋体" w:hAnsi="Times New Roman" w:cs="Times New Roman"/>
          <w:color w:val="000000"/>
          <w:kern w:val="0"/>
          <w:sz w:val="24"/>
        </w:rPr>
        <w:lastRenderedPageBreak/>
        <w:t>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。图形组织器对高阶思维同样具有显著的促进作用，其中思维导图的效果最强，概念图由于结构复杂、绘制负担较重，效果相对较弱</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w:t>
      </w:r>
    </w:p>
    <w:p w14:paraId="349C11A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再次，探究活动需要适度的教学指导，并受学生先备知识的调节。有指导的探究在概念理解和知识迁移上整体优于直接讲授，无指导的发现学习效果较差；过程约束、启发提示、过程反馈和适时讲解等不同形式的指导效果相近，先备知识薄弱的学生从指导中获益更多，而学生尚未掌握必要基础知识时直接开展开放探究，容易引入无关信息并保留推理错误</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w:t>
      </w:r>
    </w:p>
    <w:p w14:paraId="625CF78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指导的设计还需要避免过载。同时向学习者提供多种相互重叠的外部支架，并不会产生叠加效应，反而可能分散注意力、增加无关认知负荷而相互抵消</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从学习者一方看，学生采取深层还是表层的学习取向，取决于教学与评价所释放的信号以及课堂条件。课程宣称重视理解而考试只奖励复述时，学生会理性地选择记忆策略；促成深层学习至少需要学生清楚目标及其在评价中的体现，感到达成目标确有必要，能够在没有过度考试压力的情况下专注于任务，并能通过与同伴和教师的合作对话塑造和深化理解，课程目标、学习活动和评价任务因此需要指向同一种能力</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w:t>
      </w:r>
    </w:p>
    <w:p w14:paraId="2390A5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上，高阶能力培育的关键在于学生是否面对具有认知挑战的问题，是否需要外化自己的思考过程，是否在同伴质疑和教师反馈中持续修正观点，以及教学与评价是否真正指向这些能力。同一种教学方法在不同任务、学生和评价方式下效果差异明显，学校借鉴时需要结合本校情境进行检验。</w:t>
      </w:r>
    </w:p>
    <w:p w14:paraId="7F318B9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）高阶能力的学科依存性与情境性</w:t>
      </w:r>
    </w:p>
    <w:p w14:paraId="2AC4BEE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究竟具有跨学科的通用性，还是依附于具体学科，是该领域长期存在的争论。通用论认为，论证分析、假设检验和不确定条件下的判断等思维结构可以通过显性训练迁移至新任务；领域论则强调，不同学科的证据标准和专业知</w:t>
      </w:r>
      <w:r w:rsidRPr="00BF4EC4">
        <w:rPr>
          <w:rFonts w:ascii="Times New Roman" w:eastAsia="宋体" w:hAnsi="Times New Roman" w:cs="Times New Roman"/>
          <w:color w:val="000000"/>
          <w:kern w:val="0"/>
          <w:sz w:val="24"/>
        </w:rPr>
        <w:lastRenderedPageBreak/>
        <w:t>识决定了推理的实际内容。较新的观点认为二者并非截然对立，迁移是通用策略、领域知识与情境线索相互配合的结果</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w:t>
      </w:r>
    </w:p>
    <w:p w14:paraId="58DB78D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对国际文凭（</w:t>
      </w:r>
      <w:r w:rsidRPr="00BF4EC4">
        <w:rPr>
          <w:rFonts w:ascii="Times New Roman" w:eastAsia="宋体" w:hAnsi="Times New Roman" w:cs="Times New Roman"/>
          <w:color w:val="000000"/>
          <w:kern w:val="0"/>
          <w:sz w:val="24"/>
        </w:rPr>
        <w:t>International Baccalaureate, IB</w:t>
      </w:r>
      <w:r w:rsidRPr="00BF4EC4">
        <w:rPr>
          <w:rFonts w:ascii="Times New Roman" w:eastAsia="宋体" w:hAnsi="Times New Roman" w:cs="Times New Roman"/>
          <w:color w:val="000000"/>
          <w:kern w:val="0"/>
          <w:sz w:val="24"/>
        </w:rPr>
        <w:t>）课程中的知识论（</w:t>
      </w:r>
      <w:r w:rsidRPr="00BF4EC4">
        <w:rPr>
          <w:rFonts w:ascii="Times New Roman" w:eastAsia="宋体" w:hAnsi="Times New Roman" w:cs="Times New Roman"/>
          <w:color w:val="000000"/>
          <w:kern w:val="0"/>
          <w:sz w:val="24"/>
        </w:rPr>
        <w:t>Theory of Knowledge, TOK</w:t>
      </w:r>
      <w:r w:rsidRPr="00BF4EC4">
        <w:rPr>
          <w:rFonts w:ascii="Times New Roman" w:eastAsia="宋体" w:hAnsi="Times New Roman" w:cs="Times New Roman"/>
          <w:color w:val="000000"/>
          <w:kern w:val="0"/>
          <w:sz w:val="24"/>
        </w:rPr>
        <w:t>）课程的研究为此提供了经验证据。历史、科学等领域采用不同的证据与论证标准，学生需要足够的背景知识才能运用通用的思维策略；同一课程框架在不同学校既可能形成高度整合的课堂实践，也可能流于随意，课程形式只有与学科知识、教师培训、学校文化和跨学科协作相结合，才能稳定地支持批判性思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w:t>
      </w:r>
    </w:p>
    <w:p w14:paraId="76B84F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上海的项目化学习政策体现了同样的思路。学科项目化学习指向本学科的核心素养，跨学科项目化学习则将自然和社会中真实而复杂的问题转化为项目，指向两个及以上学科的核心素养</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。落到学校层面，高阶能力培育既需要跨学科共享的能力目标，又需要在语文、数学、物理、英语等学科以及科创项目中形成各自的实践方式，不宜以统一流程机械套用于所有课堂。</w:t>
      </w:r>
    </w:p>
    <w:p w14:paraId="17CD3CE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）高阶能力的评价</w:t>
      </w:r>
    </w:p>
    <w:p w14:paraId="37A65E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随着高阶能力由抽象概念转化为课堂中需要培养的复杂表现，如何判断高阶能力是否真正发生成为研究重点。评价面临的第一个难题是构念覆盖与评分方式。对知识论课程的分析发现，当评分标准依赖特定的分析术语时，学生可能通过罗列课程术语和套用反思句式获得分数，而高中生未必已经具备比较不同来源证据并阐明判断标准的能力。认识论理解的发展研究显示，个体对知识的理解一般由视知识为确定事实的绝对主义，经过视知识为个人意见的多元主义，逐步走向依据证据和标准权衡不同主张的评价主义，后者在青少年阶段往往尚未稳定形成</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。评价设计因此需要区分术语使用、一般认知发展和真实的批判性判断</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。第二个难题是教师缺乏判断依据，对国际文凭学校教师的调查显示，评估学生批</w:t>
      </w:r>
      <w:r w:rsidRPr="00BF4EC4">
        <w:rPr>
          <w:rFonts w:ascii="Times New Roman" w:eastAsia="宋体" w:hAnsi="Times New Roman" w:cs="Times New Roman"/>
          <w:color w:val="000000"/>
          <w:kern w:val="0"/>
          <w:sz w:val="24"/>
        </w:rPr>
        <w:lastRenderedPageBreak/>
        <w:t>判性思维的进步是教师认为最困难的工作，探究性思维缺乏标准答案，而学生又习惯于索要确定的分数</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形成性评价为应对上述难题提供了思路。过早给出终结性分数会促使学生追求唯一正确答案而回避智识风险，低利害的多轮练习与修订以及描述性反馈，更有利于学生提出新颖假设并审慎修正论证</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。学习结果结构分类（</w:t>
      </w:r>
      <w:r w:rsidRPr="00BF4EC4">
        <w:rPr>
          <w:rFonts w:ascii="Times New Roman" w:eastAsia="宋体" w:hAnsi="Times New Roman" w:cs="Times New Roman"/>
          <w:color w:val="000000"/>
          <w:kern w:val="0"/>
          <w:sz w:val="24"/>
        </w:rPr>
        <w:t>Structure of the Observed Learning Outcome, SOLO</w:t>
      </w:r>
      <w:r w:rsidRPr="00BF4EC4">
        <w:rPr>
          <w:rFonts w:ascii="Times New Roman" w:eastAsia="宋体" w:hAnsi="Times New Roman" w:cs="Times New Roman"/>
          <w:color w:val="000000"/>
          <w:kern w:val="0"/>
          <w:sz w:val="24"/>
        </w:rPr>
        <w:t>）依据学生回答的结构复杂程度，将理解水平划分为前结构、单点结构、多点结构、关联结构和拓展抽象五个层次，后两个层次对应整合多方面信息并迁移至新问题的能力，为观察思维质量提供了表现性参照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批判性思维的测评通常从多个侧面展开。已有研究同时使用可观察的思维策略量表和思维倾向量表，前者考查学生在界定问题、分析论证、搜寻对立证据和控制主张范围等方面的策略运用，后者考查求真、开放、探究和判断成熟度等倾向；研究还发现，同一课程框架在不同学校的实施质量差异很大，测评结果需要结合课程实施情况加以解释</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。这意味着，高阶能力评价既要关注技能表现，也要关注思维倾向，并把测评结果放回具体的教学情境中理解。</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评价还需警惕单一证据的局限。元分析显示，创造力与批判性思维均采用自陈量表测量时，二者的相关明显高于均采用任务表现测量时，表明共享测量方法会放大构念之间的观察相关</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。学习分析技术扩大了可观察的范围，但仪表盘以颜色、进度条等形式给出的直观判断，可能先于并替代教师对学生学习的专业解释</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。高阶能力评价因此需要综合问卷、作品、课堂表现和教师判断等多种证据，并明确每类证据所能支持的推断范围。</w:t>
      </w:r>
    </w:p>
    <w:p w14:paraId="35402D7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）数智技术对高阶能力发展的影响</w:t>
      </w:r>
    </w:p>
    <w:p w14:paraId="7A1C32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生成式人工智能进入教育领域后，其究竟促进还是替代学生思考成为新的研究问题，现有证据表明答案取决于使用方式。元分析发现，生成式人工智能对问题解决和批判性思维的促进作用较为明显，对创造力的促进作用相对较小，这可能与模型倾向于输出常规答案、学生直接采用后难以产生新颖构想有关；干预周期呈倒</w:t>
      </w:r>
      <w:r w:rsidRPr="00BF4EC4">
        <w:rPr>
          <w:rFonts w:ascii="Times New Roman" w:eastAsia="宋体" w:hAnsi="Times New Roman" w:cs="Times New Roman"/>
          <w:color w:val="000000"/>
          <w:kern w:val="0"/>
          <w:sz w:val="24"/>
        </w:rPr>
        <w:t>U</w:t>
      </w:r>
      <w:r w:rsidRPr="00BF4EC4">
        <w:rPr>
          <w:rFonts w:ascii="Times New Roman" w:eastAsia="宋体" w:hAnsi="Times New Roman" w:cs="Times New Roman"/>
          <w:color w:val="000000"/>
          <w:kern w:val="0"/>
          <w:sz w:val="24"/>
        </w:rPr>
        <w:t>型，</w:t>
      </w:r>
      <w:r w:rsidRPr="00BF4EC4">
        <w:rPr>
          <w:rFonts w:ascii="Times New Roman" w:eastAsia="宋体" w:hAnsi="Times New Roman" w:cs="Times New Roman"/>
          <w:color w:val="000000"/>
          <w:kern w:val="0"/>
          <w:sz w:val="24"/>
        </w:rPr>
        <w:t>8</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周效果最佳，周期过短学生尚处适应阶段，周期过长则容易产生依赖和倦怠</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w:t>
      </w:r>
    </w:p>
    <w:p w14:paraId="26C27D2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针对高等教育中</w:t>
      </w:r>
      <w:r w:rsidRPr="00BF4EC4">
        <w:rPr>
          <w:rFonts w:ascii="Times New Roman" w:eastAsia="宋体" w:hAnsi="Times New Roman" w:cs="Times New Roman"/>
          <w:color w:val="000000"/>
          <w:kern w:val="0"/>
          <w:sz w:val="24"/>
        </w:rPr>
        <w:t>ChatGPT</w:t>
      </w:r>
      <w:r w:rsidRPr="00BF4EC4">
        <w:rPr>
          <w:rFonts w:ascii="Times New Roman" w:eastAsia="宋体" w:hAnsi="Times New Roman" w:cs="Times New Roman"/>
          <w:color w:val="000000"/>
          <w:kern w:val="0"/>
          <w:sz w:val="24"/>
        </w:rPr>
        <w:t>使用的系统综述，分析了</w:t>
      </w:r>
      <w:r w:rsidRPr="00BF4EC4">
        <w:rPr>
          <w:rFonts w:ascii="Times New Roman" w:eastAsia="宋体" w:hAnsi="Times New Roman" w:cs="Times New Roman"/>
          <w:color w:val="000000"/>
          <w:kern w:val="0"/>
          <w:sz w:val="24"/>
        </w:rPr>
        <w:t>34</w:t>
      </w:r>
      <w:r w:rsidRPr="00BF4EC4">
        <w:rPr>
          <w:rFonts w:ascii="Times New Roman" w:eastAsia="宋体" w:hAnsi="Times New Roman" w:cs="Times New Roman"/>
          <w:color w:val="000000"/>
          <w:kern w:val="0"/>
          <w:sz w:val="24"/>
        </w:rPr>
        <w:t>项同时考察批判性思维和创造性思维的研究。其中约</w:t>
      </w:r>
      <w:r w:rsidRPr="00BF4EC4">
        <w:rPr>
          <w:rFonts w:ascii="Times New Roman" w:eastAsia="宋体" w:hAnsi="Times New Roman" w:cs="Times New Roman"/>
          <w:color w:val="000000"/>
          <w:kern w:val="0"/>
          <w:sz w:val="24"/>
        </w:rPr>
        <w:t>53%</w:t>
      </w:r>
      <w:r w:rsidRPr="00BF4EC4">
        <w:rPr>
          <w:rFonts w:ascii="Times New Roman" w:eastAsia="宋体" w:hAnsi="Times New Roman" w:cs="Times New Roman"/>
          <w:color w:val="000000"/>
          <w:kern w:val="0"/>
          <w:sz w:val="24"/>
        </w:rPr>
        <w:t>的研究发现两类思维同步提升，约</w:t>
      </w:r>
      <w:r w:rsidRPr="00BF4EC4">
        <w:rPr>
          <w:rFonts w:ascii="Times New Roman" w:eastAsia="宋体" w:hAnsi="Times New Roman" w:cs="Times New Roman"/>
          <w:color w:val="000000"/>
          <w:kern w:val="0"/>
          <w:sz w:val="24"/>
        </w:rPr>
        <w:t>24%</w:t>
      </w:r>
      <w:r w:rsidRPr="00BF4EC4">
        <w:rPr>
          <w:rFonts w:ascii="Times New Roman" w:eastAsia="宋体" w:hAnsi="Times New Roman" w:cs="Times New Roman"/>
          <w:color w:val="000000"/>
          <w:kern w:val="0"/>
          <w:sz w:val="24"/>
        </w:rPr>
        <w:t>的研究发现学生的构想数量增加而辨别信息、严谨论证的能力减弱，约</w:t>
      </w:r>
      <w:r w:rsidRPr="00BF4EC4">
        <w:rPr>
          <w:rFonts w:ascii="Times New Roman" w:eastAsia="宋体" w:hAnsi="Times New Roman" w:cs="Times New Roman"/>
          <w:color w:val="000000"/>
          <w:kern w:val="0"/>
          <w:sz w:val="24"/>
        </w:rPr>
        <w:t>12%</w:t>
      </w:r>
      <w:r w:rsidRPr="00BF4EC4">
        <w:rPr>
          <w:rFonts w:ascii="Times New Roman" w:eastAsia="宋体" w:hAnsi="Times New Roman" w:cs="Times New Roman"/>
          <w:color w:val="000000"/>
          <w:kern w:val="0"/>
          <w:sz w:val="24"/>
        </w:rPr>
        <w:t>的研究发现两类思维同时下降，差异主要取决于教学中是否嵌入了依据评价量规检查人工智能输出、对答案持续追问和同伴互审等反思环节</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对研究生与人工智能对话过程的质性分析也表明，将人工智能输出视为待检验假设并开展多轮追问和多源核对的学习者表现出更完整的高阶思维，而将人工智能视为权威并直接采纳答案的学习者，其认知加工多停留在复制层面</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w:t>
      </w:r>
    </w:p>
    <w:p w14:paraId="0E491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面向基础教育的证据相对有限。关于人工智能学习助手对中小学生认知表现影响的元分析发现，其对高阶思维的平均效应为正，但未达到统计显著，研究间异质性很高，效果高度依赖探究性教学设计和反思性任务</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。反馈研究建议，要求学生将人工智能生成的反馈与同伴意见、教师指导和优秀范例进行比较，并说明采纳或拒绝每条建议的理由，可以使技术反馈成为学生判断的素材而非替代</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。在数智技术环境中，学习设计和判断学生是否真正在思考都面临更高的要求。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关于可见的学习的研究</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课题组在中国知网以可见的学习为关键词进行检索，并统计了相关文献的年</w:t>
      </w:r>
      <w:r w:rsidRPr="00BF4EC4">
        <w:rPr>
          <w:rFonts w:ascii="Times New Roman" w:eastAsia="宋体" w:hAnsi="Times New Roman" w:cs="Times New Roman"/>
          <w:color w:val="000000"/>
          <w:kern w:val="0"/>
          <w:sz w:val="24"/>
        </w:rPr>
        <w:lastRenderedPageBreak/>
        <w:t>度发文情况。国内相关研究总体呈波动上升趋势，早期成果较少，</w:t>
      </w:r>
      <w:r w:rsidRPr="00BF4EC4">
        <w:rPr>
          <w:rFonts w:ascii="Times New Roman" w:eastAsia="宋体" w:hAnsi="Times New Roman" w:cs="Times New Roman"/>
          <w:color w:val="000000"/>
          <w:kern w:val="0"/>
          <w:sz w:val="24"/>
        </w:rPr>
        <w:t>2018</w:t>
      </w:r>
      <w:r w:rsidRPr="00BF4EC4">
        <w:rPr>
          <w:rFonts w:ascii="Times New Roman" w:eastAsia="宋体" w:hAnsi="Times New Roman" w:cs="Times New Roman"/>
          <w:color w:val="000000"/>
          <w:kern w:val="0"/>
          <w:sz w:val="24"/>
        </w:rPr>
        <w:t>年以后发文量逐步增加，</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年以来增长较为明显，</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年达到阶段性高点。</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图1-2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研究内容看，国内研究经历了由引介到转化的过程。早期研究主要介绍该理论的元分析方法和效应量排序，并讨论其对教育学实证化的意义；此后研究逐步扩展到学习科学基础、反馈与评价、教师心智框架和学校改进等方面，近年又出现了学科教学、项目化学习和家校协同中的应用探索。</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年《上海教育》第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期以专题形式集中刊发</w:t>
      </w:r>
      <w:r w:rsidRPr="00BF4EC4">
        <w:rPr>
          <w:rFonts w:ascii="Times New Roman" w:eastAsia="宋体" w:hAnsi="Times New Roman" w:cs="Times New Roman"/>
          <w:color w:val="000000"/>
          <w:kern w:val="0"/>
          <w:sz w:val="24"/>
        </w:rPr>
        <w:t>14</w:t>
      </w:r>
      <w:r w:rsidRPr="00BF4EC4">
        <w:rPr>
          <w:rFonts w:ascii="Times New Roman" w:eastAsia="宋体" w:hAnsi="Times New Roman" w:cs="Times New Roman"/>
          <w:color w:val="000000"/>
          <w:kern w:val="0"/>
          <w:sz w:val="24"/>
        </w:rPr>
        <w:t>篇文章，内容涵盖理论发展、学习原则、高阶能力、反馈、教学模式、学科应用、领导力、家庭教育和学校实践，反映出高校研究者与中小学合作推进本土转化的趋势。国际上则同时出现了对该理论证据基础的系统批评，以及对其跨国传播方式的反思。以下按照基本主张与证据基础、学习科学基础与学业进阶、反馈与学生自评、教师心智框架与教学模式、学校改进与家校协同、学科教学与项目化学习中的应用、全球迁移与学术争议七个主题进行综述。</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）基于大规模教育证据综合提出的理论框架。其统计基础可以追溯到</w:t>
      </w:r>
      <w:r w:rsidRPr="00BF4EC4">
        <w:rPr>
          <w:rFonts w:ascii="Times New Roman" w:eastAsia="宋体" w:hAnsi="Times New Roman" w:cs="Times New Roman"/>
          <w:color w:val="000000"/>
          <w:kern w:val="0"/>
          <w:sz w:val="24"/>
        </w:rPr>
        <w:t>1992</w:t>
      </w:r>
      <w:r w:rsidRPr="00BF4EC4">
        <w:rPr>
          <w:rFonts w:ascii="Times New Roman" w:eastAsia="宋体" w:hAnsi="Times New Roman" w:cs="Times New Roman"/>
          <w:color w:val="000000"/>
          <w:kern w:val="0"/>
          <w:sz w:val="24"/>
        </w:rPr>
        <w:t>年对</w:t>
      </w:r>
      <w:r w:rsidRPr="00BF4EC4">
        <w:rPr>
          <w:rFonts w:ascii="Times New Roman" w:eastAsia="宋体" w:hAnsi="Times New Roman" w:cs="Times New Roman"/>
          <w:color w:val="000000"/>
          <w:kern w:val="0"/>
          <w:sz w:val="24"/>
        </w:rPr>
        <w:t>134</w:t>
      </w:r>
      <w:r w:rsidRPr="00BF4EC4">
        <w:rPr>
          <w:rFonts w:ascii="Times New Roman" w:eastAsia="宋体" w:hAnsi="Times New Roman" w:cs="Times New Roman"/>
          <w:color w:val="000000"/>
          <w:kern w:val="0"/>
          <w:sz w:val="24"/>
        </w:rPr>
        <w:t>项元分析、两万余个效应量的综合，该综合确立了约</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。由于几乎所有教学干预都能带来一定进步，这一框架主张判断一项干预是否值得推广，应看其能否带来高于平均水平的增益。</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在成就差异的来源上，这一框架认为学生自身因素约占一半，教师约占</w:t>
      </w:r>
      <w:r w:rsidRPr="00BF4EC4">
        <w:rPr>
          <w:rFonts w:ascii="Times New Roman" w:eastAsia="宋体" w:hAnsi="Times New Roman" w:cs="Times New Roman"/>
          <w:color w:val="000000"/>
          <w:kern w:val="0"/>
          <w:sz w:val="24"/>
        </w:rPr>
        <w:t>30%</w:t>
      </w:r>
      <w:r w:rsidRPr="00BF4EC4">
        <w:rPr>
          <w:rFonts w:ascii="Times New Roman" w:eastAsia="宋体" w:hAnsi="Times New Roman" w:cs="Times New Roman"/>
          <w:color w:val="000000"/>
          <w:kern w:val="0"/>
          <w:sz w:val="24"/>
        </w:rPr>
        <w:t>，家庭、学校和同伴各占</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至</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教师是学校系统内部可调控的最大因素。测验结果的意义因而被重新界定，它不仅用于判断学生的水平，更应被教师用来检验自身教学是否奏效，学生未能掌握的内容构成教师调整后续教学的线索。该框架同时反对以惩罚性的高利害统考作为学校改进的主要手段，新西兰开发的教学与学习评估工具（</w:t>
      </w:r>
      <w:r w:rsidRPr="00BF4EC4">
        <w:rPr>
          <w:rFonts w:ascii="Times New Roman" w:eastAsia="宋体" w:hAnsi="Times New Roman" w:cs="Times New Roman"/>
          <w:color w:val="000000"/>
          <w:kern w:val="0"/>
          <w:sz w:val="24"/>
        </w:rPr>
        <w:t xml:space="preserve">Assessment Tools for Teaching and Learning, </w:t>
      </w:r>
      <w:proofErr w:type="spellStart"/>
      <w:r w:rsidRPr="00BF4EC4">
        <w:rPr>
          <w:rFonts w:ascii="Times New Roman" w:eastAsia="宋体" w:hAnsi="Times New Roman" w:cs="Times New Roman"/>
          <w:color w:val="000000"/>
          <w:kern w:val="0"/>
          <w:sz w:val="24"/>
        </w:rPr>
        <w:t>asTTle</w:t>
      </w:r>
      <w:proofErr w:type="spellEnd"/>
      <w:r w:rsidRPr="00BF4EC4">
        <w:rPr>
          <w:rFonts w:ascii="Times New Roman" w:eastAsia="宋体" w:hAnsi="Times New Roman" w:cs="Times New Roman"/>
          <w:color w:val="000000"/>
          <w:kern w:val="0"/>
          <w:sz w:val="24"/>
        </w:rPr>
        <w:t>）以课程锚定的诊断性测评为教师提供学生所处进阶位置的信息，使评价结果能够及时转化为调整教学的依据</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。可见的学习的核心含义正在于此，即教师能够看见自身教学对学生学习的影响，学生能够看见自己的学习进展并逐步成为自身学习的主导者。</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较早从教学论角度解读这一理论。可见的学习具有普通教学论的性质，其价值在于把教师、学生、内容和环境组织为相互联系的整体，因素排名并不能直接决定家庭作业、混龄编班等具体制度的取舍，教师如何组合教学条件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。按照教学三角的解释框架，教学处于学生、教师和课程之间，家庭、学校和班级构成外部条件，教师应着力改善那些能够被教学改变的学习条件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。哈蒂的元分析证据与经合组织的国际学生评估项目（</w:t>
      </w:r>
      <w:proofErr w:type="spellStart"/>
      <w:r w:rsidRPr="00BF4EC4">
        <w:rPr>
          <w:rFonts w:ascii="Times New Roman" w:eastAsia="宋体" w:hAnsi="Times New Roman" w:cs="Times New Roman"/>
          <w:color w:val="000000"/>
          <w:kern w:val="0"/>
          <w:sz w:val="24"/>
        </w:rPr>
        <w:t>Programme</w:t>
      </w:r>
      <w:proofErr w:type="spellEnd"/>
      <w:r w:rsidRPr="00BF4EC4">
        <w:rPr>
          <w:rFonts w:ascii="Times New Roman" w:eastAsia="宋体" w:hAnsi="Times New Roman" w:cs="Times New Roman"/>
          <w:color w:val="000000"/>
          <w:kern w:val="0"/>
          <w:sz w:val="24"/>
        </w:rPr>
        <w:t xml:space="preserve"> for International Student Assessment, PISA</w:t>
      </w:r>
      <w:r w:rsidRPr="00BF4EC4">
        <w:rPr>
          <w:rFonts w:ascii="Times New Roman" w:eastAsia="宋体" w:hAnsi="Times New Roman" w:cs="Times New Roman"/>
          <w:color w:val="000000"/>
          <w:kern w:val="0"/>
          <w:sz w:val="24"/>
        </w:rPr>
        <w:t>）与教师教学国际调查（</w:t>
      </w:r>
      <w:r w:rsidRPr="00BF4EC4">
        <w:rPr>
          <w:rFonts w:ascii="Times New Roman" w:eastAsia="宋体" w:hAnsi="Times New Roman" w:cs="Times New Roman"/>
          <w:color w:val="000000"/>
          <w:kern w:val="0"/>
          <w:sz w:val="24"/>
        </w:rPr>
        <w:t>Teaching and Learning International Survey, TALIS</w:t>
      </w:r>
      <w:r w:rsidRPr="00BF4EC4">
        <w:rPr>
          <w:rFonts w:ascii="Times New Roman" w:eastAsia="宋体" w:hAnsi="Times New Roman" w:cs="Times New Roman"/>
          <w:color w:val="000000"/>
          <w:kern w:val="0"/>
          <w:sz w:val="24"/>
        </w:rPr>
        <w:t>）在方法和变量上各不相同，但都凸显了教师可信度、教学热忱、反馈能力和支持性课堂环境的作用，为重新重视教师与教学提供了依据；同时，元分析依赖原始研究的数量与质量，国际学生评估项目与教师教学国际调查受到横截面设计和自我报告的限制，相关结果不能直接解释为确定的因果机制</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该理论自身也在不断发展。相关著作经历了由元分析综合到教师版、学习科学、影响循环和学校改进的扩展过程，可见的学习</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在更新数据的同时，进一步反思了机械使用因素排名的做法，更加重视实施方式、教师判断、公平包容和</w:t>
      </w:r>
      <w:r w:rsidRPr="00BF4EC4">
        <w:rPr>
          <w:rFonts w:ascii="Times New Roman" w:eastAsia="宋体" w:hAnsi="Times New Roman" w:cs="Times New Roman"/>
          <w:color w:val="000000"/>
          <w:kern w:val="0"/>
          <w:sz w:val="24"/>
        </w:rPr>
        <w:lastRenderedPageBreak/>
        <w:t>信任关系，形成了更为均衡的教育视角</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。这一变化意味着，理解可见的学习需要从关注哪些因素的效应量更高，转向关注教师如何在具体情境中依据证据改进教学。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）学习科学基础与学业进阶</w:t>
      </w:r>
    </w:p>
    <w:p w14:paraId="437F8B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对教学的解释建立在学习科学的基础之上。哈蒂与合作者提出的九项学习原则包括学习精进需要时间、努力和结构化指导，已有知识影响新信息的组织，有限的认知资源要求教学控制负荷，学生能够从社会榜样、直接教学和纠正性反馈中获益，适当的目标、自我效能和良好关系有助于维持投入等，学习风格匹配、一心多用以及技术能够自动提升学习等流行观念则缺乏证据支持</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学习科学内部同时存在强调情境与知识建构、强调神经与认知机制两种话语，神经机制需要经过不同层次证据的转化才能进入课堂。综合元分析、心理学和神经科学的材料，可以提炼出神经可塑性、双系统模型、认知负荷、社会脑、动机调控系统和神经普适性六个共通主题，以跨层次证据支持教师的专业判断，学习风格、左右脑等被简化和商业包装的概念则需要警惕</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课堂中主要通过学习意图、成功标准、学业进阶和反馈四个相互关联的要素运行。学习意图明确学生需要理解和掌握的内容，研究发现许多学生并不了解任务背后的学习目的，常把篇幅长、字迹工整、没有拼写错误等形式特征当作优秀的标准。成功标准规定达到学习目标的具体证据，并可分阶段设置，在一个关于毛利人历史的单元中，第</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周的标准要求学生准确描述</w:t>
      </w:r>
      <w:r w:rsidRPr="00BF4EC4">
        <w:rPr>
          <w:rFonts w:ascii="Times New Roman" w:eastAsia="宋体" w:hAnsi="Times New Roman" w:cs="Times New Roman"/>
          <w:color w:val="000000"/>
          <w:kern w:val="0"/>
          <w:sz w:val="24"/>
        </w:rPr>
        <w:t>1820</w:t>
      </w:r>
      <w:r w:rsidRPr="00BF4EC4">
        <w:rPr>
          <w:rFonts w:ascii="Times New Roman" w:eastAsia="宋体" w:hAnsi="Times New Roman" w:cs="Times New Roman"/>
          <w:color w:val="000000"/>
          <w:kern w:val="0"/>
          <w:sz w:val="24"/>
        </w:rPr>
        <w:t>年至</w:t>
      </w:r>
      <w:r w:rsidRPr="00BF4EC4">
        <w:rPr>
          <w:rFonts w:ascii="Times New Roman" w:eastAsia="宋体" w:hAnsi="Times New Roman" w:cs="Times New Roman"/>
          <w:color w:val="000000"/>
          <w:kern w:val="0"/>
          <w:sz w:val="24"/>
        </w:rPr>
        <w:t>1920</w:t>
      </w:r>
      <w:r w:rsidRPr="00BF4EC4">
        <w:rPr>
          <w:rFonts w:ascii="Times New Roman" w:eastAsia="宋体" w:hAnsi="Times New Roman" w:cs="Times New Roman"/>
          <w:color w:val="000000"/>
          <w:kern w:val="0"/>
          <w:sz w:val="24"/>
        </w:rPr>
        <w:t>年毛利人口的变化趋势，单元结束时的标准则要求学生解释殖民带来的疾病如何导致人口急剧下降，并推测类似事件对其他原住民群体的影响。分阶段的成功标准使学生看到自身理解逐步加深的过程，教师之间对这类进阶缺乏共同理解，则被视为制约学习改进的关键瓶颈</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学业进阶描述学生在特定领域由朴素理解走向专家水平的阶梯式发展序列。美国共同核心州立标准（</w:t>
      </w:r>
      <w:r w:rsidRPr="00BF4EC4">
        <w:rPr>
          <w:rFonts w:ascii="Times New Roman" w:eastAsia="宋体" w:hAnsi="Times New Roman" w:cs="Times New Roman"/>
          <w:color w:val="000000"/>
          <w:kern w:val="0"/>
          <w:sz w:val="24"/>
        </w:rPr>
        <w:t>Common Core State Standards, CCSS</w:t>
      </w:r>
      <w:r w:rsidRPr="00BF4EC4">
        <w:rPr>
          <w:rFonts w:ascii="Times New Roman" w:eastAsia="宋体" w:hAnsi="Times New Roman" w:cs="Times New Roman"/>
          <w:color w:val="000000"/>
          <w:kern w:val="0"/>
          <w:sz w:val="24"/>
        </w:rPr>
        <w:t>）的研制经验表明，学业进阶的证据基础并不均衡，小学低段拥有经过实证检验的学习轨迹，初高中</w:t>
      </w:r>
      <w:r w:rsidRPr="00BF4EC4">
        <w:rPr>
          <w:rFonts w:ascii="Times New Roman" w:eastAsia="宋体" w:hAnsi="Times New Roman" w:cs="Times New Roman"/>
          <w:color w:val="000000"/>
          <w:kern w:val="0"/>
          <w:sz w:val="24"/>
        </w:rPr>
        <w:lastRenderedPageBreak/>
        <w:t>阶段的进阶序列则更多是依据学科逻辑推演出来的假设，需要一线教师逐条比对课堂实际进行可行性校准</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。这一发现提示，学校自行构建的能力进阶描述同样需要在教学实践中检验和修订。</w:t>
      </w:r>
    </w:p>
    <w:p w14:paraId="08D0F8E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反馈围绕学习要到达哪里、当前处于什么位置、下一步如何推进三个问题展开，把目标、当前表现和后续行动连接起来，并可指向任务、过程和自我调节等不同层面</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。反馈具有双向性，学生的作业、提问和错误同样是教师判断教学效果的信息来源，学校也可以由此建设为持续追问下一步方向的反馈文化</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。课堂观察研究发现，教师往往难以觉察课堂中正在发生的大部分事情，教师自认为讲授仅占课堂时间的二至三成，实际测量却达到七至八成，这说明教师需要借助证据而非仅凭感觉了解课堂</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。反馈的效果还取决于学习者的反馈素养，即理解反馈、判断其合理性、调节面对批评时的情绪并将建议转化为改进行动的能力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w:t>
      </w:r>
    </w:p>
    <w:p w14:paraId="678CC9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在引介反馈模型的基础上作了扩展和本土诊断。从行为主义、认知主义到建构主义，反馈观逐步把学习者的先前知识、信念、情绪以及师生信任纳入考虑，这些因素影响反馈能否被接受，课堂实施还需要统筹反馈的时机、互动结构和媒介，师生双方的反馈素养都需要发展；不同研究对反馈的界定和功能划分并不一致，影响元分析结果的可比性，创造性任务的质量标准具有开放性，难以完全分解为标准化程序，需要通过协商与对话理解成功标准</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中小学课堂反馈存在方式僵化、内容窄化、环节固化和效能弱化等困境，表现为频繁判断对错、依赖个人表扬、同伴参与不足以及忽视学生对反馈的运用，针对这些问题可以构建包含情境、干预、机制和结果四个要素的课堂反馈模型</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。反馈的接受与行动同样关键，信任关系、欢迎错误的课堂文化以及围绕优秀作品和成功标准的共同讨论，能够把反馈组织为师生之间的双向对话，使评语真正进入学生的修订行动</w:t>
      </w:r>
      <w:r w:rsidRPr="00BF4EC4">
        <w:rPr>
          <w:rStyle w:val="a8"/>
          <w:rFonts w:ascii="Times New Roman" w:eastAsia="宋体" w:hAnsi="Times New Roman" w:cs="Times New Roman"/>
          <w:color w:val="000000"/>
          <w:kern w:val="0"/>
          <w:sz w:val="24"/>
        </w:rPr>
        <w:lastRenderedPageBreak/>
        <w:footnoteReference w:id="68"/>
      </w:r>
      <w:r w:rsidRPr="00BF4EC4">
        <w:rPr>
          <w:rFonts w:ascii="Times New Roman" w:eastAsia="宋体" w:hAnsi="Times New Roman" w:cs="Times New Roman"/>
          <w:color w:val="000000"/>
          <w:kern w:val="0"/>
          <w:sz w:val="24"/>
        </w:rPr>
        <w:t>。</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反馈的最终指向是学生能够评价和调整自己的学习。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有效管理自主学习，自评能力因而是开展个性化教学的重要前提</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。杭州闻涛中学的实践表明，成功标准可以通过师生讨论共同制订和优化，生长式评价量表能够成为学生的学习支架，教师的元认知示范与领导者组织的协作式专业对话共同支持学生自评能力的发展</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）教师心智框架与教学模式</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哈蒂后来进一步提出，决定教学质量的关键在于教师如何理解自身的角色。这种理解被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实践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w:t>
      </w:r>
    </w:p>
    <w:p w14:paraId="516AFDB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国内研究对教师心智框架的讨论更多结合中国教育传统展开。哈蒂和克劳斯</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齐雷尔（</w:t>
      </w:r>
      <w:r w:rsidRPr="00BF4EC4">
        <w:rPr>
          <w:rFonts w:ascii="Times New Roman" w:eastAsia="宋体" w:hAnsi="Times New Roman" w:cs="Times New Roman"/>
          <w:color w:val="000000"/>
          <w:kern w:val="0"/>
          <w:sz w:val="24"/>
        </w:rPr>
        <w:t>Klaus Zierer</w:t>
      </w:r>
      <w:r w:rsidRPr="00BF4EC4">
        <w:rPr>
          <w:rFonts w:ascii="Times New Roman" w:eastAsia="宋体" w:hAnsi="Times New Roman" w:cs="Times New Roman"/>
          <w:color w:val="000000"/>
          <w:kern w:val="0"/>
          <w:sz w:val="24"/>
        </w:rPr>
        <w:t>）后来将教师思维框架扩展为十个心智框架，它与《学记》中的教师信条在教师专业责任、合作、教学时机和学生自主发展方面具有共识，前者更突出学习证据与评价反馈，后者更重视社会责任以及学生离开教师后的独立性；根据学生准备程度、任务难度和情境变化选择恰当支持的教育机敏，由此被视为卓越教师的核心</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。心智框架还对应着教师的专业品质，批判性思维使教师能够检验自身方法、理解他者视角并调整决策，教学热忱经过长期反思与实践，会转化为捕捉学生状态、把握教学时机的教育直觉</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在教学过程层面，哈蒂及其合作者提出的诊断</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干预</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实施</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评估模式</w:t>
      </w:r>
      <w:r w:rsidRPr="00BF4EC4">
        <w:rPr>
          <w:rFonts w:ascii="Times New Roman" w:eastAsia="宋体" w:hAnsi="Times New Roman" w:cs="Times New Roman"/>
          <w:color w:val="000000"/>
          <w:kern w:val="0"/>
          <w:sz w:val="24"/>
        </w:rPr>
        <w:lastRenderedPageBreak/>
        <w:t>（</w:t>
      </w:r>
      <w:r w:rsidRPr="00BF4EC4">
        <w:rPr>
          <w:rFonts w:ascii="Times New Roman" w:eastAsia="宋体" w:hAnsi="Times New Roman" w:cs="Times New Roman"/>
          <w:color w:val="000000"/>
          <w:kern w:val="0"/>
          <w:sz w:val="24"/>
        </w:rPr>
        <w:t>Diagnosis, Intervention, Implementation and Evaluation, DIIE</w:t>
      </w:r>
      <w:r w:rsidRPr="00BF4EC4">
        <w:rPr>
          <w:rFonts w:ascii="Times New Roman" w:eastAsia="宋体" w:hAnsi="Times New Roman" w:cs="Times New Roman"/>
          <w:color w:val="000000"/>
          <w:kern w:val="0"/>
          <w:sz w:val="24"/>
        </w:rPr>
        <w:t>）把教学组织为诊断与发现、干预、实施和评估四个阶段，可以作为教师共享的教学语言。诊断关注学生的先前知识、学习意愿与动力，干预针对当前水平与目标之间的差距选择策略，实施强调明确目标、适当任务和差异化支持，评估依据成功标准收集证据并决定后续方向；支持方式可以区分为补偿性支持与适应性支持，评估应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。共享的教学语言使教师能够围绕学生证据讨论和调整教学，这为建构四步调节的教学模型提供了直接参照。</w:t>
      </w:r>
    </w:p>
    <w:p w14:paraId="16EF75C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）学校改进、领导力与家校协同</w:t>
      </w:r>
    </w:p>
    <w:p w14:paraId="7B86BF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教师的专业判断需要学校组织的支持。斯堪的纳维亚的研究者将可见的学习重新诠释为校本改进的路径，强调通过教师协作研讨、同伴观课和跨年级共享进阶标准开展集体能力建设</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。有效的专业学习共同体通常具有聚焦学生学习的共同愿景、对学生学业成效的集体责任、反思性的专业探究以及超越一般互助的深度协作等特征</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。关于教育证据使用的研究也发现，学校在日常排课中为教师保留专门的研讨时间，教师才能在互信的氛围中提出疑问、研读研究并结合班级学情设计教学尝试，研究证据也更可能真正进入课堂</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w:t>
      </w:r>
    </w:p>
    <w:p w14:paraId="7B71E63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形式上的教研活动并不必然带来学生学习的改善。英国教育捐赠基金会（</w:t>
      </w:r>
      <w:r w:rsidRPr="00BF4EC4">
        <w:rPr>
          <w:rFonts w:ascii="Times New Roman" w:eastAsia="宋体" w:hAnsi="Times New Roman" w:cs="Times New Roman"/>
          <w:color w:val="000000"/>
          <w:kern w:val="0"/>
          <w:sz w:val="24"/>
        </w:rPr>
        <w:t>Education Endowment Foundation, EEF</w:t>
      </w:r>
      <w:r w:rsidRPr="00BF4EC4">
        <w:rPr>
          <w:rFonts w:ascii="Times New Roman" w:eastAsia="宋体" w:hAnsi="Times New Roman" w:cs="Times New Roman"/>
          <w:color w:val="000000"/>
          <w:kern w:val="0"/>
          <w:sz w:val="24"/>
        </w:rPr>
        <w:t>）资助的大规模随机对照试验显示，教师对课例研究的满意度很高，但学生的数学和阅读成绩没有显著提升，教师主观上的协作体验未能深入到学生的学科学习，密集的研讨还挤占了备课和个别辅导时间</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。另一方面，把课例研究作为教师共同检验教学方案的正式机制，有助于将教师自身的探究与外部研究证据结合起来</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。教研活动的关键在于是否聚焦学生真实的学习表现，并在多轮实践中检验改进是否有效。</w:t>
      </w:r>
    </w:p>
    <w:p w14:paraId="5B98BE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学校领导者在其中承担组织证据使用的责任。领导者首先应成为影响评估者，持续追问管理决策如何改变教师实践和学生学习，并从以证据评价改革、通过多维对话形成集体效能、设置明确且有挑战性的期望、建设目标与反馈清晰可见的学校文化四个方面推动领导方式的转变</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可见的学习的影响还延伸到家庭。针对中国家庭中常见的作业焦虑和过度干预，父母需要把明确的界限与积极回应、自主空间结合起来，以具体的任务反馈替代笼统表扬，并示范承认错误、分析过程和制定改进计划，使家庭成为支持学生学习的力量</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w:t>
      </w:r>
    </w:p>
    <w:p w14:paraId="0DE0099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）学科教学与项目化学习中的应用</w:t>
      </w:r>
    </w:p>
    <w:p w14:paraId="66DDD59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国内研究开始把可见的学习转化为学科教学和项目化学习的具体设计。在语文学科，针对课堂目标模糊和浅层学习等问题，教学重构可以从设计、过程和评价三个维度展开，确立主要目标，通过追问、讨论和教师示范促进学生的认知改变，并运用成就水平检查单考察表层知识、深层理解和概念性思维</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在化学学科，依据初中化学课程标准构建的学习分析框架由目标、知识、实践和评价四个要素组成，以酸性土壤改良为例，方案设计、实验操作、定量分析和评价量表共同提供学习证据，用以诊断知识理解与实际表现之间的差距</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表层、深度和迁移学习模型也已被具体化为语文议论文、数学函数和科学生态系统的教学设计，实施的关键在于教师准确判断学生所处的阶段，避免在基础不足时过早提高复杂要求，或在学生已形成深度理解后继续重复表层练习</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w:t>
      </w:r>
    </w:p>
    <w:p w14:paraId="675861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项目化学习是另一类重要的应用场域。已有研究中项目式学习的效果差异较大，结合巴克教育研究所（</w:t>
      </w:r>
      <w:r w:rsidRPr="00BF4EC4">
        <w:rPr>
          <w:rFonts w:ascii="Times New Roman" w:eastAsia="宋体" w:hAnsi="Times New Roman" w:cs="Times New Roman"/>
          <w:color w:val="000000"/>
          <w:kern w:val="0"/>
          <w:sz w:val="24"/>
        </w:rPr>
        <w:t>Buck Institute for Education, BIE</w:t>
      </w:r>
      <w:r w:rsidRPr="00BF4EC4">
        <w:rPr>
          <w:rFonts w:ascii="Times New Roman" w:eastAsia="宋体" w:hAnsi="Times New Roman" w:cs="Times New Roman"/>
          <w:color w:val="000000"/>
          <w:kern w:val="0"/>
          <w:sz w:val="24"/>
        </w:rPr>
        <w:t>）提出的项目式学习金标准，项目式学习可以被理解为整合多种高影响策略的开放框架，基础知识学习可以采用直接教学，深化理解和方案设计则需要适当的支架与启发，设计中需要明确目标与挑战性问题、分层指导、以评价反馈持续改进并重视学生声音与选择</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七宝中学附属鑫都实验中学也在这一方向上进行了前期探索，学校以大概念重构学习目标，通过有意对齐协调学习意图、任务、方法和评价，建立微项目、单元项目、跨单元项目和跨学科项目四级进阶，并借助学习档案、作品展示和自</w:t>
      </w:r>
      <w:r w:rsidRPr="00BF4EC4">
        <w:rPr>
          <w:rFonts w:ascii="Times New Roman" w:eastAsia="宋体" w:hAnsi="Times New Roman" w:cs="Times New Roman"/>
          <w:color w:val="000000"/>
          <w:kern w:val="0"/>
          <w:sz w:val="24"/>
        </w:rPr>
        <w:lastRenderedPageBreak/>
        <w:t>评互评呈现学生的思维过程</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。总体来看，这些研究为可见的学习的本土转化提供了丰富案例，但多聚焦于单一学科、单一环节或单个项目，对高阶能力的整体结构及其在多个场域中的持续发展关注不足。</w:t>
      </w:r>
    </w:p>
    <w:p w14:paraId="44A7A61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）全球迁移、学术争议与理论使用立场</w:t>
      </w:r>
    </w:p>
    <w:p w14:paraId="6E9C0A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可见的学习在国际上影响广泛，同时也受到持续的学术批评。厘清这些批评，有助于明确应在何种意义上使用该理论。第一类批评针对以效应量对教学因素进行排序的做法。</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的关节点缺乏充分依据，对不同研究结果的简单平均会掩盖重要差异，例如家庭作业对小学生几乎没有效果，对中学生的效果却较为明显</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。对二级元分析方法的系统检验发现，原始研究被重复计算、加权方式不一致等问题较为普遍，在一个案例中按正确方法重新计算后，基于网络的学习的效应量由</w:t>
      </w:r>
      <w:r w:rsidRPr="00BF4EC4">
        <w:rPr>
          <w:rFonts w:ascii="Times New Roman" w:eastAsia="宋体" w:hAnsi="Times New Roman" w:cs="Times New Roman"/>
          <w:color w:val="000000"/>
          <w:kern w:val="0"/>
          <w:sz w:val="24"/>
        </w:rPr>
        <w:t>0.59</w:t>
      </w:r>
      <w:r w:rsidRPr="00BF4EC4">
        <w:rPr>
          <w:rFonts w:ascii="Times New Roman" w:eastAsia="宋体" w:hAnsi="Times New Roman" w:cs="Times New Roman"/>
          <w:color w:val="000000"/>
          <w:kern w:val="0"/>
          <w:sz w:val="24"/>
        </w:rPr>
        <w:t>降至</w:t>
      </w:r>
      <w:r w:rsidRPr="00BF4EC4">
        <w:rPr>
          <w:rFonts w:ascii="Times New Roman" w:eastAsia="宋体" w:hAnsi="Times New Roman" w:cs="Times New Roman"/>
          <w:color w:val="000000"/>
          <w:kern w:val="0"/>
          <w:sz w:val="24"/>
        </w:rPr>
        <w:t>0.23</w:t>
      </w:r>
      <w:r w:rsidRPr="00BF4EC4">
        <w:rPr>
          <w:rFonts w:ascii="Times New Roman" w:eastAsia="宋体" w:hAnsi="Times New Roman" w:cs="Times New Roman"/>
          <w:color w:val="000000"/>
          <w:kern w:val="0"/>
          <w:sz w:val="24"/>
        </w:rPr>
        <w:t>，排名由第</w:t>
      </w:r>
      <w:r w:rsidRPr="00BF4EC4">
        <w:rPr>
          <w:rFonts w:ascii="Times New Roman" w:eastAsia="宋体" w:hAnsi="Times New Roman" w:cs="Times New Roman"/>
          <w:color w:val="000000"/>
          <w:kern w:val="0"/>
          <w:sz w:val="24"/>
        </w:rPr>
        <w:t>26</w:t>
      </w:r>
      <w:r w:rsidRPr="00BF4EC4">
        <w:rPr>
          <w:rFonts w:ascii="Times New Roman" w:eastAsia="宋体" w:hAnsi="Times New Roman" w:cs="Times New Roman"/>
          <w:color w:val="000000"/>
          <w:kern w:val="0"/>
          <w:sz w:val="24"/>
        </w:rPr>
        <w:t>位降至第</w:t>
      </w:r>
      <w:r w:rsidRPr="00BF4EC4">
        <w:rPr>
          <w:rFonts w:ascii="Times New Roman" w:eastAsia="宋体" w:hAnsi="Times New Roman" w:cs="Times New Roman"/>
          <w:color w:val="000000"/>
          <w:kern w:val="0"/>
          <w:sz w:val="24"/>
        </w:rPr>
        <w:t>98</w:t>
      </w:r>
      <w:r w:rsidRPr="00BF4EC4">
        <w:rPr>
          <w:rFonts w:ascii="Times New Roman" w:eastAsia="宋体" w:hAnsi="Times New Roman" w:cs="Times New Roman"/>
          <w:color w:val="000000"/>
          <w:kern w:val="0"/>
          <w:sz w:val="24"/>
        </w:rPr>
        <w:t>位，据此按效应量进行排序具有误导性</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。数值示例还表明，同一组数据采用不同公式计算效应量，可能得出完全相反的排序</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；大量元分析的层层汇总也会导致原始研究中的具体信息丢失或被扭曲</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w:t>
      </w:r>
    </w:p>
    <w:p w14:paraId="733DC0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第二类批评针对核心概念的边界。以反馈为例，支撑反馈具有高影响力这一结论的</w:t>
      </w:r>
      <w:r w:rsidRPr="00BF4EC4">
        <w:rPr>
          <w:rFonts w:ascii="Times New Roman" w:eastAsia="宋体" w:hAnsi="Times New Roman" w:cs="Times New Roman"/>
          <w:color w:val="000000"/>
          <w:kern w:val="0"/>
          <w:sz w:val="24"/>
        </w:rPr>
        <w:t>5</w:t>
      </w:r>
      <w:r w:rsidRPr="00BF4EC4">
        <w:rPr>
          <w:rFonts w:ascii="Times New Roman" w:eastAsia="宋体" w:hAnsi="Times New Roman" w:cs="Times New Roman"/>
          <w:color w:val="000000"/>
          <w:kern w:val="0"/>
          <w:sz w:val="24"/>
        </w:rPr>
        <w:t>项主要元分析中，只有</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项研究的是与其定义一致的反馈干预，该研究显示反馈的平均效果并不突出，且约</w:t>
      </w:r>
      <w:r w:rsidRPr="00BF4EC4">
        <w:rPr>
          <w:rFonts w:ascii="Times New Roman" w:eastAsia="宋体" w:hAnsi="Times New Roman" w:cs="Times New Roman"/>
          <w:color w:val="000000"/>
          <w:kern w:val="0"/>
          <w:sz w:val="24"/>
        </w:rPr>
        <w:t>38%</w:t>
      </w:r>
      <w:r w:rsidRPr="00BF4EC4">
        <w:rPr>
          <w:rFonts w:ascii="Times New Roman" w:eastAsia="宋体" w:hAnsi="Times New Roman" w:cs="Times New Roman"/>
          <w:color w:val="000000"/>
          <w:kern w:val="0"/>
          <w:sz w:val="24"/>
        </w:rPr>
        <w:t>的反馈干预降低了学生表现，其余研究涉及的则是奖励强化、教师亲和力等不同现象</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。元分析所依据的多为标准化考试成绩，偏重表层知识，对深层理解和批判性思维的反映有限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。这些批评表明，反馈发挥作用需要具体指向任务和改进方法，并被学生理解和使用。</w:t>
      </w:r>
    </w:p>
    <w:p w14:paraId="231380C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第三类批评针对理论在实践中的使用方式和适用范围。若行政部门把可见的学习转化为以高效应量方法清单考核教师的工具，会削弱教师依据具体情境作出</w:t>
      </w:r>
      <w:r w:rsidRPr="00BF4EC4">
        <w:rPr>
          <w:rFonts w:ascii="Times New Roman" w:eastAsia="宋体" w:hAnsi="Times New Roman" w:cs="Times New Roman"/>
          <w:color w:val="000000"/>
          <w:kern w:val="0"/>
          <w:sz w:val="24"/>
        </w:rPr>
        <w:lastRenderedPageBreak/>
        <w:t>专业判断的能力</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。原始元分析主要来自英语国家的研究，直接迁移到非英语国家和不同社会文化环境时存在适应性问题</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对英格兰、苏格兰和德国学校的比较研究发现，苏格兰校长面对此类流行理念时并不直接照搬，而组织教师在本校课堂中开展实践者探究，检验其对本校学生的适切性，德国部分学校则将相关著作作为教师小组研读和讨论的参考</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w:t>
      </w:r>
    </w:p>
    <w:p w14:paraId="3E405D9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学界对这一理论同样保持了审慎态度。可见的学习讲述的仍是一个未完成的故事，其研究主要来自发达英语国家，当教育结果主要以考试分数界定时，创造力、批判力和公民责任等难以测量的成果容易被忽视，把改变学业分化的希望全部寄托于学校内部因素，也可能导向过于乐观的学校决定论</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。教育受到情境、互动和历史变化的影响，原始研究的质量和学业成就的界定都限制了综合结果的解释力，在肯定教育科学化价值的同时仍需保持方法的多样性</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w:t>
      </w:r>
    </w:p>
    <w:p w14:paraId="465310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的研究进一步把视角转向理论的跨国传播。该理论的传播大致呈现英语国家的政策嵌入，德国、日本及北欧的学术对话转化，以及北美的商业驱动扩散三种模式，在不同场域中被转化为政策语言、专业工具和服务产品，满足当代教育治理对科学合法性的需求是其中相对稳定的逻辑，掌握证据生产与传播渠道的行动者可能因此获得更大的话语权，教师的经验智慧和地方知识则面临边缘化的风险</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。复杂知识在传播中还可能被简化为教学公式，评价可能被理解为监控工具，理论的科学性需要与教师的专业自主和创造性参与相结合，才能支持真正的教育改进</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7BB34D6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基于上述讨论，学校对可见的学习采取有限而明确的使用立场。具体而言，不以效应量排名选择教学方法，也不以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判断成效的标准，主要采用该理论中关于学习意图与成功标准、学业进阶的共同语言、反馈三问以及教师依据学生学习表现进行诊断、干预和评估的教学主张，并通过本校课堂中的行动研究检验这些主张能否转化为识别和支持学生高阶能力的具体做法。</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可见的学习为判断内隐的高阶能力提供了可行路径</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述两方面研究之间存在内在联系。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国内已有研究直接从可见的学习视角讨论高阶能力的培养。依据哈蒂的学习模型，高阶能力的发展需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刻意练习研究进一步表明，高质量的练习需要通过任务分析明确子技能和目标，以具体反馈持续调整表现，并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。这些研究表明，高阶能力需要有计划地教授，学习进阶、有意对齐和反馈支架是可见的学习连接高阶能力培养的关键概念。</w:t>
      </w:r>
    </w:p>
    <w:p w14:paraId="3B1C5D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与可见的学习两方面的研究，从多个方面为二者的结合提供了依据。在目标层面，批判性思维的评价只有完整覆盖其技能与倾向，才能真正支持其发展，这与可见的学习关于明确学习意图和成功标准的主张一致，意味着高阶能力目标需要被具体描述为学生可以理解、教师可以观察的表现。在过程层面，结构化对话、合作中的相互解释与质疑以及以图形呈现思路，都是使学生思考过程外显的方式，也正是可见的学习所强调的使学习对教师可见。</w:t>
      </w:r>
    </w:p>
    <w:p w14:paraId="4A3C1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反馈层面，低利害、多轮修订和描述性的形成性反馈有利于批判性思维和创造力的发展，要求学生比较多源反馈并说明采纳理由则有助于其在人工智能环境中保持独立判断，这与可见的学习关于反馈三问和反馈文化的主张相互印证。在教师层面，可见的学习要求教师依据学生学习证据进行诊断、干预和评估，而高阶能力研究反复表明，同一种教学方法在不同学生、任务和使用周期中的效果差异显著，这恰恰需要教师依据证据作出判断。</w:t>
      </w:r>
    </w:p>
    <w:p w14:paraId="7EF5A8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lastRenderedPageBreak/>
        <w:t>在学校层面，二者的结合还依赖教师集体使用证据的机制。高阶能力的表现具有学科差异和情境差异，单个教师难以独立形成稳定的判断标准，需要在教研组中通过共同观课、比较学生作品和讨论进阶标准逐步形成共识</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。以实践者探究方式检验外部理念的经验也表明，学校对外部理论的吸收需要经过本校课堂证据的检验和校准</w:t>
      </w:r>
      <w:r w:rsidRPr="00BF4EC4">
        <w:rPr>
          <w:rStyle w:val="a8"/>
          <w:rFonts w:ascii="Times New Roman" w:eastAsia="宋体" w:hAnsi="Times New Roman" w:cs="Times New Roman"/>
          <w:color w:val="000000"/>
          <w:kern w:val="0"/>
          <w:sz w:val="24"/>
        </w:rPr>
        <w:footnoteReference w:id="103"/>
      </w:r>
      <w:r w:rsidRPr="00BF4EC4">
        <w:rPr>
          <w:rFonts w:ascii="Times New Roman" w:eastAsia="宋体" w:hAnsi="Times New Roman" w:cs="Times New Roman"/>
          <w:color w:val="000000"/>
          <w:kern w:val="0"/>
          <w:sz w:val="24"/>
        </w:rPr>
        <w:t>。这为以行动研究推动模型在学校中的生成和修正提供了依据。</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此可以归纳出二者结合的三个连接点，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社会情感能力方面，现有测评研究揭示了其随年龄和情境变化的特点，但适用于课堂观察的进阶描述仍较为缺乏，这也是需要在实践中探索的内容。</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二，在证据使用上，可见的学习的研究多关注学习目标、反馈和学业成绩，对于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104"/>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第三，在研究情境上，关于高阶思维与数智技术的实证研究大多以大学生为对象，基础教育阶段的证据较少且结果不稳定</w:t>
      </w:r>
      <w:r w:rsidRPr="00BF4EC4">
        <w:rPr>
          <w:rStyle w:val="a8"/>
          <w:rFonts w:ascii="Times New Roman" w:eastAsia="宋体" w:hAnsi="Times New Roman" w:cs="Times New Roman"/>
          <w:color w:val="000000"/>
          <w:kern w:val="0"/>
          <w:sz w:val="24"/>
        </w:rPr>
        <w:footnoteReference w:id="105"/>
      </w:r>
      <w:r w:rsidRPr="00BF4EC4">
        <w:rPr>
          <w:rFonts w:ascii="Times New Roman" w:eastAsia="宋体" w:hAnsi="Times New Roman" w:cs="Times New Roman"/>
          <w:color w:val="000000"/>
          <w:kern w:val="0"/>
          <w:sz w:val="24"/>
        </w:rPr>
        <w:t>，一所学校在多个学科和多种学习场域中持续开展、多轮改进的研究也较为缺乏。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进行持续观察和判断。</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层面舍弃可见的学习中存在争议的效应量排名，把其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二、思路与设计</w:t>
      </w:r>
      <w:bookmarkEnd w:id="16"/>
    </w:p>
    <w:p w14:paraId="65F52F7D"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7" w:name="_Toc244008893"/>
      <w:r w:rsidRPr="00BF4EC4">
        <w:rPr>
          <w:rFonts w:ascii="Times New Roman" w:eastAsia="宋体" w:hAnsi="Times New Roman" w:cs="Times New Roman"/>
          <w:b/>
          <w:bCs/>
          <w:color w:val="000000"/>
          <w:sz w:val="28"/>
          <w:szCs w:val="28"/>
        </w:rPr>
        <w:t>核心概念界定</w:t>
      </w:r>
      <w:bookmarkEnd w:id="17"/>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）高阶思维能力</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32BF89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）高阶社会情感能力</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中只采用可见的学习中的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不使用其效应量排名，也不以</w:t>
      </w:r>
      <w:r w:rsidRPr="00BF4EC4">
        <w:rPr>
          <w:rFonts w:ascii="Times New Roman" w:eastAsia="宋体" w:hAnsi="Times New Roman" w:cs="Times New Roman"/>
          <w:color w:val="000000"/>
          <w:kern w:val="0"/>
          <w:sz w:val="24"/>
        </w:rPr>
        <w:t>0.40</w:t>
      </w:r>
      <w:r w:rsidRPr="00BF4EC4">
        <w:rPr>
          <w:rFonts w:ascii="Times New Roman" w:eastAsia="宋体" w:hAnsi="Times New Roman" w:cs="Times New Roman"/>
          <w:color w:val="000000"/>
          <w:kern w:val="0"/>
          <w:sz w:val="24"/>
        </w:rPr>
        <w:t>作为成效判断标准。</w:t>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学习证据</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学习证据按五个层面组织，即模型中的五见，包括目标可见、思维可见、证据可见、进步可见和能力可见。表2-1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形成可见的学习视域下中学生高阶能力培育的学习模型框架。通过文献研究和现状调查，明确中学生高阶能力的基本结构和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通过学生问卷、教师问卷、访谈和课堂观察，了解学生高阶思维与高阶社会情感的发展状况，以及教师开展高阶能力培育的认识、课堂实践、教学自我效能、现实困难和专业需求，诊断学校高阶能力培育中的主要问题，为模型设计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理论研究和现状调查，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研究立足学校真实教育教学情境，按照理论研究、现状诊断、模型建构、多场域实践、成效评价和持续优化的思路展开。整体上采用设计型研究（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106"/>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107"/>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8"/>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9"/>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10"/>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现状诊断、模型建构、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2-1</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么、怎样研究、怎样评价的基本思路。在此基础上，课题组通过学生问卷、教师问卷、访谈、课堂观察和已有教学资料分析，了解学生高阶能力的初始状况，以及教师开展高阶能力培育的认识、实践、困难和专业需求；再依据理论研究和前期调查结果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基于可见的学习理论和前期调查结果，分析高阶能力形成与发展的关键要素，研究学习目标、学习任务、学习过程、学习层次与评价反馈之间的关系，形成初步的学习模型和教学模型。随后，课题组在学科课堂和科创项目两个场域实施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三、研究过程与结果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三年间，课题组先通过学生问卷、教师问卷、开放性回答和课堂观察，诊断学生高阶能力的起点和教师培育的基础；再以可见的学习和高阶能力理论为依据，建构学习模型与教学模型；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个维度上的自评表现；教师问卷了解教师对高阶能力培育的认知、课堂实践、自我效能和实施困难。两类调查分别从学习者和教学支持两端，为学习模型与教学模式的设计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1</w:t>
      </w:r>
      <w:r w:rsidRPr="00BF4EC4">
        <w:rPr>
          <w:rFonts w:ascii="Times New Roman" w:eastAsia="宋体" w:hAnsi="Times New Roman" w:cs="Times New Roman"/>
          <w:b/>
          <w:bCs/>
          <w:color w:val="C00000"/>
          <w:sz w:val="24"/>
        </w:rPr>
        <w:t>）测评维度的选取依据</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）高阶思维的三个维度</w:t>
      </w:r>
    </w:p>
    <w:p w14:paraId="3A4897A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高阶思维的测评需要明确认知过程及其在学习任务中的表现。布卢姆教育目标分类修订版将认知过程划分为记忆、理解、应用、分析、评价和创造六个层次，为区分学习任务的认知要求提供了理论依据</w:t>
      </w:r>
      <w:r w:rsidRPr="00BF4EC4">
        <w:rPr>
          <w:rStyle w:val="a8"/>
          <w:rFonts w:ascii="Times New Roman" w:eastAsia="宋体" w:hAnsi="Times New Roman" w:cs="Times New Roman"/>
          <w:kern w:val="0"/>
          <w:sz w:val="24"/>
        </w:rPr>
        <w:footnoteReference w:id="111"/>
      </w:r>
      <w:r w:rsidRPr="00BF4EC4">
        <w:rPr>
          <w:rFonts w:ascii="Times New Roman" w:eastAsia="宋体" w:hAnsi="Times New Roman" w:cs="Times New Roman"/>
          <w:kern w:val="0"/>
          <w:sz w:val="24"/>
        </w:rPr>
        <w:t>。高阶思维还体现为学生面对新材料和非程序化问题时的迁移、批判性思考与问题解决，其核心在于建立新旧知识之间的联系</w:t>
      </w:r>
      <w:r w:rsidRPr="00BF4EC4">
        <w:rPr>
          <w:rStyle w:val="a8"/>
          <w:rFonts w:ascii="Times New Roman" w:eastAsia="宋体" w:hAnsi="Times New Roman" w:cs="Times New Roman"/>
          <w:kern w:val="0"/>
          <w:sz w:val="24"/>
        </w:rPr>
        <w:footnoteReference w:id="112"/>
      </w:r>
      <w:r w:rsidRPr="00BF4EC4">
        <w:rPr>
          <w:rFonts w:ascii="Times New Roman" w:eastAsia="宋体" w:hAnsi="Times New Roman" w:cs="Times New Roman"/>
          <w:kern w:val="0"/>
          <w:sz w:val="24"/>
        </w:rPr>
        <w:t>。</w:t>
      </w:r>
    </w:p>
    <w:p w14:paraId="0DEDE16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上述研究与学校面对的教学问题直接相关。学生在学科课堂与科创教育中，需要面对条件较复杂、解决路径不唯一的任务，既要辨识问题，也要审查依据、形成方案。因此选取分析、评价、创造作为高阶思维的三个理论维度，并结合中学生学习经验确定测评内容。</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据此自行编制《中学生高阶思维能力测评量表》（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0404A8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）高阶社会情感的四个维度</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复杂学习的持续推进，不仅需要认知加工，还需要学生面对困难、分歧和不确定结果时保持投入并调整行动。经合组织社会与情感能力调查从任务能力、情绪调节、协作能力、开放能力和交往能力等领域考察学生的发展状况，为关注学习中的社会情感表现提供了理论参照</w:t>
      </w:r>
      <w:r w:rsidRPr="00BF4EC4">
        <w:rPr>
          <w:rStyle w:val="a8"/>
          <w:rFonts w:ascii="Times New Roman" w:eastAsia="宋体" w:hAnsi="Times New Roman" w:cs="Times New Roman"/>
          <w:kern w:val="0"/>
          <w:sz w:val="24"/>
        </w:rPr>
        <w:footnoteReference w:id="113"/>
      </w:r>
      <w:r w:rsidRPr="00BF4EC4">
        <w:rPr>
          <w:rFonts w:ascii="Times New Roman" w:eastAsia="宋体" w:hAnsi="Times New Roman" w:cs="Times New Roman"/>
          <w:kern w:val="0"/>
          <w:sz w:val="24"/>
        </w:rPr>
        <w:t>。测评参照国内基于社会与情感能力调查开展的测评框架</w:t>
      </w:r>
      <w:r w:rsidRPr="00BF4EC4">
        <w:rPr>
          <w:rStyle w:val="a8"/>
          <w:rFonts w:ascii="Times New Roman" w:eastAsia="宋体" w:hAnsi="Times New Roman" w:cs="Times New Roman"/>
          <w:kern w:val="0"/>
          <w:sz w:val="24"/>
        </w:rPr>
        <w:footnoteReference w:id="114"/>
      </w:r>
      <w:r w:rsidRPr="00BF4EC4">
        <w:rPr>
          <w:rFonts w:ascii="Times New Roman" w:eastAsia="宋体" w:hAnsi="Times New Roman" w:cs="Times New Roman"/>
          <w:kern w:val="0"/>
          <w:sz w:val="24"/>
        </w:rPr>
        <w:t>，围绕中学生高阶能力培育的需要，选取与责任承担、自我调节、合作协商和开放探索相关的内容，依据其内涵联系进行归并，形成责任担当、情绪调节、合作共情、包容创新四个理论维度。每个维度设置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题。七个维度的考察要点与题数见表3-1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w:t>
      </w:r>
    </w:p>
    <w:p w14:paraId="0FFBB6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维设计是对既有社会情感框架的选择与整合，并非原框架的直接复现。所称高阶社会情感，强调相关能力在复杂、开放、持续和协同任务中的运用，不将其解释为社会情感能力已经具有公认的高低层级。四个维度用于指导题项编制和现状分析，其结构合理性通过后续工具检验加以考察。</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学生高阶能力问卷的维度与考察要点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，具体结果见表3-4</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表3-8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表3-9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表3-10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表3-11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表3-12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开放性回答中，学生提到的学习困难可归为五类（表3-13</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表3-13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道评分题（表3-14</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1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表3-17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表3-18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表3-19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，表明教师对高阶能力培育总体持积极态度，并报告了相应教学尝试。教学自我效能均值相对较低，提示理念认同与具体实施把握之间仍有需要加强的环节。现实阻碍均值为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表3-21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表3-23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表3-24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结果如表3-24</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表3-25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内部一致性检验验证了课堂评价工具的可靠性，为后续数据分析提供了方法保障。在此基础上，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分，表明观察者对本批课堂总体评价较为积极，同时不同评价记录之间存在差异。五维中，社会情感支持与学科内容建构均值较高，课堂互动、形成性评价与反馈相对靠后（表3-26</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表3-26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汇总材料记录的学习活动包括讨论、练习、展示和探究，课堂组织涉及任务驱动、合作学习及教师引导等方式。这些资料补充说明，学生参与已具有一定的时间与活动条件，教师也通过提问、指导等方式组织学习。</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教师评课关键词词云图补充呈现了观察者关注的课堂内容（图3-2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等词较为突出，说明现有评课意见涉及任务组织、学生参与及思考过程。从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的视角看，这些关键词提示观察者已经关注目标、任务与学习过程之间的联系，为后续分析学生思考如何呈现提供了线索。</w:t>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结合量表与希沃资料，本批课堂具有内容组织和学习活动的基础；文本中对问题、探究与互动的关注，则进一步提示高阶能力培育已进入教师评课视野。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描述为探究互动较为突出的课例。学生行为占比及活动描述表明，课堂已安排一定的表达与交流机会；量表的相对低分则提示，互动质量仍有继续提升的空间。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希沃行为热力图补充呈现了各课例在学生参与、教师指导、互动交流和探究活动方面的分布（图3-3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3-27</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表3-27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课堂观察表明，前期教学已具备内容组织、学生参与和情感支持的基础，但深入互动与形成性评价仍需加强。量表、希沃资料及评课文本共同提示，后续应</w:t>
      </w:r>
      <w:r w:rsidRPr="00BF4EC4">
        <w:rPr>
          <w:rFonts w:ascii="Times New Roman" w:eastAsia="宋体" w:hAnsi="Times New Roman" w:cs="Times New Roman"/>
          <w:sz w:val="24"/>
        </w:rPr>
        <w:lastRenderedPageBreak/>
        <w:t>进一步关注学生思考的呈现、同伴观点的回应及反馈后的修订，将七维高阶能力落实为具体任务与表现标准，使学习过程和进步有据可察，为教学模式建构明确实践重点。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前测结果共同指向任务设计与过程支持</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、知识迁移困难和考试后难以调整等表现，进一步提示教学需要加强思考方法与自我调节支持。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据此，后续模型应将七维高阶能力落实为明确的目标、任务与表现标准，通过思路呈现、同伴回应、反馈修订和反思迁移回应学生需要，并结合任务分层、学习支架与情绪支持，帮助教师依据学习表现调整教学。</w:t>
      </w:r>
    </w:p>
    <w:p w14:paraId="6CEFF9C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6" w:name="_Toc244008921"/>
      <w:r w:rsidRPr="00BF4EC4">
        <w:rPr>
          <w:rFonts w:eastAsia="宋体"/>
          <w:b/>
          <w:bCs/>
          <w:color w:val="000000"/>
        </w:rPr>
        <w:t>（二）依据前测与理论建构培育模型和学习模型</w:t>
      </w:r>
      <w:bookmarkEnd w:id="46"/>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高阶能力培育总模型的初步建构</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）新课标要求与前测问题决定模型的设计重点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2AF1BDC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调查则明确了模型需要回应的现实问题。学生合作共情与责任担当自评较积极，但问题拆解、多方案生成、任务反思及情绪调节仍需加强；教师具有较高的培育认同，但任务设计与过程引导仍需支持；课堂内容组织和情感支持已有基础，深入互动与形成性评价相对薄弱。这些发现提示，后续教学需要贯通目标、任务、学习表现与反馈改进。</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因此这里用来判断证据的方向和稳健程度，不按效应量高低取舍教学方法。模型各环节对应的主要影响因素及效应量见表3-28</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表3-28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为组织思路，以前期调查为问题依据，以元分析证据为要素参照，构建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课题组依据新课标的核心素养要求，结合</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理论与前期调查结果，提出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图3-4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-29</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表3-29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2.</w:t>
      </w:r>
      <w:r w:rsidRPr="00BF4EC4">
        <w:rPr>
          <w:rFonts w:ascii="Times New Roman" w:hAnsi="Times New Roman" w:hint="default"/>
          <w:color w:val="000000"/>
          <w:kern w:val="2"/>
          <w:sz w:val="24"/>
          <w:szCs w:val="24"/>
        </w:rPr>
        <w:t>学习模型的初步设计</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图3-5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表3-30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（三）培育模型在学科课堂与科创项目两域的实施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（1）学科课堂的五个分析框架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1）知识、目标、实践、评价四要素</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强调教师依据学生的学习表现认识教学的作用，同时帮助学生理解学习目标、判断当前进展并参与学习调节。借鉴邱惠芬以知识、目标、实践和评价联系教与学的分析思路，将四要素作为学科实施的基本参照：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图3-6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学科实践学习四要素分析框架</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图3-6</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以目标为参照，将知识、实践与评价联系起来，并在每个要素中同时呈现学生行动与教师支持。表3-31</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表3-31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2）目标分析框架</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借鉴邱惠芬将学习要求转化为实践表征的思路，从课程标准与单元内容出发，依次明确任务目标、表现要求及相应证据。表3-32</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表3-32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3-32</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3）内容分析框架</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内容组织以学科核心概念、重要关系和典型方法为基础，兼顾学生已有经验与问题解决需要。邱惠芬从学科与跨学科立场组织实践内容，并区分不同的实践表征水平（图3-7</w:t>
      </w:r>
      <w:r w:rsidRPr="00BF4EC4">
        <w:rPr>
          <w:rFonts w:ascii="Times New Roman" w:eastAsia="宋体" w:hAnsi="Times New Roman" w:cs="Times New Roman"/>
          <w:sz w:val="24"/>
        </w:rPr>
        <w:t/>
      </w:r>
      <w:r w:rsidRPr="00BF4EC4">
        <w:rPr>
          <w:rFonts w:ascii="Times New Roman" w:eastAsia="宋体" w:hAnsi="Times New Roman" w:cs="Times New Roman"/>
          <w:sz w:val="24"/>
        </w:rPr>
        <w:t>）。内容分析吸收其关注知识联系、实践方式和学习深度的思路，围绕核心问题建立相互关联的任务，避免知识点与活动各自分散。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图3-7  </w:t>
      </w:r>
      <w:r w:rsidRPr="00BF4EC4">
        <w:rPr>
          <w:rFonts w:ascii="Times New Roman" w:eastAsia="宋体" w:hAnsi="Times New Roman" w:cs="Times New Roman"/>
        </w:rPr>
        <w:t xml:space="preserve"/>
      </w:r>
      <w:r w:rsidRPr="00BF4EC4">
        <w:rPr>
          <w:rFonts w:ascii="Times New Roman" w:eastAsia="宋体" w:hAnsi="Times New Roman" w:cs="Times New Roman"/>
        </w:rPr>
        <w:t>学科实践学习内容分析框架</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图3-7</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在图3-7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所示整体关系基础上，表3-33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表3-33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表3-33</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4）过程分析框架</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邱惠芬的分析框架将教师活动与学生实践联系起来，强调依据证据反馈促进过程深化（图3-8</w:t>
      </w:r>
      <w:r w:rsidRPr="00BF4EC4">
        <w:rPr>
          <w:rFonts w:ascii="Times New Roman" w:eastAsia="宋体" w:hAnsi="Times New Roman" w:cs="Times New Roman"/>
          <w:sz w:val="24"/>
        </w:rPr>
        <w:t/>
      </w:r>
      <w:r w:rsidRPr="00BF4EC4">
        <w:rPr>
          <w:rFonts w:ascii="Times New Roman" w:eastAsia="宋体" w:hAnsi="Times New Roman" w:cs="Times New Roman"/>
          <w:sz w:val="24"/>
        </w:rPr>
        <w:t>）。在这一思路上，将五环学习与教师持续调节融入同一活动：学生呈现思路并运用反馈，教师依据表现判断需要、选择支持并考察其作用。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图3-8  </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学科实践学习过程分析框架</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图3-8</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表3-34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将图3-8</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5）多元评价样态</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多元评价围绕学习目标收集和解释证据，综合运用学生自评、同伴互评与教师评价，考察知识理解、关系建构、迁移运用及共同任务中的合作与调节。表3-35</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表3-35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从高阶能力培育看，比较图文差异与补充物件特征涉及分析，依据主旨判断细节的适切性涉及评价，重新组织物件、故事与情感则为观察创造表现提供了依据。图3-9</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图3-9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图3-9</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版本中的童年叙事。版本之间的差异呈现了表达内容的扩展，也使表3-31</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图3-10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的学习过程，与图3-8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及表3-34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表3-36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表3-37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图3-11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图3-12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表3-38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图3-13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图3-14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表3-39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表3-40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图3-15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图3-16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图3-17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图3-17</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保留同伴提问、学生回应、意见采纳及终稿变化，与图3-16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的版本记录相互参照，可追踪学生如何在交流后修正理解。评价重点是学生能否说明取舍理由、使表达更有依据，而非采纳意见的数量。表3-41</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表3-41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表3-42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图3-18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图3-19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互评表将核心观点、支持依据、建议与理由及语言表现分别列出，并要求在原文标示或补充建议。表中记录说明同伴参与了诊断；互评是否有效，还要看下一稿是否回应所指出的问题。图3-18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与图3-19</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五个框架共同构成学科场域的实施逻辑：以课程标准的核心素养要求确定方向，以目标与表现标准明确学习要求，以内容关联和任务实践提供学习机会，再通过证据解释、反馈运用与教师调节推动改进。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场域以真实问题及其改进需要组织学习，将课程标准的核心素养要求落实于调查研究、方案设计、实践验证和成果交流。针对前测中学生复杂问题拆解、多种方案生成及反思调节等方面的需要，科创场域延续学科场域的五个分析框架，在知识、目标、实践和评价之外增设</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要素，着重考察学生如何把知识转化为可论证、可实施和可改进的解决思路。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（1）科创项目的五个分析框架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1）增设“方案”的五要素</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作为连接知识与实践的独立分析要素。这是对学科场域四要素框架的情境化拓展，并非将其视为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理论原有的固定要素。</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  </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科创教育五要素分析框架（在四要素框架基础上拓展）</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以目标为参照，将知识、方案、实践与评价相互联系，并在五个要素中同时明确学生行动和教师支持。表3-43</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表3-43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2）目标分析框架</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表3-44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3）内容分析框架</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表3-45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表3-45</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4）过程分析框架</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图3-21</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通过实践表征联系学习深度、学生行动与教师调节。方案草图、数据记录、原型或试行结果，使设计中的理解与困难能够被共同讨论；反馈后的修订及再次验证，又为教师评估支持是否适切提供依据。表3-46</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表3-46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5）多元评价样态</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3-47</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表3-47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图3-22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图3-22</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图3-23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图3-23</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模拟听证会组织方案质询。同伴提出再利用用途需要具体，教师提示明确缩短淋浴的时间；学生在修改清单中补入浇花用途、占比说明和时间建议。图3-24</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图3-24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表3-48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表3-48</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图3-25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3-22</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转化为更具体的学习标准：在安全前提下说明路径选择的依据，并能够分析故障、调整点位。基础操作属于必要的学习条件，方案比较及约束权衡才进一步涉及分析、评价与创造。表3-44</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图3-24</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评价上，机械臂案例的图书归架任务单留有另一小组的路径草图及约束说明（图3-25右侧），为考察新情境中的方法运用提供了更具体的材料，可用于分析学生是否关注到新的空间约束。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图3-26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图3-26</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图3-27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图3-27</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日的记录将多障碍物干扰作为调试问题，记载了时序振动、算法预测及调试显示等调整，并报告了修改前后的部分结果。表3-49</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表3-49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图3-28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表3-49</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分。该分配提示评价需同时关注设计依据、技术实现及验证改进，但权重属于工具设计，不是学生实际得分。表3-50</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表3-50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表3-51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表3-51</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（四）嵌入实践过程的评价与多源证据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1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17"/>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，因此课堂中的评价以形成性反馈为主，分数主要用于研究层面的前后比较。在思维层次判断上，评价指标与研究设计中的表2-1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表3-52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（五）前后测比较与模型迭代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表3-53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表3-54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表3-55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表3-56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表3-57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表3-58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表3-59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表3-60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表3-61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表3-62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表3-63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表3-64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表3-65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表3-66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表3-67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参与教师覆盖不同职业发展阶段，既有具有较丰富教学经验的教师，也有处于专业成长阶段的青年教师，为考察相关教学设计在不同教师群体中的实践应用提供了基础。多数教师在研究实施前已接触相关培训或教研活动，为教师进一步从理念理解走向课堂实施创造了有利条件。</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表3-68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多学科参与为课题考察高阶能力培育在不同学科任务中的应用提供了实践基础，有助于从多种教学情境理解其实施价值。不过，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表3-69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表3-70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表3-71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表3-72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表3-73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表3-74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表3-75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表3-76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研究初期，课题组首先关注高阶能力如何进入学生学习过程，逐步形成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提示研究需要进一步关注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图3-29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上，学习模型侧重说明两域共用的教与学运行方式，总模型进一步呈现其与育人目标、发展参照、实践设计及评价证据的关系。模型形成意味着研究获得了可供持续检验和改进的解释框架。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图3-30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四、研究成果与实践成效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3-49</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，七个维度均显著提高（表3-54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至表3-63</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份（见表3-36</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项次（表4-2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四个维度的变化幅度和含义不同（表3-69</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至表3-74</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47AAE78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唤醒家庭的力量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50-51.</w:t>
      </w:r>
    </w:p>
    <w:p w14:paraId="02800B6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陈添</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认识你的领导力：以可见的学习重塑教育变革</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48-49.</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5E9F98D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何光友</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可见的学习视角下的项目化设计</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44-45.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15396A5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李茂森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祝蕾蕾</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中小学课堂教学反馈的现实困境与改进路径：基于哈蒂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2022, 42(20): 77-84.</w:t>
      </w:r>
    </w:p>
    <w:p w14:paraId="56B1BD8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林心悦</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卓越教师的三个形象与十个心智框架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46-47.</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5119389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卓越教师的</w:t>
      </w:r>
      <w:r w:rsidRPr="00BF4EC4">
        <w:rPr>
          <w:rFonts w:ascii="Times New Roman" w:eastAsia="楷体" w:hAnsi="Times New Roman" w:cs="Times New Roman"/>
          <w:kern w:val="0"/>
          <w:sz w:val="24"/>
        </w:rPr>
        <w:t>10</w:t>
      </w:r>
      <w:r w:rsidRPr="00BF4EC4">
        <w:rPr>
          <w:rFonts w:ascii="Times New Roman" w:eastAsia="楷体" w:hAnsi="Times New Roman" w:cs="Times New Roman"/>
          <w:kern w:val="0"/>
          <w:sz w:val="24"/>
        </w:rPr>
        <w:t>个心智框架：《可见的学习》与《学记》的比较</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湖南师范大学教育科学学报</w:t>
      </w:r>
      <w:r w:rsidRPr="00BF4EC4">
        <w:rPr>
          <w:rFonts w:ascii="Times New Roman" w:eastAsia="楷体" w:hAnsi="Times New Roman" w:cs="Times New Roman"/>
          <w:kern w:val="0"/>
          <w:sz w:val="24"/>
        </w:rPr>
        <w:t>, 2022, 21(5): 23-31.</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066EE2B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邱惠芬</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视域下初中化学学科实践学习分析框架的建构</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化学教学</w:t>
      </w:r>
      <w:r w:rsidRPr="00BF4EC4">
        <w:rPr>
          <w:rFonts w:ascii="Times New Roman" w:eastAsia="楷体" w:hAnsi="Times New Roman" w:cs="Times New Roman"/>
          <w:kern w:val="0"/>
          <w:sz w:val="24"/>
        </w:rPr>
        <w:t>, 2024(2): 27-33.</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585706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，探索学生高阶能力培养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54-55.</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70532A1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w:t>
      </w:r>
      <w:r w:rsidRPr="00BF4EC4">
        <w:rPr>
          <w:rFonts w:ascii="Times New Roman" w:eastAsia="楷体" w:hAnsi="Times New Roman" w:cs="Times New Roman"/>
          <w:kern w:val="0"/>
          <w:sz w:val="24"/>
        </w:rPr>
        <w:t>石修银</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基于</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理论的语文教学设计、过程及评价</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课程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教材</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教法</w:t>
      </w:r>
      <w:r w:rsidRPr="00BF4EC4">
        <w:rPr>
          <w:rFonts w:ascii="Times New Roman" w:eastAsia="楷体" w:hAnsi="Times New Roman" w:cs="Times New Roman"/>
          <w:kern w:val="0"/>
          <w:sz w:val="24"/>
        </w:rPr>
        <w:t>, 2021, 41(8): 83-89.</w:t>
      </w:r>
    </w:p>
    <w:p w14:paraId="4181ABF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w:t>
      </w:r>
      <w:r w:rsidRPr="00BF4EC4">
        <w:rPr>
          <w:rFonts w:ascii="Times New Roman" w:eastAsia="楷体" w:hAnsi="Times New Roman" w:cs="Times New Roman"/>
          <w:kern w:val="0"/>
          <w:sz w:val="24"/>
        </w:rPr>
        <w:t>温英贝</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有效反馈的艺术</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38-39.</w:t>
      </w:r>
    </w:p>
    <w:p w14:paraId="26AFCC4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可见的学习：未完成的故事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基础教育</w:t>
      </w:r>
      <w:r w:rsidRPr="00BF4EC4">
        <w:rPr>
          <w:rFonts w:ascii="Times New Roman" w:eastAsia="楷体" w:hAnsi="Times New Roman" w:cs="Times New Roman"/>
          <w:kern w:val="0"/>
          <w:sz w:val="24"/>
        </w:rPr>
        <w:t>, 2015, 12(5): 107-112.</w:t>
      </w:r>
    </w:p>
    <w:p w14:paraId="413C58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可见的学习的全球迁移</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32-33.</w:t>
      </w:r>
    </w:p>
    <w:p w14:paraId="43113E6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迈向更有效的反馈：哈蒂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的模式</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开放教育研究</w:t>
      </w:r>
      <w:r w:rsidRPr="00BF4EC4">
        <w:rPr>
          <w:rFonts w:ascii="Times New Roman" w:eastAsia="楷体" w:hAnsi="Times New Roman" w:cs="Times New Roman"/>
          <w:kern w:val="0"/>
          <w:sz w:val="24"/>
        </w:rPr>
        <w:t>, 2021, 27(4): 27-40.</w:t>
      </w:r>
    </w:p>
    <w:p w14:paraId="0794AC8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学习科学证明了什么：哈蒂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2025, 45(8): 39-50.</w:t>
      </w:r>
    </w:p>
    <w:p w14:paraId="6DAB4A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教育知识的全球迁移与重构：以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为例</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比较教育研究</w:t>
      </w:r>
      <w:r w:rsidRPr="00BF4EC4">
        <w:rPr>
          <w:rFonts w:ascii="Times New Roman" w:eastAsia="楷体" w:hAnsi="Times New Roman" w:cs="Times New Roman"/>
          <w:kern w:val="0"/>
          <w:sz w:val="24"/>
        </w:rPr>
        <w:t>, 2026, 48(3): 92-101.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31DD13D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[37] </w:t>
      </w:r>
      <w:r w:rsidRPr="00BF4EC4">
        <w:rPr>
          <w:rFonts w:ascii="Times New Roman" w:eastAsia="楷体" w:hAnsi="Times New Roman" w:cs="Times New Roman"/>
          <w:kern w:val="0"/>
          <w:sz w:val="24"/>
        </w:rPr>
        <w:t>张诗琪</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学习的九个基本原则</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34-35.</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BERGERON L, ROGERS L. Teaching the Theory of Knowledge course in IB World Schools[R]. La Crosse: University of Wisconsin-La Crosse, 2015.</w:t>
      </w:r>
    </w:p>
    <w:p w14:paraId="391D7D6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BERGERON P J, RIVARD L. How to engage in pseudoscience with real data: A criticism of John Hattie's arguments in Visible Learning from the perspective of a statistician[J]. McGill Journal of Education, 2017, 52(1): 237-246.</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BOUCKAERT M. The assessment of students' creative and critical thinking skills in higher education across OECD countries: A review of policies and related practices[R]. Paris: OECD Publishing, 2023. DOI:10.1787/35dbd439-en.</w:t>
      </w:r>
    </w:p>
    <w:p w14:paraId="059795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BROWN C, GREANY T. The evidence-informed school system in England: Where should school leaders be focusing their </w:t>
      </w:r>
      <w:proofErr w:type="gramStart"/>
      <w:r w:rsidRPr="00BF4EC4">
        <w:rPr>
          <w:rFonts w:ascii="Times New Roman" w:eastAsia="楷体" w:hAnsi="Times New Roman" w:cs="Times New Roman"/>
          <w:kern w:val="0"/>
          <w:sz w:val="24"/>
        </w:rPr>
        <w:t>efforts?[</w:t>
      </w:r>
      <w:proofErr w:type="gramEnd"/>
      <w:r w:rsidRPr="00BF4EC4">
        <w:rPr>
          <w:rFonts w:ascii="Times New Roman" w:eastAsia="楷体" w:hAnsi="Times New Roman" w:cs="Times New Roman"/>
          <w:kern w:val="0"/>
          <w:sz w:val="24"/>
        </w:rPr>
        <w:t>J]. Leadership and Policy in Schools, 2018, 17(1): 115-137. DOI:10.1080/15700763.2016.1270330.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6BCFEDF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DE JONG T, LAZONDER A W, CHINN C A, et al. Let's talk evidence – The case for combining inquiry-based and direct instruction[J]. Educational Research Review, 2023, 39: 100536.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DURLAK J A, WEISSBERG R P, DYMNICKI A B, et al. The impact of enhancing students' social and emotional learning: A meta-analysis of school-based universal interventions[J]. Child Development, 2011, 82(1): 405-432.</w:t>
      </w:r>
    </w:p>
    <w:p w14:paraId="0E8FBB4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EACOTT S. Ranting, raving and complaining: Reflections on working against orthodoxy[J]. International Journal of Leadership in Education, 2019, 22(6): 774-782.</w:t>
      </w:r>
    </w:p>
    <w:p w14:paraId="3B0F903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EDOVALD T, NEVILL C. Working out what works: The case of the Education Endowment Foundation in England[J]. ECNU Review of Education, 2021, 4(1): 46-64.</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E236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GOLOVCHIN M A. What kind of teacher does the 'school of the future' </w:t>
      </w:r>
      <w:r w:rsidRPr="00BF4EC4">
        <w:rPr>
          <w:rFonts w:ascii="Times New Roman" w:eastAsia="楷体" w:hAnsi="Times New Roman" w:cs="Times New Roman"/>
          <w:kern w:val="0"/>
          <w:sz w:val="24"/>
        </w:rPr>
        <w:lastRenderedPageBreak/>
        <w:t>need? Possibility of using John Hattie's approach in Russian education[J]. Economic and Social Changes: Facts, Trends, Forecast, 2019, 12(5): 229-242.</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GÜNGÖR F, ALTUNBAŞAK İ, AYDIN A T, et al. A second-order meta-analysis on the effects of cooperative learning on students' academic achievement, higher-order thinking, and affective behaviors[J]. Current Psychology, 2026, 45: 552. DOI:10.1007/s12144-025-08943-0.</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HATTIE J. The applicability of Visible Learning to higher education[J]. Scholarship of Teaching and Learning in Psychology, 2015, 1(1): 79-91.</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HATTIE J, TIMPERLEY H. The power of feedback[J]. Review of Educational Research, 2007, 77(1): 81-112.</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6A6EDA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KELLY P, BECK A, HOFBAUER S. Comparing school leaders' experiences of research use in England, Scotland and Germany[J]. Review of Education, 2025, 13(1): e70058. DOI:10.1002/rev3.70058.</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KNUDSEN H. John Hattie: I'm a statistician, I'm not a theoretician[J]. Nordic Journal of Studies in Educational Policy, 2017, 3(3): 253-261.</w:t>
      </w:r>
    </w:p>
    <w:p w14:paraId="6F1CB27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[70]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3098C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LIU J, MBOWE A E, TAHRI D, et al. Meta-analysis on the influence of AI agents on K-12 student cognitive performance[J]. Computers in Human Behavior Reports, 2026, 21: 100973. </w:t>
      </w:r>
      <w:proofErr w:type="gramStart"/>
      <w:r w:rsidRPr="00BF4EC4">
        <w:rPr>
          <w:rFonts w:ascii="Times New Roman" w:eastAsia="楷体" w:hAnsi="Times New Roman" w:cs="Times New Roman"/>
          <w:kern w:val="0"/>
          <w:sz w:val="24"/>
        </w:rPr>
        <w:t>DOI:10.1016/j.chbr</w:t>
      </w:r>
      <w:proofErr w:type="gramEnd"/>
      <w:r w:rsidRPr="00BF4EC4">
        <w:rPr>
          <w:rFonts w:ascii="Times New Roman" w:eastAsia="楷体" w:hAnsi="Times New Roman" w:cs="Times New Roman"/>
          <w:kern w:val="0"/>
          <w:sz w:val="24"/>
        </w:rPr>
        <w:t>.2026.100973.</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MCDONNELL L M, WEATHERFORD M S. Evidence use and the Common Core State Standards movement: From problem definition to policy adoption[J]. American Journal of Education, 2013, 120(1): 1-25. DOI:10.1086/673163.</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NIELSEN K, KLITMØLLER J. Blind spots in visible learning: A critique of John Hattie as an educational theorist[J]. Nordic Psychology, 2021.</w:t>
      </w:r>
    </w:p>
    <w:p w14:paraId="3957E27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NORDAHL T. Visible Learning </w:t>
      </w:r>
      <w:proofErr w:type="spellStart"/>
      <w:r w:rsidRPr="00BF4EC4">
        <w:rPr>
          <w:rFonts w:ascii="Times New Roman" w:eastAsia="楷体" w:hAnsi="Times New Roman" w:cs="Times New Roman"/>
          <w:kern w:val="0"/>
          <w:sz w:val="24"/>
        </w:rPr>
        <w:t>som</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grunnlag</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evidens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forbedringsarbeid</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i</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utdanningssystemet</w:t>
      </w:r>
      <w:proofErr w:type="spellEnd"/>
      <w:r w:rsidRPr="00BF4EC4">
        <w:rPr>
          <w:rFonts w:ascii="Times New Roman" w:eastAsia="楷体" w:hAnsi="Times New Roman" w:cs="Times New Roman"/>
          <w:kern w:val="0"/>
          <w:sz w:val="24"/>
        </w:rPr>
        <w:t>[J]. Paideia, 2015(9): 61-69.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7469A7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[79] QVORTRUP L. </w:t>
      </w:r>
      <w:proofErr w:type="spellStart"/>
      <w:r w:rsidRPr="00BF4EC4">
        <w:rPr>
          <w:rFonts w:ascii="Times New Roman" w:eastAsia="楷体" w:hAnsi="Times New Roman" w:cs="Times New Roman"/>
          <w:kern w:val="0"/>
          <w:sz w:val="24"/>
        </w:rPr>
        <w:t>Baggrund</w:t>
      </w:r>
      <w:proofErr w:type="spellEnd"/>
      <w:r w:rsidRPr="00BF4EC4">
        <w:rPr>
          <w:rFonts w:ascii="Times New Roman" w:eastAsia="楷体" w:hAnsi="Times New Roman" w:cs="Times New Roman"/>
          <w:kern w:val="0"/>
          <w:sz w:val="24"/>
        </w:rPr>
        <w:t xml:space="preserve"> for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diskussioner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af</w:t>
      </w:r>
      <w:proofErr w:type="spellEnd"/>
      <w:r w:rsidRPr="00BF4EC4">
        <w:rPr>
          <w:rFonts w:ascii="Times New Roman" w:eastAsia="楷体" w:hAnsi="Times New Roman" w:cs="Times New Roman"/>
          <w:kern w:val="0"/>
          <w:sz w:val="24"/>
        </w:rPr>
        <w:t xml:space="preserve"> Visible Learning med </w:t>
      </w:r>
      <w:proofErr w:type="spellStart"/>
      <w:r w:rsidRPr="00BF4EC4">
        <w:rPr>
          <w:rFonts w:ascii="Times New Roman" w:eastAsia="楷体" w:hAnsi="Times New Roman" w:cs="Times New Roman"/>
          <w:kern w:val="0"/>
          <w:sz w:val="24"/>
        </w:rPr>
        <w:t>særligt</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henblik</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på</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vidensbegrebet</w:t>
      </w:r>
      <w:proofErr w:type="spellEnd"/>
      <w:r w:rsidRPr="00BF4EC4">
        <w:rPr>
          <w:rFonts w:ascii="Times New Roman" w:eastAsia="楷体" w:hAnsi="Times New Roman" w:cs="Times New Roman"/>
          <w:kern w:val="0"/>
          <w:sz w:val="24"/>
        </w:rPr>
        <w:t>[J]. Paideia, 2015(9): 22-33.</w:t>
      </w:r>
    </w:p>
    <w:p w14:paraId="14504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[80] RICKINSON M, WALSH L, GLEESON J, et al. Using research well in educational practice[M]//RÉVAI N. Who cares about using education research in policy and practice? Strengthening research engagement. Paris: OECD Publishing, 2022: 182-199. DOI:10.1787/d7ff793d-en.</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[81] RUNCO M A, MAMMADOV S, SUI D, et al. Second-order meta-analysis of the creativity research[J/OL]. Creativity Research Journal, 2026. DOI:10.1080/10400419.2026.2644245.</w:t>
      </w:r>
    </w:p>
    <w:p w14:paraId="105632C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[82] SNOOK I, O'NEILL J, CLARK J, et al. Invisible learnings? A commentary on John Hattie's book: Visible learning: A synthesis of over 800 meta-analyses relating to achievement[J]. New Zealand Journal of Educational Studies, 2009, 44(1): 93-106.</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[83] STEINER-KHAMSI G, MARTENS K, YDESEN C. Governance by numbers 2.0: Policy brokerage as an instrument of global governance in the era of information overload[J]. Comparative Education, 2024, 60(4): 537-554.</w:t>
      </w:r>
    </w:p>
    <w:p w14:paraId="7D53A9A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[84] TERHART E. Has John Hattie really found the holy grail of research on teaching? An extended review of Visible Learning[J]. Journal of Curriculum Studies, 2011, 43(3): 425-438.</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[85] ÜNAL E, KAYA M, UZUN A M, et al. A second-order meta-analysis on the effects of artificial intelligence applications on student outcomes[J]. Journal of Educational Computing Research, 2026, 64(5): 1360-1389. DOI:10.1177/07356331261424767.</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[88]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[89]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[90]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4">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25">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2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27">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28">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29">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0">
    <w:p w14:paraId="4BC088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343237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0586D14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2016A2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F67B3D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686A77F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6">
    <w:p w14:paraId="578A63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37">
    <w:p w14:paraId="73134FB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8">
    <w:p w14:paraId="46E6D4C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(2023-09-01)[2026-10-19]. https://edu.sh.gov.cn/xxgk2_zdgz_jcjy_01/20230901/d22c1043024d4d0e9d32b85fd3392186.html.</w:t>
      </w:r>
    </w:p>
  </w:footnote>
  <w:footnote w:id="39">
    <w:p w14:paraId="207DF5A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40">
    <w:p w14:paraId="1B46620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1">
    <w:p w14:paraId="762ACC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2">
    <w:p w14:paraId="62E4F8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43">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4">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6">
    <w:p w14:paraId="696CF6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47">
    <w:p w14:paraId="14463E3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48">
    <w:p w14:paraId="65CCBE7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p>
  </w:footnote>
  <w:footnote w:id="49">
    <w:p w14:paraId="7AB374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WU J Y, LEE Y H, CHAI C S, et al. Strengthening human epistemic agency in the symbiotic learning partnership with generative artificial intelligence[J]. Educational Researcher, 2025, 54(6): 358-368. DOI:10.3102/0013189X251333628.</w:t>
      </w:r>
    </w:p>
  </w:footnote>
  <w:footnote w:id="50">
    <w:p w14:paraId="518874B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LIU J, MBOWE A E, TAHRI D, et al. Meta-analysis on the influence of AI agents on K-12 student cognitive performance[J]. Computers in Human Behavior Reports, 2026, 21: 100973. DOI:10.1016/j.chbr.2026.100973.</w:t>
      </w:r>
    </w:p>
  </w:footnote>
  <w:footnote w:id="51">
    <w:p w14:paraId="7AF1744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 Y, YUAN Y. Epistemic dependence in AI-mediated learning[J/OL]. AI &amp; Society, 2026. DOI:10.1007/s00146-026-03294-1.</w:t>
      </w:r>
    </w:p>
  </w:footnote>
  <w:footnote w:id="52">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248BECA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张诗琪</w:t>
      </w:r>
      <w:r>
        <w:rPr>
          <w:rFonts w:ascii="Times New Roman" w:eastAsia="宋体" w:hAnsi="Times New Roman" w:cs="Times New Roman"/>
          <w:sz w:val="18"/>
          <w:szCs w:val="18"/>
        </w:rPr>
        <w:t xml:space="preserve">. </w:t>
      </w:r>
      <w:r>
        <w:rPr>
          <w:rFonts w:ascii="Times New Roman" w:hAnsi="Times New Roman" w:cs="Times New Roman"/>
          <w:sz w:val="18"/>
          <w:szCs w:val="18"/>
        </w:rPr>
        <w:t>学习的九个基本原则</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34-35.</w:t>
      </w:r>
    </w:p>
  </w:footnote>
  <w:footnote w:id="59">
    <w:p w14:paraId="2702F1E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学习科学证明了什么：哈蒂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2025, 45(8): 39-50.</w:t>
      </w:r>
    </w:p>
  </w:footnote>
  <w:footnote w:id="6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61">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62">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63">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64">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6">
    <w:p w14:paraId="30412E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迈向更有效的反馈：哈蒂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的模式</w:t>
      </w:r>
      <w:r>
        <w:rPr>
          <w:rFonts w:ascii="Times New Roman" w:eastAsia="宋体" w:hAnsi="Times New Roman" w:cs="Times New Roman"/>
          <w:sz w:val="18"/>
          <w:szCs w:val="18"/>
        </w:rPr>
        <w:t xml:space="preserve">[J]. </w:t>
      </w:r>
      <w:r>
        <w:rPr>
          <w:rFonts w:ascii="Times New Roman" w:hAnsi="Times New Roman" w:cs="Times New Roman"/>
          <w:sz w:val="18"/>
          <w:szCs w:val="18"/>
        </w:rPr>
        <w:t>开放教育研究</w:t>
      </w:r>
      <w:r>
        <w:rPr>
          <w:rFonts w:ascii="Times New Roman" w:eastAsia="宋体" w:hAnsi="Times New Roman" w:cs="Times New Roman"/>
          <w:sz w:val="18"/>
          <w:szCs w:val="18"/>
        </w:rPr>
        <w:t>, 2021, 27(4): 27-40.</w:t>
      </w:r>
    </w:p>
  </w:footnote>
  <w:footnote w:id="67">
    <w:p w14:paraId="4F9E33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李茂森</w:t>
      </w:r>
      <w:r>
        <w:rPr>
          <w:rFonts w:ascii="Times New Roman" w:eastAsia="宋体" w:hAnsi="Times New Roman" w:cs="Times New Roman"/>
          <w:sz w:val="18"/>
          <w:szCs w:val="18"/>
        </w:rPr>
        <w:t xml:space="preserve">, </w:t>
      </w:r>
      <w:r>
        <w:rPr>
          <w:rFonts w:ascii="Times New Roman" w:hAnsi="Times New Roman" w:cs="Times New Roman"/>
          <w:sz w:val="18"/>
          <w:szCs w:val="18"/>
        </w:rPr>
        <w:t>祝蕾蕾</w:t>
      </w:r>
      <w:r>
        <w:rPr>
          <w:rFonts w:ascii="Times New Roman" w:eastAsia="宋体" w:hAnsi="Times New Roman" w:cs="Times New Roman"/>
          <w:sz w:val="18"/>
          <w:szCs w:val="18"/>
        </w:rPr>
        <w:t xml:space="preserve">. </w:t>
      </w:r>
      <w:r>
        <w:rPr>
          <w:rFonts w:ascii="Times New Roman" w:hAnsi="Times New Roman" w:cs="Times New Roman"/>
          <w:sz w:val="18"/>
          <w:szCs w:val="18"/>
        </w:rPr>
        <w:t>中小学课堂教学反馈的现实困境与改进路径：基于哈蒂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2022, 42(20): 77-84.</w:t>
      </w:r>
    </w:p>
  </w:footnote>
  <w:footnote w:id="68">
    <w:p w14:paraId="03327E2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温英贝</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有效反馈的艺术</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38-39.</w:t>
      </w:r>
    </w:p>
  </w:footnote>
  <w:footnote w:id="69">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0">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1">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2">
    <w:p w14:paraId="560327E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w:t>
      </w:r>
      <w:r>
        <w:rPr>
          <w:rFonts w:ascii="Times New Roman" w:eastAsia="宋体" w:hAnsi="Times New Roman" w:cs="Times New Roman"/>
          <w:sz w:val="18"/>
          <w:szCs w:val="18"/>
        </w:rPr>
        <w:t>10</w:t>
      </w:r>
      <w:r>
        <w:rPr>
          <w:rFonts w:ascii="Times New Roman" w:hAnsi="Times New Roman" w:cs="Times New Roman"/>
          <w:sz w:val="18"/>
          <w:szCs w:val="18"/>
        </w:rPr>
        <w:t>个心智框架：《可见的学习》与《学记》的比较</w:t>
      </w:r>
      <w:r>
        <w:rPr>
          <w:rFonts w:ascii="Times New Roman" w:eastAsia="宋体" w:hAnsi="Times New Roman" w:cs="Times New Roman"/>
          <w:sz w:val="18"/>
          <w:szCs w:val="18"/>
        </w:rPr>
        <w:t xml:space="preserve">[J]. </w:t>
      </w:r>
      <w:r>
        <w:rPr>
          <w:rFonts w:ascii="Times New Roman" w:hAnsi="Times New Roman" w:cs="Times New Roman"/>
          <w:sz w:val="18"/>
          <w:szCs w:val="18"/>
        </w:rPr>
        <w:t>湖南师范大学教育科学学报</w:t>
      </w:r>
      <w:r>
        <w:rPr>
          <w:rFonts w:ascii="Times New Roman" w:eastAsia="宋体" w:hAnsi="Times New Roman" w:cs="Times New Roman"/>
          <w:sz w:val="18"/>
          <w:szCs w:val="18"/>
        </w:rPr>
        <w:t>, 2022, 21(5): 23-31.</w:t>
      </w:r>
    </w:p>
  </w:footnote>
  <w:footnote w:id="73">
    <w:p w14:paraId="521EFE3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林心悦</w:t>
      </w:r>
      <w:r>
        <w:rPr>
          <w:rFonts w:ascii="Times New Roman" w:eastAsia="宋体" w:hAnsi="Times New Roman" w:cs="Times New Roman"/>
          <w:sz w:val="18"/>
          <w:szCs w:val="18"/>
        </w:rPr>
        <w:t xml:space="preserve">. </w:t>
      </w:r>
      <w:r>
        <w:rPr>
          <w:rFonts w:ascii="Times New Roman" w:hAnsi="Times New Roman" w:cs="Times New Roman"/>
          <w:sz w:val="18"/>
          <w:szCs w:val="18"/>
        </w:rPr>
        <w:t>卓越教师的三个形象与十个心智框架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46-47.</w:t>
      </w:r>
    </w:p>
  </w:footnote>
  <w:footnote w:id="74">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75">
    <w:p w14:paraId="1CA09DB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NORDAHL T. Visible Learning som grunnlag for evidens og forbedringsarbeid i utdanningssystemet[J]. Paideia, 2015(9): 61-69.</w:t>
      </w:r>
    </w:p>
  </w:footnote>
  <w:footnote w:id="76">
    <w:p w14:paraId="58CE80F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77">
    <w:p w14:paraId="053672A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78">
    <w:p w14:paraId="14D8376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EDOVALD T, NEVILL C. Working out what works: The case of the Education Endowment Foundation in England[J]. ECNU Review of Education, 2021, 4(1): 46-64.</w:t>
      </w:r>
    </w:p>
  </w:footnote>
  <w:footnote w:id="79">
    <w:p w14:paraId="45D109C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BROWN C, GREANY T. The evidence-informed school system in England: Where should school leaders be focusing their efforts?[J]. Leadership and Policy in Schools, 2018, 17(1): 115-137. DOI:10.1080/15700763.2016.1270330.</w:t>
      </w:r>
    </w:p>
  </w:footnote>
  <w:footnote w:id="80">
    <w:p w14:paraId="7F71286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陈添</w:t>
      </w:r>
      <w:r>
        <w:rPr>
          <w:rFonts w:ascii="Times New Roman" w:eastAsia="宋体" w:hAnsi="Times New Roman" w:cs="Times New Roman"/>
          <w:sz w:val="18"/>
          <w:szCs w:val="18"/>
        </w:rPr>
        <w:t xml:space="preserve">. </w:t>
      </w:r>
      <w:r>
        <w:rPr>
          <w:rFonts w:ascii="Times New Roman" w:hAnsi="Times New Roman" w:cs="Times New Roman"/>
          <w:sz w:val="18"/>
          <w:szCs w:val="18"/>
        </w:rPr>
        <w:t>认识你的领导力：以可见的学习重塑教育变革</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48-49.</w:t>
      </w:r>
    </w:p>
  </w:footnote>
  <w:footnote w:id="81">
    <w:p w14:paraId="3328D79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唤醒家庭的力量</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50-51.</w:t>
      </w:r>
    </w:p>
  </w:footnote>
  <w:footnote w:id="82">
    <w:p w14:paraId="40E33DE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石修银</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理论的语文教学设计、过程及评价</w:t>
      </w:r>
      <w:r>
        <w:rPr>
          <w:rFonts w:ascii="Times New Roman" w:eastAsia="宋体" w:hAnsi="Times New Roman" w:cs="Times New Roman"/>
          <w:sz w:val="18"/>
          <w:szCs w:val="18"/>
        </w:rPr>
        <w:t xml:space="preserve">[J]. </w:t>
      </w:r>
      <w:r>
        <w:rPr>
          <w:rFonts w:ascii="Times New Roman" w:hAnsi="Times New Roman" w:cs="Times New Roman"/>
          <w:sz w:val="18"/>
          <w:szCs w:val="18"/>
        </w:rPr>
        <w:t>课程</w:t>
      </w:r>
      <w:r>
        <w:rPr>
          <w:rFonts w:ascii="Times New Roman" w:eastAsia="宋体" w:hAnsi="Times New Roman" w:cs="Times New Roman"/>
          <w:sz w:val="18"/>
          <w:szCs w:val="18"/>
        </w:rPr>
        <w:t>·</w:t>
      </w:r>
      <w:r>
        <w:rPr>
          <w:rFonts w:ascii="Times New Roman" w:hAnsi="Times New Roman" w:cs="Times New Roman"/>
          <w:sz w:val="18"/>
          <w:szCs w:val="18"/>
        </w:rPr>
        <w:t>教材</w:t>
      </w:r>
      <w:r>
        <w:rPr>
          <w:rFonts w:ascii="Times New Roman" w:eastAsia="宋体" w:hAnsi="Times New Roman" w:cs="Times New Roman"/>
          <w:sz w:val="18"/>
          <w:szCs w:val="18"/>
        </w:rPr>
        <w:t>·</w:t>
      </w:r>
      <w:r>
        <w:rPr>
          <w:rFonts w:ascii="Times New Roman" w:hAnsi="Times New Roman" w:cs="Times New Roman"/>
          <w:sz w:val="18"/>
          <w:szCs w:val="18"/>
        </w:rPr>
        <w:t>教法</w:t>
      </w:r>
      <w:r>
        <w:rPr>
          <w:rFonts w:ascii="Times New Roman" w:eastAsia="宋体" w:hAnsi="Times New Roman" w:cs="Times New Roman"/>
          <w:sz w:val="18"/>
          <w:szCs w:val="18"/>
        </w:rPr>
        <w:t>, 2021, 41(8): 83-89.</w:t>
      </w:r>
    </w:p>
  </w:footnote>
  <w:footnote w:id="83">
    <w:p w14:paraId="68C9B6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邱惠芬</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视域下初中化学学科实践学习分析框架的建构</w:t>
      </w:r>
      <w:r>
        <w:rPr>
          <w:rFonts w:ascii="Times New Roman" w:eastAsia="宋体" w:hAnsi="Times New Roman" w:cs="Times New Roman"/>
          <w:sz w:val="18"/>
          <w:szCs w:val="18"/>
        </w:rPr>
        <w:t xml:space="preserve">[J]. </w:t>
      </w:r>
      <w:r>
        <w:rPr>
          <w:rFonts w:ascii="Times New Roman" w:hAnsi="Times New Roman" w:cs="Times New Roman"/>
          <w:sz w:val="18"/>
          <w:szCs w:val="18"/>
        </w:rPr>
        <w:t>化学教学</w:t>
      </w:r>
      <w:r>
        <w:rPr>
          <w:rFonts w:ascii="Times New Roman" w:eastAsia="宋体" w:hAnsi="Times New Roman" w:cs="Times New Roman"/>
          <w:sz w:val="18"/>
          <w:szCs w:val="18"/>
        </w:rPr>
        <w:t>, 2024(2): 27-33.</w:t>
      </w:r>
    </w:p>
  </w:footnote>
  <w:footnote w:id="84">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85">
    <w:p w14:paraId="07E90A7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何光友</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可见的学习视角下的项目化设计</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44-45.</w:t>
      </w:r>
    </w:p>
  </w:footnote>
  <w:footnote w:id="86">
    <w:p w14:paraId="1242268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基于</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，探索学生高阶能力培养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54-55.</w:t>
      </w:r>
    </w:p>
  </w:footnote>
  <w:footnote w:id="87">
    <w:p w14:paraId="0ECDF47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SNOOK I, O'NEILL J, CLARK J, et al. Invisible learnings? A commentary on John Hattie's book: Visible learning: A synthesis of over 800 meta-analyses relating to achievement[J]. New Zealand Journal of Educational Studies, 2009, 44(1): 93-106.</w:t>
      </w:r>
    </w:p>
  </w:footnote>
  <w:footnote w:id="88">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89">
    <w:p w14:paraId="1F09B92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P J, RIVARD L. How to engage in pseudoscience with real data: A criticism of John Hattie's arguments in Visible Learning from the perspective of a statistician[J]. McGill Journal of Education, 2017, 52(1): 237-246.</w:t>
      </w:r>
    </w:p>
  </w:footnote>
  <w:footnote w:id="90">
    <w:p w14:paraId="53100E5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TERHART E. Has John Hattie really found the holy grail of research on teaching? An extended review of Visible Learning[J]. Journal of Curriculum Studies, 2011, 43(3): 425-438.</w:t>
      </w:r>
    </w:p>
  </w:footnote>
  <w:footnote w:id="91">
    <w:p w14:paraId="2A01FF6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p>
  </w:footnote>
  <w:footnote w:id="92">
    <w:p w14:paraId="29B02BA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QVORTRUP L. Baggrund for og diskussioner af Visible Learning med særligt henblik på lærings- og vidensbegrebet[J]. Paideia, 2015(9): 22-33.</w:t>
      </w:r>
    </w:p>
  </w:footnote>
  <w:footnote w:id="93">
    <w:p w14:paraId="6687443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EACOTT S. Ranting, raving and complaining: Reflections on working against orthodoxy[J]. International Journal of Leadership in Education, 2019, 22(6): 774-782.</w:t>
      </w:r>
    </w:p>
  </w:footnote>
  <w:footnote w:id="94">
    <w:p w14:paraId="6E51B63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GOLOVCHIN M A. What kind of teacher does the 'school of the future' need? Possibility of using John Hattie's approach in Russian education[J]. Economic and Social Changes: Facts, Trends, Forecast, 2019, 12(5): 229-242.</w:t>
      </w:r>
    </w:p>
  </w:footnote>
  <w:footnote w:id="95">
    <w:p w14:paraId="4FC7746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96">
    <w:p w14:paraId="31CA78C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可见的学习：未完成的故事</w:t>
      </w:r>
      <w:r>
        <w:rPr>
          <w:rFonts w:ascii="Times New Roman" w:eastAsia="宋体" w:hAnsi="Times New Roman" w:cs="Times New Roman"/>
          <w:sz w:val="18"/>
          <w:szCs w:val="18"/>
        </w:rPr>
        <w:t xml:space="preserve">[J]. </w:t>
      </w:r>
      <w:r>
        <w:rPr>
          <w:rFonts w:ascii="Times New Roman" w:hAnsi="Times New Roman" w:cs="Times New Roman"/>
          <w:sz w:val="18"/>
          <w:szCs w:val="18"/>
        </w:rPr>
        <w:t>基础教育</w:t>
      </w:r>
      <w:r>
        <w:rPr>
          <w:rFonts w:ascii="Times New Roman" w:eastAsia="宋体" w:hAnsi="Times New Roman" w:cs="Times New Roman"/>
          <w:sz w:val="18"/>
          <w:szCs w:val="18"/>
        </w:rPr>
        <w:t>, 2015, 12(5): 107-112.</w:t>
      </w:r>
    </w:p>
  </w:footnote>
  <w:footnote w:id="97">
    <w:p w14:paraId="3F8740F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98">
    <w:p w14:paraId="42D3BD5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教育知识的全球迁移与重构：以</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为例</w:t>
      </w:r>
      <w:r>
        <w:rPr>
          <w:rFonts w:ascii="Times New Roman" w:eastAsia="宋体" w:hAnsi="Times New Roman" w:cs="Times New Roman"/>
          <w:sz w:val="18"/>
          <w:szCs w:val="18"/>
        </w:rPr>
        <w:t xml:space="preserve">[J]. </w:t>
      </w:r>
      <w:r>
        <w:rPr>
          <w:rFonts w:ascii="Times New Roman" w:hAnsi="Times New Roman" w:cs="Times New Roman"/>
          <w:sz w:val="18"/>
          <w:szCs w:val="18"/>
        </w:rPr>
        <w:t>比较教育研究</w:t>
      </w:r>
      <w:r>
        <w:rPr>
          <w:rFonts w:ascii="Times New Roman" w:eastAsia="宋体" w:hAnsi="Times New Roman" w:cs="Times New Roman"/>
          <w:sz w:val="18"/>
          <w:szCs w:val="18"/>
        </w:rPr>
        <w:t>, 2026, 48(3): 92-101.</w:t>
      </w:r>
    </w:p>
  </w:footnote>
  <w:footnote w:id="99">
    <w:p w14:paraId="501461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可见的学习的全球迁移</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32-33.</w:t>
      </w:r>
    </w:p>
  </w:footnote>
  <w:footnote w:id="10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10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102">
    <w:p w14:paraId="73EDF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RICKINSON M, WALSH L, GLEESON J, et al. Using research well in educational practice[M]//RÉVAI N. Who cares about using education research in policy and practice? Strengthening research engagement. Paris: OECD Publishing, 2022: 182-199. DOI:10.1787/d7ff793d-en.</w:t>
      </w:r>
    </w:p>
  </w:footnote>
  <w:footnote w:id="103">
    <w:p w14:paraId="0BC6F9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KELLY P, BECK A, HOFBAUER S. Comparing school leaders' experiences of research use in England, Scotland and Germany[J]. Review of Education, 2025, 13(1): e70058. DOI:10.1002/rev3.70058.</w:t>
      </w:r>
    </w:p>
  </w:footnote>
  <w:footnote w:id="104">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105">
    <w:p w14:paraId="7AD7571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DOI:10.1016/j.edurev.2025.100737</w:t>
      </w:r>
      <w:r>
        <w:rPr>
          <w:rFonts w:ascii="Times New Roman" w:eastAsia="宋体" w:hAnsi="Times New Roman" w:cs="Times New Roman"/>
          <w:sz w:val="18"/>
          <w:szCs w:val="18"/>
        </w:rPr>
        <w:t>；</w:t>
      </w:r>
      <w:r>
        <w:rPr>
          <w:rFonts w:ascii="Times New Roman" w:eastAsia="宋体" w:hAnsi="Times New Roman" w:cs="Times New Roman"/>
          <w:sz w:val="18"/>
          <w:szCs w:val="18"/>
        </w:rPr>
        <w:t>LIU J, MBOWE A E, TAHRI D, et al. Meta-analysis on the influence of AI agents on K-12 student cognitive performance[J]. Computers in Human Behavior Reports, 2026, 21: 100973. DOI:10.1016/j.chbr.2026.100973.</w:t>
      </w:r>
    </w:p>
  </w:footnote>
  <w:footnote w:id="106">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7">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8">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9">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10">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11">
    <w:p w14:paraId="6190E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12">
    <w:p w14:paraId="0E821D0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113">
    <w:p w14:paraId="309F7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11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1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1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1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