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75AA1B" w14:textId="77777777" w:rsidR="006F5272" w:rsidRDefault="006F5272" w:rsidP="006F5272">
      <w:r>
        <w:t>2025年，Palantir首席执行官卡普与合著者扎米斯卡出版《技术共和国》。该书迅速登上《纽约时报》畅销书榜首，在美国科技界与政策圈引发广泛讨论。书中指责硅谷沉溺于广告算法与消费应用，要求科技界回到服务国家战略的传统，并以工程团队的边缘自治取代层层设卡的科层组织（Karp &amp; Zamiska, 2025）。2026年7月，白宫科学技术政策办公室发布《科学——新的黄金时代》，以布什1945年的《科学——无尽的前沿》为参照，判定"政府资助基础研究、市场负责开发"的线性分工已经失效，主张削减行政负担、试验多元资助机制与新型科研组织（Kratsios, 2026）。两份文本分别出自科技企业家与联邦政府，判断却高度一致：国家需要重新组织科学，而传统科层组织首当其冲。半导体是这一判断最早付诸行动的领域。2022年《芯片与科学法案》实施后，联邦政府重新大规模介入芯片研发。然而它面对的创新体系中，企业研发投入已超过联邦政府与高校之和的三倍（Kratsios, 2026），设计、制造、设备与材料分散于不同企业和地区。国家既无法、也无意取代市场。</w:t>
      </w:r>
    </w:p>
    <w:p w14:paraId="060BA94D" w14:textId="77777777" w:rsidR="006F5272" w:rsidRDefault="006F5272" w:rsidP="006F5272"/>
    <w:p w14:paraId="086A9A23" w14:textId="77777777" w:rsidR="006F5272" w:rsidRDefault="006F5272" w:rsidP="006F5272">
      <w:r>
        <w:t>研究型大学是国家重新组织科学时绕不开的对象，也是最难改动的对象。美国大学依靠院系、学科、首席研究员制度和同行评议维持知识生产的自主，聘任、评价与选题主要由学术共同体内部决定。这套制度长期支撑了美国的基础研究，如今却日益显得笨拙。1991年至2025年，联邦新增科研合规要求逾270项；研究者首次获得NIH资助的平均年龄升至42岁；终身教职评审偏重可计量的论文数量（Kratsios, 2026）。先进半导体研究的要求恰恰相反。一个技术问题往往牵涉材料、器件、工艺、架构与系统等多个专业，需要不同实验室乃至不同机构快速配合，研究成果还要尽早进入工程环境接受检验。国家需要更敏捷、更协同的科研组织，却无权直接改造自治的大学。那么，国家使命通过什么途径进入大学？它在大学内部引起了怎样的组织变化？这些变化又如何与学科自治共存？</w:t>
      </w:r>
    </w:p>
    <w:p w14:paraId="7CA7D5CD" w14:textId="77777777" w:rsidR="006F5272" w:rsidRDefault="006F5272" w:rsidP="006F5272"/>
    <w:p w14:paraId="346431E0" w14:textId="4DC2164D" w:rsidR="00966972" w:rsidRDefault="006F5272" w:rsidP="006F5272">
      <w:r>
        <w:t>美国半导体领域兼具战略属性、技术复杂性与高度专业化的分工，国家使命与大学组织之间的张力在这里最为集中，适合作为回答上述问题的案例。分析以历史制度主义的渐进制度变迁理论为起点，尤其借重Mahoney和Thelen（2010）界定的制度叠层，即新安排在不触动既有制度的前提下附着其上，并逐步改变其运行。下文先建立分析框架，再回溯二战以来美国半导体创新体系中国家与市场关系的几次调整，辨析每一轮调整为大学增添了何种组织安排，进而考察当前联邦政策塑造大学科研组织的途径，以及由此形成的组织形态与运行逻辑。</w:t>
      </w:r>
    </w:p>
    <w:p w14:paraId="56E1D1A0" w14:textId="77777777" w:rsidR="006F5272" w:rsidRDefault="006F5272" w:rsidP="006F5272"/>
    <w:p w14:paraId="762BA651" w14:textId="77777777" w:rsidR="006F5272" w:rsidRDefault="006F5272" w:rsidP="006F5272">
      <w:r>
        <w:t>一、组织设计型远程治理与第二组织层</w:t>
      </w:r>
    </w:p>
    <w:p w14:paraId="03986D96" w14:textId="77777777" w:rsidR="006F5272" w:rsidRDefault="006F5272" w:rsidP="006F5272"/>
    <w:p w14:paraId="09B0C639" w14:textId="77777777" w:rsidR="006F5272" w:rsidRDefault="006F5272" w:rsidP="006F5272">
      <w:r>
        <w:t>（一）从调控产出到设计关系</w:t>
      </w:r>
    </w:p>
    <w:p w14:paraId="5DB12B0F" w14:textId="77777777" w:rsidR="006F5272" w:rsidRDefault="006F5272" w:rsidP="006F5272"/>
    <w:p w14:paraId="70CDBAAF" w14:textId="77777777" w:rsidR="006F5272" w:rsidRDefault="006F5272" w:rsidP="006F5272">
      <w:r>
        <w:t>国家如何影响一个它无权直接指挥的学术组织，是高等教育治理研究的老问题。20世纪80年代，荷兰教育与科学部放弃对课程、经费细目和人员编制的事前审批，扩大高校的办学自主权，把政府干预限定在部门层级，并以事后质量评估作为调节手段。Kickert（1995）将这一转变概括为远距离调控（steering at a distance），并从政策网络理论加以解释。大学由遵循不同学科理性的专业人员组成，网络中没有统辖全局的顶层，自上而下的层级协调难以奏效，国家只能借助激励、对话与信息反馈施加影响（Kickert, 1995, pp. 149–150）。Rose和Miller（1992）从治理术视角提出的远处治理，进一步说明国家如何把政治目标转译为标准与计算技术，借此塑造自主行动者的选择。两条脉络确立了远程治理的基本含义：国家保留方向，放弃对具体运作的直接控制。</w:t>
      </w:r>
    </w:p>
    <w:p w14:paraId="1F7FBC6B" w14:textId="77777777" w:rsidR="006F5272" w:rsidRDefault="006F5272" w:rsidP="006F5272"/>
    <w:p w14:paraId="026C1D7B" w14:textId="77777777" w:rsidR="006F5272" w:rsidRDefault="006F5272" w:rsidP="006F5272">
      <w:r>
        <w:t>这一概念同样适用于美国研究型大学，而且适用程度更高。联邦政府从未拥有管理大学的行</w:t>
      </w:r>
      <w:r>
        <w:lastRenderedPageBreak/>
        <w:t>政权力，对大学科研的影响历来经由资助实现；院系设置、教师聘任与学术评价，都由大学自主决定。经典远程治理调控的是产出，国家关心毕业率、科研质量等结果，大学内部如何组织则属于自主范围。半导体领域的国家使命提出了另一类要求。一个关键技术问题往往需要材料、器件、工艺与系统研究者围绕同一目标反复配合。单个实验室的产出再出色，也无法自动补上实验室之间、学科之间、科研与工程之间的连接。产出评估面对这种连接缺口无能为力，国家需要影响的，是研究活动的组织关系本身。Block（2008）注意到，美国联邦机构长期承担网络撮合职能，在大学、国家实验室和企业之间牵线搭桥（pp. 173–174）。不过这种撮合主要发生在组织之间，很少触及大学内部科研活动的组织条件。</w:t>
      </w:r>
    </w:p>
    <w:p w14:paraId="08B3AB8A" w14:textId="77777777" w:rsidR="006F5272" w:rsidRDefault="006F5272" w:rsidP="006F5272"/>
    <w:p w14:paraId="6FC874EB" w14:textId="77777777" w:rsidR="006F5272" w:rsidRDefault="006F5272" w:rsidP="006F5272">
      <w:r>
        <w:t>据此，当前的变化可以概括为组织设计型远程治理。国家仍不直接改变大学的正式结构，而是通过设定资源准入条件、组织任务网络和提供共享设施，塑造研究单元的组合方式、分工关系与连接界面，并把这些组织安排当作可以试验、比较和修订的对象。它保留了远程治理的距离，调控对象则从产出转向组织关系，主要工具也从事后评估转向事前设计。</w:t>
      </w:r>
    </w:p>
    <w:p w14:paraId="783A5D82" w14:textId="77777777" w:rsidR="006F5272" w:rsidRDefault="006F5272" w:rsidP="006F5272"/>
    <w:p w14:paraId="722248C6" w14:textId="77777777" w:rsidR="006F5272" w:rsidRDefault="006F5272" w:rsidP="006F5272">
      <w:r>
        <w:t>（二）在院系之上叠加组织层</w:t>
      </w:r>
    </w:p>
    <w:p w14:paraId="284EBA35" w14:textId="77777777" w:rsidR="006F5272" w:rsidRDefault="006F5272" w:rsidP="006F5272"/>
    <w:p w14:paraId="6F4A5AD8" w14:textId="77777777" w:rsidR="006F5272" w:rsidRDefault="006F5272" w:rsidP="006F5272">
      <w:r>
        <w:t>国家的组织设计最终要在大学内部找到落点。Mahoney和Thelen（2009）以政治环境的否决可能性和规则的解释裁量空间为两个维度，区分出置换、叠层、漂移与转换四种渐进变迁方式。当现状维护者拥有较强的否决能力，规则又缺乏重新解释的余地时，改革者既无法废除旧制度，也难以改变它的用途，只能在旧制度之上或旁边附加新的安排（Mahoney &amp; Thelen, 2009, pp. 15–20）。新层次起初处于边缘，但如果增长快于旧核心，就会逐步改变旧规则对行为的规约方式（</w:t>
      </w:r>
      <w:proofErr w:type="spellStart"/>
      <w:r>
        <w:t>Streeck</w:t>
      </w:r>
      <w:proofErr w:type="spellEnd"/>
      <w:r>
        <w:t xml:space="preserve"> &amp; Thelen, 2005, pp. 22–24）。</w:t>
      </w:r>
    </w:p>
    <w:p w14:paraId="128BF746" w14:textId="77777777" w:rsidR="006F5272" w:rsidRDefault="006F5272" w:rsidP="006F5272"/>
    <w:p w14:paraId="1E99F400" w14:textId="77777777" w:rsidR="006F5272" w:rsidRDefault="006F5272" w:rsidP="006F5272">
      <w:r>
        <w:t>美国研究型大学具备叠层发生的条件。院系、终身教职、同行评议和共同治理构成学术自治的核心，教师群体对这一核心拥有很强的否决能力，外部力量重划院系、改写聘任制度的空间很小，新的组织安排更可能附着在既有结构之上。但跨学科研究中心在美国大学早已有之，单凭叠层不足以说明当前变化的特殊之处。Van der Heijden（2011）提醒，新增层次只有改变了原有规则的地位或功能，才构成叠层变迁；如果只是加固旧核心，就属于制度再生产（pp. 13–14）。因此，判断当前变化的性质，需要考察新增层次承担什么功能、怎样运行，以及与院系形成何种关系。</w:t>
      </w:r>
    </w:p>
    <w:p w14:paraId="133266FD" w14:textId="77777777" w:rsidR="006F5272" w:rsidRDefault="006F5272" w:rsidP="006F5272"/>
    <w:p w14:paraId="4DFA0455" w14:textId="0FA5BA3A" w:rsidR="006F5272" w:rsidRDefault="006F5272" w:rsidP="006F5272">
      <w:r>
        <w:t>叠层理论讨论的多是规则和政策工具，研究型大学中被叠加的则是一个组织层次，包括跨学科研究中心、跨校研究网络、共享研发设施，以及连接企业与政府机构的合作平台。这里将其概括为"使命导向型第二组织层"。第一组织层由院系和学科构成，承担教师聘任、学术评价、研究生培养与学科知识的再生产。第二组织层围绕国家任务组织研究活动，成员保留原有的院系身份，资源配置、专业协作与技术协调则依任务展开。两层在人员上交叠，运行规则各成体系。组织设计型远程治理回答国家怎样施加影响，第二组织层回答这种影响落在大学何处、以何种形态存在，两者共同构成后文的分析框架。</w:t>
      </w:r>
    </w:p>
    <w:p w14:paraId="06C31AF6" w14:textId="77777777" w:rsidR="006F5272" w:rsidRDefault="006F5272" w:rsidP="006F5272"/>
    <w:p w14:paraId="09EC9ECC" w14:textId="77777777" w:rsidR="006F5272" w:rsidRDefault="006F5272" w:rsidP="006F5272">
      <w:r>
        <w:t>二、从线性分工到组织叠层——美国半导体创新体系中研究型大学的角色变迁</w:t>
      </w:r>
    </w:p>
    <w:p w14:paraId="5594A703" w14:textId="77777777" w:rsidR="006F5272" w:rsidRDefault="006F5272" w:rsidP="006F5272"/>
    <w:p w14:paraId="42D8130E" w14:textId="77777777" w:rsidR="006F5272" w:rsidRDefault="006F5272" w:rsidP="006F5272">
      <w:r>
        <w:t>二战以来，美国国家力量介入半导体创新的方式经历了三次调整。国家先以资助者和采购者的身份直接动员，后来退居幕后，以产业联盟和配套资金间接协调；如今，它又在高度分散的产业体系中尝试重建连接。每一轮调整的成功，都改变了下一轮行动所面对的产业结构。</w:t>
      </w:r>
      <w:r>
        <w:lastRenderedPageBreak/>
        <w:t>研究型大学的位置随之移动，从线性链条的知识源头退到产业上游，如今又被纳入国家重建连接的组织网络。</w:t>
      </w:r>
    </w:p>
    <w:p w14:paraId="765FC850" w14:textId="77777777" w:rsidR="006F5272" w:rsidRDefault="006F5272" w:rsidP="006F5272"/>
    <w:p w14:paraId="5394A929" w14:textId="77777777" w:rsidR="006F5272" w:rsidRDefault="006F5272" w:rsidP="006F5272">
      <w:r>
        <w:t>（一）国家动员与线性分工确立大学的知识源头地位</w:t>
      </w:r>
    </w:p>
    <w:p w14:paraId="092A6CBB" w14:textId="77777777" w:rsidR="006F5272" w:rsidRDefault="006F5272" w:rsidP="006F5272"/>
    <w:p w14:paraId="3B99E573" w14:textId="77777777" w:rsidR="006F5272" w:rsidRDefault="006F5272" w:rsidP="006F5272">
      <w:r>
        <w:t xml:space="preserve">二战前，美国大学处在国家科技体系的边缘。1940年全美研发支出中，产业占67.8%，联邦政府占19.4%，大学仅占9.0%。战时科研动员和战后联邦资助迅速扭转了这一格局，1963年联邦政府在全美研发支出中的份额达到68%的峰值（Atkinson &amp; </w:t>
      </w:r>
      <w:proofErr w:type="spellStart"/>
      <w:r>
        <w:t>Blanpied</w:t>
      </w:r>
      <w:proofErr w:type="spellEnd"/>
      <w:r>
        <w:t>, 2008, pp. 34–37）。Bush（1945）把战时经验转化为和平时期的制度构想，主张由联邦政府资助基础研究，经费通过同行评议分配，开发交给市场。这一构想后来被概括为线性创新模型。在这一模型中，大学位于链条起点，承担知识生产与人才培养，联邦经费以项目为单位直接拨给课题组。</w:t>
      </w:r>
    </w:p>
    <w:p w14:paraId="1A044A5E" w14:textId="77777777" w:rsidR="006F5272" w:rsidRDefault="006F5272" w:rsidP="006F5272"/>
    <w:p w14:paraId="31A5A69B" w14:textId="77777777" w:rsidR="006F5272" w:rsidRDefault="006F5272" w:rsidP="006F5272">
      <w:r>
        <w:t>半导体产业的形成却并未依循这条链条。1958年，国防部的直接与间接资助约占全美半导体行业研发支出的25%。1962年，美国集成电路全部由军方购买，1968年这一比例降至37%，同期单片均价从约50美元跌至2美元。确定性采购让企业得以积累学习经济（Schnee, 1978, pp. 3–8）。德州仪器的硅晶体管和基尔比的集成电路，主要是在军方研发合同之外取得的突破。对新创企业更关键的，是军方的提前采购和第二货源制度；斯坦福大学和麻省理工学院则借国防合同建设跨学科设施，成为政府、军方与产业之间的知识中介（Fabrizio &amp; Mowery, 2005, pp. 29, 33–36）。1956年的反垄断同意令迫使AT&amp;T以零版税开放晶体管等基础专利，为新企业进入扫清了障碍（Mowery, 2011, pp. 161–163）。线性模型为大学划定了位置，但真正把科学、工程与制造连接起来的，是国防采购、开放专利和人员流动。大学与产业之间的联系，依附于国防项目。</w:t>
      </w:r>
    </w:p>
    <w:p w14:paraId="3AF55376" w14:textId="77777777" w:rsidR="006F5272" w:rsidRDefault="006F5272" w:rsidP="006F5272"/>
    <w:p w14:paraId="708FB6D2" w14:textId="77777777" w:rsidR="006F5272" w:rsidRDefault="006F5272" w:rsidP="006F5272">
      <w:r>
        <w:t>国防动员的成功随即催生了不再依赖国防的市场。20世纪60年代初，国防部取消独家合同，压低成熟元件价格。仙童半导体随之转向商用计算机和消费电子市场，并于1963年把装配环节设在香港，当地时薪约0.25美元，旧金山湾区则为2.80美元（Lécuyer, 1999, pp. 185–203）。商业化刚刚起步，制造环节向东亚转移的苗头就已出现。</w:t>
      </w:r>
    </w:p>
    <w:p w14:paraId="54659824" w14:textId="77777777" w:rsidR="006F5272" w:rsidRDefault="006F5272" w:rsidP="006F5272"/>
    <w:p w14:paraId="588A6EAD" w14:textId="77777777" w:rsidR="006F5272" w:rsidRDefault="006F5272" w:rsidP="006F5272">
      <w:r>
        <w:t>（二）垂直专业化分工与隐性国家推动大学退居上游</w:t>
      </w:r>
    </w:p>
    <w:p w14:paraId="51C4B545" w14:textId="77777777" w:rsidR="006F5272" w:rsidRDefault="006F5272" w:rsidP="006F5272"/>
    <w:p w14:paraId="026AEA6B" w14:textId="77777777" w:rsidR="006F5272" w:rsidRDefault="006F5272" w:rsidP="006F5272">
      <w:r>
        <w:t>20世纪80年代，日本的纵向一体化企业在存储芯片领域取得优势，美国国家力量重新介入，但介入方式已经改变。1980年至1988年间，国会先后通过《拜杜法案》《小企业创新发展法》《国家合作研究法》等法律。联邦机构借助定向投入、开辟申报渠道、撮合网络和建设共性平台来催化创新，国家科学基金会的工程研究中心和产学合作研究中心也在这一时期设立。Block（2008）把这种状态称为隐性发展型国家：国家行动规模庞大，却在市场原教旨主义话语中隐而不显（pp. 172–189）。</w:t>
      </w:r>
    </w:p>
    <w:p w14:paraId="5AAFAFE2" w14:textId="77777777" w:rsidR="006F5272" w:rsidRDefault="006F5272" w:rsidP="006F5272"/>
    <w:p w14:paraId="20FB66F8" w14:textId="77777777" w:rsidR="006F5272" w:rsidRDefault="006F5272" w:rsidP="006F5272">
      <w:r>
        <w:t>半导体制造技术战略联盟（SEMATECH）是这一模式的典型。联盟于1987年由国防高级研究计划局与14家企业对等出资组建，最初试图在成员企业之间联合开发制造工艺，但因商业保密和产线差异受阻。随后，联盟转向芯片制造商与设备供应商之间的纵向协同，建设共享测试线，编制技术路线图；研发议程由产业主导，政府只承担配套出资。联盟提升了设备可靠性，重建了买卖双方的信任，却未能挽救技术和资本严重落后的光刻机企业GCA。美国市场份额的回升，主要来自日元升值、日本资本支出锐减和个人电脑微处理器需求，联盟只是因素之一（Grindley et al., 1994, pp. 729–750）。缺少制造规模支撑的协调，作用有其边界。</w:t>
      </w:r>
    </w:p>
    <w:p w14:paraId="67A9F7DB" w14:textId="77777777" w:rsidR="006F5272" w:rsidRDefault="006F5272" w:rsidP="006F5272"/>
    <w:p w14:paraId="7E967C7F" w14:textId="77777777" w:rsidR="006F5272" w:rsidRDefault="006F5272" w:rsidP="006F5272">
      <w:r>
        <w:t>纵向协同之所以可行，是因为产业本身正在按价值链环节拆分。无晶圆厂设计企业把制造外包给代工厂，大学开发的设计工具和设计课程降低了芯片设计门槛，新企业大批涌现。美国全球半导体销售份额从1989年的约37%回升至1997年的50%以上。与此同时，大型企业把中央实验室预算转向近期开发，国防资助占半导体研发的比重从1980年的约25%降至1992年的不足7%（Macher et al., 1998, pp. 111–123）。垂直专业化分工帮助美国在设计密集型产品上击败日本，也把技术能力分散到了不同企业。设计企业无力改造代工厂的工艺，代工厂不愿为未经验证的设计改造产线，各方的理性选择汇聚成全行业的保守，跨环节的共性平台无人投资。Fuchs（2010）发现，在这种结构中，国防高级研究计划局的项目经理充当跨界连接者，把大学、初创企业与系统厂商组织进同一项目（pp. 1134–1146）。</w:t>
      </w:r>
    </w:p>
    <w:p w14:paraId="6E332293" w14:textId="77777777" w:rsidR="006F5272" w:rsidRDefault="006F5272" w:rsidP="006F5272"/>
    <w:p w14:paraId="3AC246C8" w14:textId="77777777" w:rsidR="006F5272" w:rsidRDefault="006F5272" w:rsidP="006F5272">
      <w:r>
        <w:t>这一时期大学获得的新组织安排，主要服务于知识与人才供给。1982年成立的半导体研究公司（SRC）以会员企业会费资助大学开展前竞争研究；1998年启动的聚焦中心研究计划由SRC与国防部门对半出资，以跨校虚拟中心组织中长期研究。企业从中获得的首要回报是博士毕业生，SRC每年资助约1500名博士生。SRC名义上由产业主导，但联邦及其他外部资金在其预算中的比重，从1997年的约8%升至2010年的70%以上（Logar et al., 2014, pp. 238–252）。这些中心叠加在院系之外，研究议程向产业路线图对齐，补充的是大学通向产业的知识与人才通道。大学内部的科研组织则朝另一个方向固化。教师薪资和间接成本越来越依赖联邦课题，大学像出租场地的商场，课题组像自负盈亏的商铺（Stephan, 2013, pp. 30–31）。以课题组为单位的组织方式，与跨环节协同之间隔着相当距离。产业界的注意力也在转移。硅谷的资本与工程人才大量流向消费互联网，硅谷早期对军方的依赖则从其自我叙事中淡出（Karp &amp; Zamiska, 2025, pp. 3–4, 103–108）。</w:t>
      </w:r>
    </w:p>
    <w:p w14:paraId="4A22375B" w14:textId="77777777" w:rsidR="006F5272" w:rsidRDefault="006F5272" w:rsidP="006F5272"/>
    <w:p w14:paraId="1DB26997" w14:textId="77777777" w:rsidR="006F5272" w:rsidRDefault="006F5272" w:rsidP="006F5272">
      <w:r>
        <w:t>（三）科技竞争下大学成为重建连接的依托</w:t>
      </w:r>
    </w:p>
    <w:p w14:paraId="60897CED" w14:textId="77777777" w:rsidR="006F5272" w:rsidRDefault="006F5272" w:rsidP="006F5272"/>
    <w:p w14:paraId="158A7D59" w14:textId="51288269" w:rsidR="006F5272" w:rsidRDefault="006F5272" w:rsidP="006F5272">
      <w:r>
        <w:t>2018年以来，美国把华为、中芯国际等企业列入实体清单，2022年10月又对先进逻辑芯片、存储芯片及制造设备实施出口管制。这些措施面对的，是一个深度离散的产业网络。美国在全球晶圆制造产能中的份额从1990年的37%降至2020年的12%，10纳米以下先进制程九成以上集中在台湾和韩国，荷兰阿斯麦独家供应极紫外光刻机，在美国建厂的成本比台湾、韩国高约30%。</w:t>
      </w:r>
      <w:r w:rsidRPr="006F5272">
        <w:t>在这样的网络中，任何一个国家都无法在本土独立建立从设计工具、制造设备到晶圆代工的完整产业链。美国的应对因此分为两路。一路是联合荷兰、日本对华实施设备管制，另一路是以补贴吸引台积电、三星等外国企业赴美建厂（Bown &amp; Wang, 2024, pp. 86–102）</w:t>
      </w:r>
      <w:r>
        <w:t>。2022年实施的《芯片与科学法案》提供约527亿美元直接资金，其中390亿美元用于制造激励，约130亿美元用于研发与人才培养，并为受资助企业设定了学徒计划、股票回购限制以及十年内不得在关切国家扩产等条件。即便如此，制造补贴仍不足以撼动台湾在先进制程上的优势（Reynolds, 2024, pp. 6–15）。政策目标由此扩展到重新掌握制造能力与完整产业链，而实现这一目标的条件，正是上一阶段的分工所削弱的。</w:t>
      </w:r>
    </w:p>
    <w:p w14:paraId="7CF76C5C" w14:textId="77777777" w:rsidR="006F5272" w:rsidRDefault="006F5272" w:rsidP="006F5272"/>
    <w:p w14:paraId="3B050BFE" w14:textId="77777777" w:rsidR="006F5272" w:rsidRDefault="006F5272" w:rsidP="006F5272">
      <w:r>
        <w:t>国家介入的制度基础与冷战时期已不可同日而语。白宫科学技术政策办公室把平板显示与锂电池的教训归结为：美国在基础原理上领先，却因缺少本土制造承接，公共研究的收益外溢给了竞争者（Kratsios, 2026, pp. 34–35）。大学的研究优势只有接上制造环节，才能转化为国家能力。樊春良（2026）认为，美国科学政策正从以知识为中心的社会契约，转向以技术能力和使命交付为导向的契约，前沿能力越来越多地经由企业、国家实验室和产业立法获取（第1062–1063页）。在这一转向中，大学的价值在于它同时嵌入学术共同体、产业网络和政府</w:t>
      </w:r>
      <w:r>
        <w:lastRenderedPageBreak/>
        <w:t>科研体系，能够汇聚材料、器件、工艺与系统等多学科知识，并持续输送工程人才。</w:t>
      </w:r>
    </w:p>
    <w:p w14:paraId="4BA9F1CE" w14:textId="77777777" w:rsidR="006F5272" w:rsidRDefault="006F5272" w:rsidP="006F5272"/>
    <w:p w14:paraId="14D0A296" w14:textId="51AE4034" w:rsidR="006F5272" w:rsidRDefault="006F5272" w:rsidP="006F5272">
      <w:r>
        <w:t>国家既没有重组大学院系，也没有设立冷战式的集中科研机构，而是在第二阶段形成的联盟与中心之上继续叠加。国家半导体技术中心的规划，把大学研究安排进一条从早期探索、原型验证到共性中试的接力链，并配套建设覆盖社区学院到研究生的人才网络（NIST, 2023, pp. 8–19）。新增的组织层沿用了跨校中心、产业会员和配套资助等既有形式，功能却发生了变化。第二阶段的中心向产业输送知识与人才，新的组织层则要把分散在大学、企业与公共平台中的能力，连接成可以协同推进的创新链。</w:t>
      </w:r>
    </w:p>
    <w:p w14:paraId="0C18C8B1" w14:textId="77777777" w:rsidR="006F5272" w:rsidRDefault="006F5272" w:rsidP="006F5272"/>
    <w:p w14:paraId="1CCC00E9" w14:textId="77777777" w:rsidR="006F5272" w:rsidRDefault="006F5272" w:rsidP="006F5272">
      <w:r>
        <w:t>三、组织设计型远程治理——国家使命进入大学的三条通道</w:t>
      </w:r>
    </w:p>
    <w:p w14:paraId="594BA89C" w14:textId="77777777" w:rsidR="006F5272" w:rsidRDefault="006F5272" w:rsidP="006F5272"/>
    <w:p w14:paraId="46904AD4" w14:textId="77777777" w:rsidR="006F5272" w:rsidRDefault="006F5272" w:rsidP="006F5272">
      <w:r>
        <w:t>《芯片与科学法案》实施以来，联邦半导体政策很少触及大学的正式结构。院系设置、教师聘任与学术评价仍由大学决定，国家规则的落点在于研究单元怎样组合、怎样分工、怎样与工程环境衔接。这种治理方式有清晰的设计逻辑。Mazzucato（2018）主张国家确定转型方向，动员愿意参与的公私主体，并通过容许失败的项目组合和多元的自下而上方案实现使命（pp. 805–812）。Kattel和Mazzucato（2018）指出，政策问题越复杂，决策越条块分割，国家需要从"支持并测量"转向"引领并学习"（pp. 790, 796–798）。白宫科学技术政策办公室进一步把资助规则视为塑造研究行为的激励结构，主张在各资助机构设立元科学单元，以随机分配、双盲评审、金券等试验检验和修订规则（Kratsios, 2026, pp. 30–32）。三者共同指向一种国家能力，即设计并持续修订科研组织规则。这一思路贯穿拜登政府的产业立法与特朗普政府的科学政策，在半导体领域落实为团队、网络与创新链接口三个层面的组织设计。</w:t>
      </w:r>
    </w:p>
    <w:p w14:paraId="28937EE9" w14:textId="77777777" w:rsidR="006F5272" w:rsidRDefault="006F5272" w:rsidP="006F5272"/>
    <w:p w14:paraId="3D786698" w14:textId="77777777" w:rsidR="006F5272" w:rsidRDefault="006F5272" w:rsidP="006F5272">
      <w:r>
        <w:t>（一）组合——资助规则把团队结构前置为准入条件</w:t>
      </w:r>
    </w:p>
    <w:p w14:paraId="4F04A6AA" w14:textId="77777777" w:rsidR="006F5272" w:rsidRDefault="006F5272" w:rsidP="006F5272"/>
    <w:p w14:paraId="007AB29C" w14:textId="77777777" w:rsidR="006F5272" w:rsidRDefault="006F5272" w:rsidP="006F5272">
      <w:r>
        <w:t>传统竞争性资助以研究问题和研究者能力为遴选依据，团队如何组成、实验室如何合作，主要由首席研究员决定。国家科学基金会2024年发布的"半导体的未来"第二期指南（FuSe2）改变了这一分工。指南要求每项申请同时在材料、器件、系统三个技术层级中的至少两个层级开展协同设计，并提交"项目管理与合作计划"，说明团队为何适合研究目标、怎样在协同设计中保证有效合作；跨机构项目必须以单一申请加分包的形式提交。评审专门询问项目是否针对一个必须以协同设计解决的基础问题。每项申请还须附有带评估方案的教育与劳动力发展计划，并被鼓励与两年制学院和少数族裔服务院校合作。爱立信、英特尔、美光和三星为计划共同出资，但不得参与申请；受资助者须向出资企业授予免版税许可。第一期的负责人不得在第二期担任负责人（National Science Foundation, 2024）。</w:t>
      </w:r>
    </w:p>
    <w:p w14:paraId="7E22BEE5" w14:textId="77777777" w:rsidR="006F5272" w:rsidRDefault="006F5272" w:rsidP="006F5272"/>
    <w:p w14:paraId="16024830" w14:textId="77777777" w:rsidR="006F5272" w:rsidRDefault="006F5272" w:rsidP="006F5272">
      <w:r>
        <w:t>这些规则把团队结构从立项后的内部事务，变成了立项前的准入条件。国家规定了什么样的团队值得资助，即跨越技术层级、合作方式可以说明、附带人才培养安排；至于研究哪种材料、与谁组队、采用什么方法，仍由研究者决定。企业资源被引入，却被隔离在学术遴选之外；负责人轮换的规定把参与机会扩散到更多团队。国家没有指派任何一个研究者，却通过准入条件塑造了实验室之间的组合方式。</w:t>
      </w:r>
    </w:p>
    <w:p w14:paraId="70981527" w14:textId="77777777" w:rsidR="006F5272" w:rsidRDefault="006F5272" w:rsidP="006F5272"/>
    <w:p w14:paraId="15707075" w14:textId="77777777" w:rsidR="006F5272" w:rsidRDefault="006F5272" w:rsidP="006F5272">
      <w:r>
        <w:t>（二）连接——任务计划把校际合作升级为分工网络</w:t>
      </w:r>
    </w:p>
    <w:p w14:paraId="1596F294" w14:textId="77777777" w:rsidR="006F5272" w:rsidRDefault="006F5272" w:rsidP="006F5272"/>
    <w:p w14:paraId="5AE4C279" w14:textId="77777777" w:rsidR="006F5272" w:rsidRDefault="006F5272" w:rsidP="006F5272">
      <w:r>
        <w:t>跨校研究中心在美国半导体领域已延续二十余年，从1998年的聚焦中心研究计划，到</w:t>
      </w:r>
      <w:proofErr w:type="spellStart"/>
      <w:r>
        <w:t>STARnet</w:t>
      </w:r>
      <w:proofErr w:type="spellEnd"/>
      <w:r>
        <w:t>和第一代联合大学微电子计划（JUMP），组织形式一脉相承。2023年1月由国防</w:t>
      </w:r>
      <w:r>
        <w:lastRenderedPageBreak/>
        <w:t>高级研究计划局与半导体研究公司启动的JUMP 2.0，在这一基础上改变了网络的内部结构。计划设立七个主题中心，各由一所大学牵头。宾夕法尼亚州立大学的CHIMES聚焦异构集成，康奈尔大学的SUPREME研究材料与器件，哥伦比亚大学的</w:t>
      </w:r>
      <w:proofErr w:type="spellStart"/>
      <w:r>
        <w:t>CUbiC</w:t>
      </w:r>
      <w:proofErr w:type="spellEnd"/>
      <w:r>
        <w:t>研究通信与光电互连，加州大学圣迭戈分校的PRISM研究以存储为中心的计算，伊利诺伊大学厄巴纳-香槟分校的ACE研究可演化计算架构，佐治亚理工学院的</w:t>
      </w:r>
      <w:proofErr w:type="spellStart"/>
      <w:r>
        <w:t>CogniSense</w:t>
      </w:r>
      <w:proofErr w:type="spellEnd"/>
      <w:r>
        <w:t>研究认知感知，弗吉尼亚大学牵头的CRISP研究硬件安全。单个中心可联结十余所大学，成果以非独占、免版税的方式许可给会员企业，学术论文公开发表（Ramming, 2025, pp. 234–236）。</w:t>
      </w:r>
    </w:p>
    <w:p w14:paraId="15058A54" w14:textId="77777777" w:rsidR="006F5272" w:rsidRDefault="006F5272" w:rsidP="006F5272"/>
    <w:p w14:paraId="10988159" w14:textId="77777777" w:rsidR="006F5272" w:rsidRDefault="006F5272" w:rsidP="006F5272">
      <w:r>
        <w:t>七个中心沿技术栈分工，从底层材料覆盖到系统与安全，一个中心的产出往往构成另一个中心的输入。计划组织的基本单位因此超出了单个课题和单所大学，成为相互依赖的中心网络。牵头大学承担中心管理与跨校协调，协作高校承担专门任务，每个实验室在网络中获得明确位置。国防部门与产业界确定总体方向，却不进入实验室决定具体研究。第二阶段的聚焦中心主要向产业输送知识与人才，JUMP 2.0则把校际合作组织成按技术层级分工的网络，政策作用的对象从单个项目转向研究单元之间的关系。</w:t>
      </w:r>
    </w:p>
    <w:p w14:paraId="45A6FC16" w14:textId="77777777" w:rsidR="006F5272" w:rsidRDefault="006F5272" w:rsidP="006F5272"/>
    <w:p w14:paraId="3221C025" w14:textId="77777777" w:rsidR="006F5272" w:rsidRDefault="006F5272" w:rsidP="006F5272">
      <w:r>
        <w:t>（三）接口——公共平台把工程验证嵌回科研过程</w:t>
      </w:r>
    </w:p>
    <w:p w14:paraId="53D51159" w14:textId="77777777" w:rsidR="006F5272" w:rsidRDefault="006F5272" w:rsidP="006F5272"/>
    <w:p w14:paraId="30076F3B" w14:textId="77777777" w:rsidR="006F5272" w:rsidRDefault="006F5272" w:rsidP="006F5272">
      <w:r>
        <w:t>团队与网络组织的是知识和人员，先进半导体研发还依赖单所大学建不起、商业晶圆厂又不愿开放的工程设施。《芯片与科学法案》为国家半导体技术中心、国家先进封装制造计划、微电子共用体和计量项目安排了约110亿美元研发资金。规划按技术成熟度把这些计划排成一条接力链。国家科学基金会与能源部支持早期材料和器件探索，微电子共用体承接原型验证，国家半导体技术中心与先进封装计划负责共性中试和工艺放大，商业晶圆厂完成量产。国家半导体技术中心规划了300毫米基线工艺线、共享极紫外光刻机时、多项目晶圆流片和"晶圆厂到实验室"的切片验证服务，并通过设计与执行网关提供电子设计自动化工具、工艺设计套件和经过硅验证的知识产权库。中心交由独立非营利机构运营，实行分级会员制，并定期接受独立第三方评估（NIST, 2023, pp. 8–23）。2023年9月，国防部向微电子共用体的八个区域枢纽拨付首批2.38亿美元，这些枢纽多由研究型大学或非营利研究机构牵头，负责运营洁净室和测试设施（U.S. Department of Defense, 2023）。</w:t>
      </w:r>
    </w:p>
    <w:p w14:paraId="2842F37E" w14:textId="77777777" w:rsidR="006F5272" w:rsidRDefault="006F5272" w:rsidP="006F5272"/>
    <w:p w14:paraId="2B83E012" w14:textId="77777777" w:rsidR="006F5272" w:rsidRDefault="006F5272" w:rsidP="006F5272">
      <w:r>
        <w:t>奥尔巴尼纳米技术综合体显示了这类接口如何改变大学科研的边界。综合体拥有由大学系统主导的300毫米研发与中试线，大学研究者与企业工程师在同一洁净室工作，大学发现的新材料和器件结构可以直接进入标准工艺流程接受验证。依托这一设施的纽约州"SMART I-Corridor"技术枢纽，把康奈尔大学、罗切斯特理工学院、纽约州立大学系统与格芯、美光等企业连接起来，共享中试设施，并组织从学位教育到技术员培训的人才链（Zhuo, 2026, pp. 22–24）。2024年，奥尔巴尼被选为国家半导体技术中心极紫外光刻加速器的所在地（U.S. Department of Commerce, 2024）。</w:t>
      </w:r>
    </w:p>
    <w:p w14:paraId="7D37EE53" w14:textId="77777777" w:rsidR="006F5272" w:rsidRDefault="006F5272" w:rsidP="006F5272"/>
    <w:p w14:paraId="65BED38C" w14:textId="77777777" w:rsidR="006F5272" w:rsidRDefault="006F5272" w:rsidP="006F5272">
      <w:r>
        <w:t>公共平台承担的是连接创新链各阶段的功能。工艺设计套件、多项目晶圆和流片接口，是设计与制造之间的标准化界面；独立运营与分级会员制，使国家无需直接经营设施，就能保持平台的中立与开放。实验室成果由此更早接受制造条件的检验，一个环节暴露的问题也能更快反馈到上游研究。</w:t>
      </w:r>
    </w:p>
    <w:p w14:paraId="64C68330" w14:textId="77777777" w:rsidR="006F5272" w:rsidRDefault="006F5272" w:rsidP="006F5272"/>
    <w:p w14:paraId="4DE66200" w14:textId="2EA3C6C5" w:rsidR="006F5272" w:rsidRDefault="006F5272" w:rsidP="006F5272">
      <w:r>
        <w:t>三条通道分别作用于团队内部、跨校网络与创新链接口。它们没有改变任何一所大学的院系结构，却改变了研究团队的组成方式、研究单元之间的分工关系，以及大学研究能够触及的</w:t>
      </w:r>
      <w:r>
        <w:lastRenderedPageBreak/>
        <w:t>工程环境。国家的影响通过准入规则、任务结构和平台界面传递，研究内容仍由研究者决定。由此，在大学既有组织之上，形成了一个跨越院系、学校与产业边界的任务空间。</w:t>
      </w:r>
    </w:p>
    <w:p w14:paraId="0109D261" w14:textId="77777777" w:rsidR="006F5272" w:rsidRDefault="006F5272" w:rsidP="006F5272"/>
    <w:p w14:paraId="3FBBECC6" w14:textId="77777777" w:rsidR="006F5272" w:rsidRDefault="006F5272" w:rsidP="006F5272">
      <w:r>
        <w:t>四、叠层而成的使命导向型第二组织层</w:t>
      </w:r>
    </w:p>
    <w:p w14:paraId="2777454B" w14:textId="77777777" w:rsidR="006F5272" w:rsidRDefault="006F5272" w:rsidP="006F5272"/>
    <w:p w14:paraId="25AA0E29" w14:textId="77777777" w:rsidR="006F5272" w:rsidRDefault="006F5272" w:rsidP="006F5272">
      <w:r>
        <w:t>美国研究型大学的院系、终身教职、同行评议与共同治理构成学术自治的制度核心，教师群体对这一核心拥有很强的否决能力，聘任与晋升规则又相对明确，留给重新解释的余地有限。Mahoney和Thelen（2009）指出，在否决可能性强、解释裁量空间小的条件下，改革者既无法废除旧规则，也难以改变它的用途，可行的路径是在旧制度之上或旁边附加新的安排；新安排起初处于边缘，随时间推移逐步改变旧规则对行为的规约方式（pp. 15–20）。国家使命进入大学，走的正是这条路径。资助规则、任务网络与公共平台没有改动院系，却在院系之上催生出一个围绕国家任务运行的组织层次。这一层次以院系和课题组为知识与人员基础，按照与传统科层不同的逻辑组织边界、协调和调整。</w:t>
      </w:r>
    </w:p>
    <w:p w14:paraId="07EE126A" w14:textId="77777777" w:rsidR="006F5272" w:rsidRDefault="006F5272" w:rsidP="006F5272"/>
    <w:p w14:paraId="534525FA" w14:textId="77777777" w:rsidR="006F5272" w:rsidRDefault="006F5272" w:rsidP="006F5272">
      <w:r>
        <w:t>（一）身份留在院系，任务进入网络</w:t>
      </w:r>
    </w:p>
    <w:p w14:paraId="1ECECDE0" w14:textId="77777777" w:rsidR="006F5272" w:rsidRDefault="006F5272" w:rsidP="006F5272"/>
    <w:p w14:paraId="7EBCCCFC" w14:textId="77777777" w:rsidR="006F5272" w:rsidRDefault="006F5272" w:rsidP="006F5272">
      <w:r>
        <w:t>传统大学科层的边界清晰。学科构成院系，教师归属院系，实验室围绕首席研究员形成，人员、经费与评价都依附这些基本单元。第二组织层改变了边界的划定方式。一名材料科学系或电子工程系的教师，可以同时进入JUMP 2.0的某个跨校中心、微电子共用体的某个区域枢纽，或某个以先进封装为主题的产学联合体。他的聘任、晋升与教学仍由原院系负责，研究任务、合作对象与设施使用则由网络决定。研究问题改变时，参与者的组合也随之改变。组织边界由此具有开放性，能够沿着问题所需的知识和设施向外延伸。</w:t>
      </w:r>
    </w:p>
    <w:p w14:paraId="2C10CBBF" w14:textId="77777777" w:rsidR="006F5272" w:rsidRDefault="006F5272" w:rsidP="006F5272"/>
    <w:p w14:paraId="1B651CF4" w14:textId="77777777" w:rsidR="006F5272" w:rsidRDefault="006F5272" w:rsidP="006F5272">
      <w:r>
        <w:t>这种延伸越出了大学本身。先进设备、工艺经验与制造知识大量分布于企业、国家实验室和公共研发设施，第二组织层把这些能力纳入大学科研可以调用的范围。制造业创新网络中的研究所多由研究型大学牵头或与其共建，纽约州立大学系统依托奥尔巴尼纳米技术综合体牵头集成光子制造研究所，北卡罗来纳州立大学牵头宽禁带功率半导体研究所。不同主体无需进入同一个行政体系，也能通过共同任务形成持续合作。大学的科研能力因此越来越取决于它能够连接和协调哪些外部能力。</w:t>
      </w:r>
    </w:p>
    <w:p w14:paraId="111489D2" w14:textId="77777777" w:rsidR="006F5272" w:rsidRDefault="006F5272" w:rsidP="006F5272"/>
    <w:p w14:paraId="5BF7F436" w14:textId="77777777" w:rsidR="006F5272" w:rsidRDefault="006F5272" w:rsidP="006F5272">
      <w:r>
        <w:t>第二组织层的运行也在向第一层回渗。跨校中心和共享平台依靠研究型教职与专职工程人员维持运转，这类岗位由项目经费支持，在终身教职序列之外扩展了大学的学术人员结构。白宫科学技术政策办公室进一步主张设立驻校实践者与国家工匠学者计划，让熟练技师和工艺专家以正式教职身份进入研究型大学，享有联合指导研究生和在专利、论文中署名的权利（Kratsios, 2026, p. 52）。国家科学技术委员会的微电子研究战略则建议教师到企业进行学术休假、企业工程师到校任教（NSTC, 2024, pp. 44–45）。这些主张触及第一层最核心的人事与评价规则。叠层变迁的关键正在于此。新层次的增长快于旧核心时，会逐步改写旧规则的实际作用（</w:t>
      </w:r>
      <w:proofErr w:type="spellStart"/>
      <w:r>
        <w:t>Streeck</w:t>
      </w:r>
      <w:proofErr w:type="spellEnd"/>
      <w:r>
        <w:t xml:space="preserve"> &amp; Thelen, 2005, pp. 22–24）；新增部分如果只是加固旧核心，则应视为制度再生产（Van der Heijden, 2011, pp. 13–14）。第二组织层既在院系之外配置资源，也开始推动院系调整对学术贡献的认定，因而属于前一种情形。</w:t>
      </w:r>
    </w:p>
    <w:p w14:paraId="52609AED" w14:textId="77777777" w:rsidR="006F5272" w:rsidRDefault="006F5272" w:rsidP="006F5272"/>
    <w:p w14:paraId="5F2451BC" w14:textId="77777777" w:rsidR="006F5272" w:rsidRDefault="006F5272" w:rsidP="006F5272">
      <w:r>
        <w:t>（二）使命定向，判断留在一线</w:t>
      </w:r>
    </w:p>
    <w:p w14:paraId="0F6078C2" w14:textId="77777777" w:rsidR="006F5272" w:rsidRDefault="006F5272" w:rsidP="006F5272"/>
    <w:p w14:paraId="03056DB1" w14:textId="77777777" w:rsidR="006F5272" w:rsidRDefault="006F5272" w:rsidP="006F5272">
      <w:r>
        <w:t>开放边界回答了分散的专业力量如何进入同一组织，更难的问题在于这些力量怎样形成整体</w:t>
      </w:r>
      <w:r>
        <w:lastRenderedPageBreak/>
        <w:t>行动。传统科层依靠职位、权限与行政层级维持协调。复杂科研难以照搬这一方式。关键判断往往只有身处实验和工程一线的研究者才能作出，技术路线也需要随着实验结果不断修正；层级增加会拉长信息链条，过度分散又会让研究退回彼此孤立的项目。</w:t>
      </w:r>
    </w:p>
    <w:p w14:paraId="024DD028" w14:textId="77777777" w:rsidR="006F5272" w:rsidRDefault="006F5272" w:rsidP="006F5272"/>
    <w:p w14:paraId="7E37527D" w14:textId="77777777" w:rsidR="006F5272" w:rsidRDefault="006F5272" w:rsidP="006F5272">
      <w:r>
        <w:t>Karp和Zamiska描述的组织理想正对应这一难题。1951年慕尼黑的埃克蜂群在没有中央指挥的情况下，由侦察蜂外出勘察候选巢址，返巢后以舞蹈公开报告，暴雨使热门巢址进水后，支持者随即撤回，全群最终收敛于最优选项；罗马椋鸟群的转向由视野最好的边缘个体发起，信号在不到一秒内传遍全群。两人据此主张把感知与决断权下放到组织边缘。他们援引德鲁克的交响乐团模型，乐手依据共同乐谱演奏，指挥直接面对乐手，中间不设层层副总裁；他们也承认组织中存在层级，只是这种影子层级可以快速拆解和重组，地位服务于具体任务。支撑这一切的是一种以实际运行结果为检验标准、通过根因复盘持续修正的工程思维（Karp &amp; Zamiska, 2025, pp. 115–129, 159–167）。</w:t>
      </w:r>
    </w:p>
    <w:p w14:paraId="2B6492F2" w14:textId="77777777" w:rsidR="006F5272" w:rsidRDefault="006F5272" w:rsidP="006F5272"/>
    <w:p w14:paraId="4C6624C1" w14:textId="77777777" w:rsidR="006F5272" w:rsidRDefault="006F5272" w:rsidP="006F5272">
      <w:r>
        <w:t>这些模型有一个共同前提。蜂群能够收敛，依赖的是寻找新巢这一共同目标和公开透明的信号；乐团能够协调，依赖的是共同乐谱。群智能、边缘自治与集群行为回答的，其实是使命如何牵引分散单元的问题。在第二组织层中，国家使命和技术路线图承担着乐谱的功能。微电子研究战略要求材料、器件、封装、电路、软件与应用之间实现双向信息流动，让终端系统需求引导材料研究，让新的物理发现迅速进入上层架构，并主张定期发布产业共享的技术指标与重大挑战（NSTC, 2024, pp. 10–13, 44）。目标与接口由此被公开界定，各研究团队依据自身专长决定研究方法，再通过跨团队反馈相互校准。</w:t>
      </w:r>
    </w:p>
    <w:p w14:paraId="059CEDF6" w14:textId="77777777" w:rsidR="006F5272" w:rsidRDefault="006F5272" w:rsidP="006F5272"/>
    <w:p w14:paraId="7061B4C8" w14:textId="77777777" w:rsidR="006F5272" w:rsidRDefault="006F5272" w:rsidP="006F5272">
      <w:r>
        <w:t>协调关系也随之流动。材料问题突出时，材料团队成为关键节点；进入工艺验证阶段后，制造与设备团队的分量上升。影响力更多取决于解决当前问题所需的知识，而非行政职级。中心负责人协调不同方向之间的依赖关系，具体团队保留方法上的自主。这种结构需要克制行政层级的扩张。国家确定方向，任务组织维系研究单元之间的协调，专业判断留在拥有知识优势的团队。使命提供方向，专业自治提供探索能力，横向反馈维持整体协同，三者构成第二组织层区别于传统大学科层的协调逻辑。</w:t>
      </w:r>
    </w:p>
    <w:p w14:paraId="6F614242" w14:textId="77777777" w:rsidR="006F5272" w:rsidRDefault="006F5272" w:rsidP="006F5272"/>
    <w:p w14:paraId="0137C382" w14:textId="77777777" w:rsidR="006F5272" w:rsidRDefault="006F5272" w:rsidP="006F5272">
      <w:r>
        <w:t>（三）以工程反馈调整组织</w:t>
      </w:r>
    </w:p>
    <w:p w14:paraId="53540A7F" w14:textId="77777777" w:rsidR="006F5272" w:rsidRDefault="006F5272" w:rsidP="006F5272"/>
    <w:p w14:paraId="5A2393C9" w14:textId="77777777" w:rsidR="006F5272" w:rsidRDefault="006F5272" w:rsidP="006F5272">
      <w:r>
        <w:t>院系和学科是相对稳定的组织，人员岗位、专业边界与治理程序具有很强的连续性。战略技术研究面对的问题却在不断移动。一个半导体项目可能先表现为材料问题，随后转化为器件设计问题，进入原型制造阶段后又暴露出工艺兼容和封装问题。若组织完全按预先确定的专业分工运行，新的技术瓶颈很难迅速改变资源与人员配置。</w:t>
      </w:r>
    </w:p>
    <w:p w14:paraId="21E96FAC" w14:textId="77777777" w:rsidR="006F5272" w:rsidRDefault="006F5272" w:rsidP="006F5272"/>
    <w:p w14:paraId="136DD14F" w14:textId="77777777" w:rsidR="006F5272" w:rsidRDefault="006F5272" w:rsidP="006F5272">
      <w:r>
        <w:t>第二组织层把工程验证嵌进科研过程，使反馈成为组织调整的依据。微电子研究战略主张建设与商业晶圆厂工艺参数相匹配的国家中试线，并以极紫外光刻从概念到量产历时四十余年为例，说明跨越中试鸿沟需要长期稳定的公共投入（NSTC, 2024, pp. 25–28, 38）。国家先进封装制造计划获得30亿美元授权，推动与工艺设计套件对齐的封装设计套件和芯粒互连标准。材料性能、器件结构与工艺参数之间一旦形成反馈，一个环节发现的问题便能回到其他环节，研究团队之间的关系也随之调整。工程验证在这里同时是成果转化的环节和组织获取信息的渠道。</w:t>
      </w:r>
    </w:p>
    <w:p w14:paraId="77038389" w14:textId="77777777" w:rsidR="006F5272" w:rsidRDefault="006F5272" w:rsidP="006F5272"/>
    <w:p w14:paraId="5CDA15AE" w14:textId="77777777" w:rsidR="006F5272" w:rsidRDefault="006F5272" w:rsidP="006F5272">
      <w:r>
        <w:t>人才组织同样进入了这一反馈结构。2026年5月，国家科学基金会与商务部合作资助的国</w:t>
      </w:r>
      <w:r>
        <w:lastRenderedPageBreak/>
        <w:t>家微电子教育网络启动首批四个区域节点，由SEMI基金会担任全国枢纽运营方。西南节点由亚利桑那商务局牵头，太平洋山间节点由博伊西州立大学牵头，东北节点由NY CREATES牵头，南部节点由得克萨斯大学奥斯汀分校牵头，四个节点联结中小学学区、高校、劳动力机构、经济发展部门和半导体企业等325家以上执行机构，每个节点五年内最多可获2000万美元，培训内容按产业需求设定并由企业参与验证（SEMI Foundation, 2026）。研究型大学在这里承担的功能已超出本校学生培养，开始参与区域范围内教育资源、工程设施与产业需求之间的协调，人才供给也随区域产业布局而调整。</w:t>
      </w:r>
    </w:p>
    <w:p w14:paraId="357E983E" w14:textId="77777777" w:rsidR="006F5272" w:rsidRDefault="006F5272" w:rsidP="006F5272"/>
    <w:p w14:paraId="54A348CE" w14:textId="77777777" w:rsidR="006F5272" w:rsidRDefault="006F5272" w:rsidP="006F5272">
      <w:r>
        <w:t>调整还延伸到规则层面。国家半导体技术中心的规划要求每三至五年接受独立第三方评估（NIST, 2023, p. 23），</w:t>
      </w:r>
      <w:proofErr w:type="spellStart"/>
      <w:r>
        <w:t>FuSe</w:t>
      </w:r>
      <w:proofErr w:type="spellEnd"/>
      <w:r>
        <w:t>到FuSe2、聚焦中心到JUMP 2.0的代际更替，也都伴随准入条件与网络结构的修订。Kattel和Mazzucato（2018）把这种能力称为公共部门的动态能力，它体现为行政上的敏捷，以及在不确定环境中边做边学的能力（pp. 796–798）。第二组织层由此具有临时组合与动态重构的特征，研究重点与协作关系可以依据实际技术问题而改变。</w:t>
      </w:r>
    </w:p>
    <w:p w14:paraId="172CEF37" w14:textId="77777777" w:rsidR="006F5272" w:rsidRDefault="006F5272" w:rsidP="006F5272"/>
    <w:p w14:paraId="3A90105E" w14:textId="31E1C56E" w:rsidR="006F5272" w:rsidRDefault="006F5272" w:rsidP="006F5272">
      <w:r>
        <w:t>第二组织层以院系和学科为知识与人才基础，以开放边界吸收分散能力，以共同使命协调拥有专业自治的研究单元，并借助工程与产业反馈调整组织关系。它的理想形态接近一种方向明确的分布式科研组织。国家无需把研究型大学改造成统一指挥的技术机构，也无需重新划分院系，就能在既有学术制度之上形成跨越组织边界的任务网络。随着这一层次在经费、设施与人员上的比重上升，它对院系规则的影响也在累积，这正是叠层带来渐进制度变迁的方式。</w:t>
      </w:r>
    </w:p>
    <w:p w14:paraId="24008E51" w14:textId="77777777" w:rsidR="006F5272" w:rsidRDefault="006F5272" w:rsidP="006F5272"/>
    <w:p w14:paraId="3B6DE60F" w14:textId="77777777" w:rsidR="006F5272" w:rsidRDefault="006F5272" w:rsidP="006F5272">
      <w:r>
        <w:t>结语</w:t>
      </w:r>
    </w:p>
    <w:p w14:paraId="021F9742" w14:textId="77777777" w:rsidR="006F5272" w:rsidRDefault="006F5272" w:rsidP="006F5272"/>
    <w:p w14:paraId="10FA6F3C" w14:textId="77777777" w:rsidR="006F5272" w:rsidRDefault="006F5272" w:rsidP="006F5272">
      <w:r>
        <w:t>研究型大学在美国半导体创新体系中的位置，始终随国家与市场关系的调整而移动。冷战时期，它是线性分工中的知识源头；产业竞争阶段，它退居产业上游，主要提供人才。如今，在高度分散的创新体系中，它成为国家重建连接所依托的组织基础。国家保留院系建制，借助资助规则、任务网络与公共平台，在院系之上叠加出一个以使命为牵引、边界开放、随工程反馈调整的第二组织层。在学术自治难以撼动的条件下，制度叠层构成美国研究型大学渐进式组织变迁的现实路径。美国此前两次强力介入半导体创新，分别帮助它在冷战中确立了对苏联的技术优势，并在20世纪80年代至90年代扭转了对日本的竞争劣势。当前的许多安排仍停留在政策文本和规划阶段，带有理想化色彩，但它们表明，美国政策精英已经认识到传统科研体制与分散产业结构之间的错位，并围绕组织能力作出了系统而有力的规划。</w:t>
      </w:r>
    </w:p>
    <w:p w14:paraId="728A0360" w14:textId="77777777" w:rsidR="006F5272" w:rsidRDefault="006F5272" w:rsidP="006F5272"/>
    <w:p w14:paraId="46FBB504" w14:textId="33B05BA8" w:rsidR="006F5272" w:rsidRDefault="006F5272" w:rsidP="006F5272">
      <w:pPr>
        <w:rPr>
          <w:rFonts w:hint="eastAsia"/>
        </w:rPr>
      </w:pPr>
      <w:r>
        <w:t>对中国而言，这一变化值得放在大国科技竞争的全局中审视。美国在全球晶圆制造中的份额已不如从前，但在先进芯片设计、电子设计自动化工具、核心知识产权与生成式人工智能等领域仍占据明显优势；新一轮组织调整，正试图把这些上游优势与重建中的制造能力重新连接起来。中国应密切跟踪美国在跨校研究网络、国家中试平台、科研资助机制与人才培养网络等方面的最新动向，并评估其实际执行效果。中国研究型大学在半导体产业链中的位置相对边缘，与工程验证和产业需求之间的距离较远，其潜力有待激活。现行人才评价机制偏重短期可计量的成果，不利于长周期的重大创新，也容易诱发学术不端。美国的探索提供了若干值得进一步研究的思路，包括依托既有院系叠加任务型组织层，以元科学方法检验和修订资助规则，以国家中试平台连接大学研究与制造环节，以及把更多判断权交给一线研究团队的敏捷治理方式。这些思路能否、以及在何种条件下适用于中国的制度环境，仍需结合本土实践审慎检验。</w:t>
      </w:r>
    </w:p>
    <w:sectPr w:rsidR="006F527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doNotDisplayPageBoundaries/>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272"/>
    <w:rsid w:val="00000DE7"/>
    <w:rsid w:val="00000DE8"/>
    <w:rsid w:val="000134F7"/>
    <w:rsid w:val="00022DF3"/>
    <w:rsid w:val="000237C4"/>
    <w:rsid w:val="000323A8"/>
    <w:rsid w:val="00041EFC"/>
    <w:rsid w:val="000452C5"/>
    <w:rsid w:val="00050101"/>
    <w:rsid w:val="00054AD2"/>
    <w:rsid w:val="00063769"/>
    <w:rsid w:val="00065EAB"/>
    <w:rsid w:val="00070A37"/>
    <w:rsid w:val="00073039"/>
    <w:rsid w:val="00077480"/>
    <w:rsid w:val="00083210"/>
    <w:rsid w:val="00096D50"/>
    <w:rsid w:val="000B0A7B"/>
    <w:rsid w:val="000C5449"/>
    <w:rsid w:val="000C7186"/>
    <w:rsid w:val="000C7C2A"/>
    <w:rsid w:val="000E46EE"/>
    <w:rsid w:val="000E5DAA"/>
    <w:rsid w:val="001005A9"/>
    <w:rsid w:val="00107633"/>
    <w:rsid w:val="001076FB"/>
    <w:rsid w:val="00112A37"/>
    <w:rsid w:val="00113853"/>
    <w:rsid w:val="00121671"/>
    <w:rsid w:val="00126017"/>
    <w:rsid w:val="0012676A"/>
    <w:rsid w:val="0013560F"/>
    <w:rsid w:val="00141921"/>
    <w:rsid w:val="00152B89"/>
    <w:rsid w:val="00155286"/>
    <w:rsid w:val="00164930"/>
    <w:rsid w:val="00165CA5"/>
    <w:rsid w:val="00176722"/>
    <w:rsid w:val="001833E6"/>
    <w:rsid w:val="00197E72"/>
    <w:rsid w:val="001A5CE9"/>
    <w:rsid w:val="001D166C"/>
    <w:rsid w:val="001D4826"/>
    <w:rsid w:val="001D7932"/>
    <w:rsid w:val="001E351D"/>
    <w:rsid w:val="001E6EC1"/>
    <w:rsid w:val="00207D3D"/>
    <w:rsid w:val="002201DE"/>
    <w:rsid w:val="00226FE5"/>
    <w:rsid w:val="00234AEE"/>
    <w:rsid w:val="00242BBB"/>
    <w:rsid w:val="002510E5"/>
    <w:rsid w:val="002519B1"/>
    <w:rsid w:val="00253C2A"/>
    <w:rsid w:val="00254E6D"/>
    <w:rsid w:val="00255FB8"/>
    <w:rsid w:val="00256CD5"/>
    <w:rsid w:val="00257AF6"/>
    <w:rsid w:val="0026168B"/>
    <w:rsid w:val="00266829"/>
    <w:rsid w:val="00275E01"/>
    <w:rsid w:val="0027629B"/>
    <w:rsid w:val="002831DB"/>
    <w:rsid w:val="00285C69"/>
    <w:rsid w:val="00294DE9"/>
    <w:rsid w:val="002A1836"/>
    <w:rsid w:val="002B46DE"/>
    <w:rsid w:val="002C22BA"/>
    <w:rsid w:val="002C7EBB"/>
    <w:rsid w:val="002E51D0"/>
    <w:rsid w:val="002F24F0"/>
    <w:rsid w:val="002F6DF5"/>
    <w:rsid w:val="002F7570"/>
    <w:rsid w:val="00307FB2"/>
    <w:rsid w:val="003100A6"/>
    <w:rsid w:val="00315ED0"/>
    <w:rsid w:val="00320614"/>
    <w:rsid w:val="00327314"/>
    <w:rsid w:val="00340C77"/>
    <w:rsid w:val="00355C53"/>
    <w:rsid w:val="003603E0"/>
    <w:rsid w:val="003609BA"/>
    <w:rsid w:val="00366142"/>
    <w:rsid w:val="00376A2F"/>
    <w:rsid w:val="00377A1A"/>
    <w:rsid w:val="003829B9"/>
    <w:rsid w:val="003875D3"/>
    <w:rsid w:val="00394622"/>
    <w:rsid w:val="00395C17"/>
    <w:rsid w:val="00397BA6"/>
    <w:rsid w:val="003B42EA"/>
    <w:rsid w:val="003C4AC5"/>
    <w:rsid w:val="003C5C04"/>
    <w:rsid w:val="003C734E"/>
    <w:rsid w:val="003D0AD5"/>
    <w:rsid w:val="003D75CE"/>
    <w:rsid w:val="003E6D4B"/>
    <w:rsid w:val="003F0715"/>
    <w:rsid w:val="00406C3A"/>
    <w:rsid w:val="0041062B"/>
    <w:rsid w:val="0041069B"/>
    <w:rsid w:val="0041179C"/>
    <w:rsid w:val="0041547A"/>
    <w:rsid w:val="00424306"/>
    <w:rsid w:val="00426204"/>
    <w:rsid w:val="00433CEA"/>
    <w:rsid w:val="004345EF"/>
    <w:rsid w:val="00434890"/>
    <w:rsid w:val="00456964"/>
    <w:rsid w:val="0046586A"/>
    <w:rsid w:val="00467102"/>
    <w:rsid w:val="00484144"/>
    <w:rsid w:val="0048423A"/>
    <w:rsid w:val="00491506"/>
    <w:rsid w:val="004922EF"/>
    <w:rsid w:val="004971FD"/>
    <w:rsid w:val="004A4EB8"/>
    <w:rsid w:val="004B2E42"/>
    <w:rsid w:val="004B7370"/>
    <w:rsid w:val="004C0E21"/>
    <w:rsid w:val="004D01DD"/>
    <w:rsid w:val="004E27BA"/>
    <w:rsid w:val="004E2C48"/>
    <w:rsid w:val="004E4465"/>
    <w:rsid w:val="004F1F33"/>
    <w:rsid w:val="00507212"/>
    <w:rsid w:val="00511C18"/>
    <w:rsid w:val="00511E52"/>
    <w:rsid w:val="0051336E"/>
    <w:rsid w:val="00517151"/>
    <w:rsid w:val="00522879"/>
    <w:rsid w:val="00524A9A"/>
    <w:rsid w:val="00533AD5"/>
    <w:rsid w:val="00550643"/>
    <w:rsid w:val="00553717"/>
    <w:rsid w:val="00554530"/>
    <w:rsid w:val="0055496A"/>
    <w:rsid w:val="00586B61"/>
    <w:rsid w:val="005A3611"/>
    <w:rsid w:val="005A6187"/>
    <w:rsid w:val="005B09F0"/>
    <w:rsid w:val="005B20B4"/>
    <w:rsid w:val="005C7E19"/>
    <w:rsid w:val="005D3DCE"/>
    <w:rsid w:val="005E560F"/>
    <w:rsid w:val="005F363D"/>
    <w:rsid w:val="00617207"/>
    <w:rsid w:val="00625D46"/>
    <w:rsid w:val="0063312B"/>
    <w:rsid w:val="00634F9C"/>
    <w:rsid w:val="0063508A"/>
    <w:rsid w:val="0063706D"/>
    <w:rsid w:val="00646639"/>
    <w:rsid w:val="00646DA0"/>
    <w:rsid w:val="00655563"/>
    <w:rsid w:val="006633C7"/>
    <w:rsid w:val="006640C3"/>
    <w:rsid w:val="0066501E"/>
    <w:rsid w:val="00666AB5"/>
    <w:rsid w:val="00684EDD"/>
    <w:rsid w:val="00685493"/>
    <w:rsid w:val="00686158"/>
    <w:rsid w:val="00687DAE"/>
    <w:rsid w:val="00697FE9"/>
    <w:rsid w:val="006A325A"/>
    <w:rsid w:val="006A5979"/>
    <w:rsid w:val="006B1197"/>
    <w:rsid w:val="006B19D1"/>
    <w:rsid w:val="006B2D37"/>
    <w:rsid w:val="006C2BCC"/>
    <w:rsid w:val="006C6209"/>
    <w:rsid w:val="006C7181"/>
    <w:rsid w:val="006E4C31"/>
    <w:rsid w:val="006F26AB"/>
    <w:rsid w:val="006F34A4"/>
    <w:rsid w:val="006F4FCD"/>
    <w:rsid w:val="006F5272"/>
    <w:rsid w:val="006F74A6"/>
    <w:rsid w:val="006F7BBE"/>
    <w:rsid w:val="00700FE4"/>
    <w:rsid w:val="0070558C"/>
    <w:rsid w:val="00710BE6"/>
    <w:rsid w:val="00731AA0"/>
    <w:rsid w:val="007324F2"/>
    <w:rsid w:val="007328ED"/>
    <w:rsid w:val="0073456F"/>
    <w:rsid w:val="00737C72"/>
    <w:rsid w:val="007408AF"/>
    <w:rsid w:val="00747F93"/>
    <w:rsid w:val="007503CB"/>
    <w:rsid w:val="0075236B"/>
    <w:rsid w:val="007527C1"/>
    <w:rsid w:val="007575F5"/>
    <w:rsid w:val="00760158"/>
    <w:rsid w:val="00764DA4"/>
    <w:rsid w:val="007673AD"/>
    <w:rsid w:val="00775D23"/>
    <w:rsid w:val="00780BB0"/>
    <w:rsid w:val="007834CB"/>
    <w:rsid w:val="007916B2"/>
    <w:rsid w:val="007936F9"/>
    <w:rsid w:val="00794C75"/>
    <w:rsid w:val="00797F5A"/>
    <w:rsid w:val="007F2644"/>
    <w:rsid w:val="007F287A"/>
    <w:rsid w:val="00807F41"/>
    <w:rsid w:val="00810F77"/>
    <w:rsid w:val="00820D22"/>
    <w:rsid w:val="0082359C"/>
    <w:rsid w:val="00823C98"/>
    <w:rsid w:val="0084729A"/>
    <w:rsid w:val="00854C74"/>
    <w:rsid w:val="008626FE"/>
    <w:rsid w:val="00863F79"/>
    <w:rsid w:val="00864457"/>
    <w:rsid w:val="00867D0A"/>
    <w:rsid w:val="00872338"/>
    <w:rsid w:val="00877D6A"/>
    <w:rsid w:val="0088178F"/>
    <w:rsid w:val="00886492"/>
    <w:rsid w:val="008912A2"/>
    <w:rsid w:val="00891812"/>
    <w:rsid w:val="008A0C42"/>
    <w:rsid w:val="008A4766"/>
    <w:rsid w:val="008B22FB"/>
    <w:rsid w:val="008B49B4"/>
    <w:rsid w:val="008B53F5"/>
    <w:rsid w:val="008B72BF"/>
    <w:rsid w:val="008C63ED"/>
    <w:rsid w:val="008D00DA"/>
    <w:rsid w:val="008D2EBD"/>
    <w:rsid w:val="008D5EFE"/>
    <w:rsid w:val="008D78E3"/>
    <w:rsid w:val="008E22E3"/>
    <w:rsid w:val="009112E8"/>
    <w:rsid w:val="00916B85"/>
    <w:rsid w:val="009244AF"/>
    <w:rsid w:val="0092507E"/>
    <w:rsid w:val="00930197"/>
    <w:rsid w:val="00930974"/>
    <w:rsid w:val="00932E35"/>
    <w:rsid w:val="00936CB3"/>
    <w:rsid w:val="00937F29"/>
    <w:rsid w:val="009525F8"/>
    <w:rsid w:val="00966972"/>
    <w:rsid w:val="0096779C"/>
    <w:rsid w:val="0097013A"/>
    <w:rsid w:val="009755F3"/>
    <w:rsid w:val="00976CC9"/>
    <w:rsid w:val="009810E6"/>
    <w:rsid w:val="0098661A"/>
    <w:rsid w:val="009A3B43"/>
    <w:rsid w:val="009C035B"/>
    <w:rsid w:val="009C6113"/>
    <w:rsid w:val="009C6A52"/>
    <w:rsid w:val="009D13E2"/>
    <w:rsid w:val="009D1A66"/>
    <w:rsid w:val="009D3ED2"/>
    <w:rsid w:val="009D43B6"/>
    <w:rsid w:val="009D64AA"/>
    <w:rsid w:val="009E5CF3"/>
    <w:rsid w:val="009F2634"/>
    <w:rsid w:val="009F65A8"/>
    <w:rsid w:val="00A25DAC"/>
    <w:rsid w:val="00A25DED"/>
    <w:rsid w:val="00A27404"/>
    <w:rsid w:val="00A30ABC"/>
    <w:rsid w:val="00A33D46"/>
    <w:rsid w:val="00A33D8B"/>
    <w:rsid w:val="00A41E72"/>
    <w:rsid w:val="00A44F29"/>
    <w:rsid w:val="00A50CA3"/>
    <w:rsid w:val="00A50EE7"/>
    <w:rsid w:val="00A51D5B"/>
    <w:rsid w:val="00A53467"/>
    <w:rsid w:val="00A53A9A"/>
    <w:rsid w:val="00A62332"/>
    <w:rsid w:val="00A7280C"/>
    <w:rsid w:val="00A821AC"/>
    <w:rsid w:val="00A82741"/>
    <w:rsid w:val="00A82AB0"/>
    <w:rsid w:val="00A9796E"/>
    <w:rsid w:val="00A97F38"/>
    <w:rsid w:val="00AB28AA"/>
    <w:rsid w:val="00AB6407"/>
    <w:rsid w:val="00AB6B83"/>
    <w:rsid w:val="00AC043D"/>
    <w:rsid w:val="00AC0FFE"/>
    <w:rsid w:val="00AC491C"/>
    <w:rsid w:val="00AC5260"/>
    <w:rsid w:val="00AC612B"/>
    <w:rsid w:val="00AC6F29"/>
    <w:rsid w:val="00AE1BBE"/>
    <w:rsid w:val="00AE38A1"/>
    <w:rsid w:val="00AE6CA0"/>
    <w:rsid w:val="00AF1772"/>
    <w:rsid w:val="00AF3568"/>
    <w:rsid w:val="00AF44BC"/>
    <w:rsid w:val="00B01752"/>
    <w:rsid w:val="00B02BAC"/>
    <w:rsid w:val="00B12280"/>
    <w:rsid w:val="00B27696"/>
    <w:rsid w:val="00B3394E"/>
    <w:rsid w:val="00B44B27"/>
    <w:rsid w:val="00B47770"/>
    <w:rsid w:val="00B53848"/>
    <w:rsid w:val="00B62F48"/>
    <w:rsid w:val="00B82D99"/>
    <w:rsid w:val="00B85439"/>
    <w:rsid w:val="00B858D5"/>
    <w:rsid w:val="00B87679"/>
    <w:rsid w:val="00B96330"/>
    <w:rsid w:val="00BA3A39"/>
    <w:rsid w:val="00BA7F16"/>
    <w:rsid w:val="00BB071E"/>
    <w:rsid w:val="00BC0F4C"/>
    <w:rsid w:val="00BD61D6"/>
    <w:rsid w:val="00BF673E"/>
    <w:rsid w:val="00C008E0"/>
    <w:rsid w:val="00C06F46"/>
    <w:rsid w:val="00C11045"/>
    <w:rsid w:val="00C111B5"/>
    <w:rsid w:val="00C24F98"/>
    <w:rsid w:val="00C33CF2"/>
    <w:rsid w:val="00C43EB6"/>
    <w:rsid w:val="00C46FA5"/>
    <w:rsid w:val="00C54B26"/>
    <w:rsid w:val="00C57641"/>
    <w:rsid w:val="00C61541"/>
    <w:rsid w:val="00C910F3"/>
    <w:rsid w:val="00C95781"/>
    <w:rsid w:val="00CA4101"/>
    <w:rsid w:val="00CA5337"/>
    <w:rsid w:val="00CA7F6C"/>
    <w:rsid w:val="00CB3C26"/>
    <w:rsid w:val="00CB5B7F"/>
    <w:rsid w:val="00CF157A"/>
    <w:rsid w:val="00CF4FB8"/>
    <w:rsid w:val="00D020BE"/>
    <w:rsid w:val="00D036FE"/>
    <w:rsid w:val="00D34A9A"/>
    <w:rsid w:val="00D403AC"/>
    <w:rsid w:val="00D460CE"/>
    <w:rsid w:val="00D46AEB"/>
    <w:rsid w:val="00D530DA"/>
    <w:rsid w:val="00D55637"/>
    <w:rsid w:val="00D74829"/>
    <w:rsid w:val="00D81649"/>
    <w:rsid w:val="00D90518"/>
    <w:rsid w:val="00D956E8"/>
    <w:rsid w:val="00DA5595"/>
    <w:rsid w:val="00DA6D47"/>
    <w:rsid w:val="00DB2A95"/>
    <w:rsid w:val="00DD6492"/>
    <w:rsid w:val="00DE0DC4"/>
    <w:rsid w:val="00DE13B2"/>
    <w:rsid w:val="00DE308B"/>
    <w:rsid w:val="00DE7820"/>
    <w:rsid w:val="00DF0C6E"/>
    <w:rsid w:val="00DF43F3"/>
    <w:rsid w:val="00DF49F8"/>
    <w:rsid w:val="00E037E8"/>
    <w:rsid w:val="00E07BA7"/>
    <w:rsid w:val="00E148AB"/>
    <w:rsid w:val="00E20069"/>
    <w:rsid w:val="00E2730C"/>
    <w:rsid w:val="00E27D8F"/>
    <w:rsid w:val="00E32F7D"/>
    <w:rsid w:val="00E40BAB"/>
    <w:rsid w:val="00E42B5E"/>
    <w:rsid w:val="00E448FC"/>
    <w:rsid w:val="00E559B1"/>
    <w:rsid w:val="00E6358F"/>
    <w:rsid w:val="00E73410"/>
    <w:rsid w:val="00E86B7A"/>
    <w:rsid w:val="00E90885"/>
    <w:rsid w:val="00E91475"/>
    <w:rsid w:val="00E91F9C"/>
    <w:rsid w:val="00EA0032"/>
    <w:rsid w:val="00EA64C6"/>
    <w:rsid w:val="00EA74FF"/>
    <w:rsid w:val="00EB4081"/>
    <w:rsid w:val="00EC0308"/>
    <w:rsid w:val="00EC3BCF"/>
    <w:rsid w:val="00EC7652"/>
    <w:rsid w:val="00ED2715"/>
    <w:rsid w:val="00EE132E"/>
    <w:rsid w:val="00EE4840"/>
    <w:rsid w:val="00EE4945"/>
    <w:rsid w:val="00EF2203"/>
    <w:rsid w:val="00EF247D"/>
    <w:rsid w:val="00EF7F38"/>
    <w:rsid w:val="00F01153"/>
    <w:rsid w:val="00F03EEC"/>
    <w:rsid w:val="00F07C89"/>
    <w:rsid w:val="00F2101E"/>
    <w:rsid w:val="00F26172"/>
    <w:rsid w:val="00F41845"/>
    <w:rsid w:val="00F44391"/>
    <w:rsid w:val="00F51619"/>
    <w:rsid w:val="00F52A7A"/>
    <w:rsid w:val="00F534BA"/>
    <w:rsid w:val="00F54E54"/>
    <w:rsid w:val="00F721AD"/>
    <w:rsid w:val="00F830F2"/>
    <w:rsid w:val="00F84FAD"/>
    <w:rsid w:val="00F9042C"/>
    <w:rsid w:val="00F90779"/>
    <w:rsid w:val="00F948E9"/>
    <w:rsid w:val="00F954F9"/>
    <w:rsid w:val="00FA1FF5"/>
    <w:rsid w:val="00FA5FF4"/>
    <w:rsid w:val="00FA7E73"/>
    <w:rsid w:val="00FB1B96"/>
    <w:rsid w:val="00FB6FD8"/>
    <w:rsid w:val="00FC4DD3"/>
    <w:rsid w:val="00FD03D5"/>
    <w:rsid w:val="00FD19A2"/>
    <w:rsid w:val="00FD5A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DFB0DC2"/>
  <w15:chartTrackingRefBased/>
  <w15:docId w15:val="{FE9E9EF9-AA5C-1A4D-AA66-B71BB6059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F527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F527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F527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F527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F527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F527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F527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F527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F5272"/>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表"/>
    <w:basedOn w:val="a1"/>
    <w:uiPriority w:val="99"/>
    <w:rsid w:val="00257AF6"/>
    <w:pPr>
      <w:jc w:val="center"/>
    </w:pPr>
    <w:rPr>
      <w:rFonts w:eastAsia="宋体"/>
      <w:szCs w:val="22"/>
      <w14:ligatures w14:val="standardContextual"/>
    </w:rPr>
    <w:tblPr>
      <w:tblBorders>
        <w:top w:val="single" w:sz="12" w:space="0" w:color="auto"/>
        <w:bottom w:val="single" w:sz="12" w:space="0" w:color="auto"/>
      </w:tblBorders>
    </w:tblPr>
    <w:tcPr>
      <w:vAlign w:val="center"/>
    </w:tcPr>
    <w:tblStylePr w:type="firstRow">
      <w:tblPr/>
      <w:tcPr>
        <w:tcBorders>
          <w:top w:val="single" w:sz="12" w:space="0" w:color="auto"/>
          <w:left w:val="nil"/>
          <w:bottom w:val="single" w:sz="12" w:space="0" w:color="auto"/>
          <w:right w:val="nil"/>
          <w:insideH w:val="nil"/>
          <w:insideV w:val="nil"/>
          <w:tl2br w:val="nil"/>
          <w:tr2bl w:val="nil"/>
        </w:tcBorders>
      </w:tcPr>
    </w:tblStylePr>
  </w:style>
  <w:style w:type="character" w:customStyle="1" w:styleId="10">
    <w:name w:val="标题 1 字符"/>
    <w:basedOn w:val="a0"/>
    <w:link w:val="1"/>
    <w:uiPriority w:val="9"/>
    <w:rsid w:val="006F527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F527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F527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F5272"/>
    <w:rPr>
      <w:rFonts w:cstheme="majorBidi"/>
      <w:color w:val="0F4761" w:themeColor="accent1" w:themeShade="BF"/>
      <w:sz w:val="28"/>
      <w:szCs w:val="28"/>
    </w:rPr>
  </w:style>
  <w:style w:type="character" w:customStyle="1" w:styleId="50">
    <w:name w:val="标题 5 字符"/>
    <w:basedOn w:val="a0"/>
    <w:link w:val="5"/>
    <w:uiPriority w:val="9"/>
    <w:semiHidden/>
    <w:rsid w:val="006F5272"/>
    <w:rPr>
      <w:rFonts w:cstheme="majorBidi"/>
      <w:color w:val="0F4761" w:themeColor="accent1" w:themeShade="BF"/>
      <w:sz w:val="24"/>
    </w:rPr>
  </w:style>
  <w:style w:type="character" w:customStyle="1" w:styleId="60">
    <w:name w:val="标题 6 字符"/>
    <w:basedOn w:val="a0"/>
    <w:link w:val="6"/>
    <w:uiPriority w:val="9"/>
    <w:semiHidden/>
    <w:rsid w:val="006F5272"/>
    <w:rPr>
      <w:rFonts w:cstheme="majorBidi"/>
      <w:b/>
      <w:bCs/>
      <w:color w:val="0F4761" w:themeColor="accent1" w:themeShade="BF"/>
    </w:rPr>
  </w:style>
  <w:style w:type="character" w:customStyle="1" w:styleId="70">
    <w:name w:val="标题 7 字符"/>
    <w:basedOn w:val="a0"/>
    <w:link w:val="7"/>
    <w:uiPriority w:val="9"/>
    <w:semiHidden/>
    <w:rsid w:val="006F5272"/>
    <w:rPr>
      <w:rFonts w:cstheme="majorBidi"/>
      <w:b/>
      <w:bCs/>
      <w:color w:val="595959" w:themeColor="text1" w:themeTint="A6"/>
    </w:rPr>
  </w:style>
  <w:style w:type="character" w:customStyle="1" w:styleId="80">
    <w:name w:val="标题 8 字符"/>
    <w:basedOn w:val="a0"/>
    <w:link w:val="8"/>
    <w:uiPriority w:val="9"/>
    <w:semiHidden/>
    <w:rsid w:val="006F5272"/>
    <w:rPr>
      <w:rFonts w:cstheme="majorBidi"/>
      <w:color w:val="595959" w:themeColor="text1" w:themeTint="A6"/>
    </w:rPr>
  </w:style>
  <w:style w:type="character" w:customStyle="1" w:styleId="90">
    <w:name w:val="标题 9 字符"/>
    <w:basedOn w:val="a0"/>
    <w:link w:val="9"/>
    <w:uiPriority w:val="9"/>
    <w:semiHidden/>
    <w:rsid w:val="006F5272"/>
    <w:rPr>
      <w:rFonts w:eastAsiaTheme="majorEastAsia" w:cstheme="majorBidi"/>
      <w:color w:val="595959" w:themeColor="text1" w:themeTint="A6"/>
    </w:rPr>
  </w:style>
  <w:style w:type="paragraph" w:styleId="a4">
    <w:name w:val="Title"/>
    <w:basedOn w:val="a"/>
    <w:next w:val="a"/>
    <w:link w:val="a5"/>
    <w:uiPriority w:val="10"/>
    <w:qFormat/>
    <w:rsid w:val="006F5272"/>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0"/>
    <w:link w:val="a4"/>
    <w:uiPriority w:val="10"/>
    <w:rsid w:val="006F5272"/>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6F527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0"/>
    <w:link w:val="a6"/>
    <w:uiPriority w:val="11"/>
    <w:rsid w:val="006F5272"/>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6F5272"/>
    <w:pPr>
      <w:spacing w:before="160" w:after="160"/>
      <w:jc w:val="center"/>
    </w:pPr>
    <w:rPr>
      <w:i/>
      <w:iCs/>
      <w:color w:val="404040" w:themeColor="text1" w:themeTint="BF"/>
    </w:rPr>
  </w:style>
  <w:style w:type="character" w:customStyle="1" w:styleId="a9">
    <w:name w:val="引用 字符"/>
    <w:basedOn w:val="a0"/>
    <w:link w:val="a8"/>
    <w:uiPriority w:val="29"/>
    <w:rsid w:val="006F5272"/>
    <w:rPr>
      <w:i/>
      <w:iCs/>
      <w:color w:val="404040" w:themeColor="text1" w:themeTint="BF"/>
    </w:rPr>
  </w:style>
  <w:style w:type="paragraph" w:styleId="aa">
    <w:name w:val="List Paragraph"/>
    <w:basedOn w:val="a"/>
    <w:uiPriority w:val="34"/>
    <w:qFormat/>
    <w:rsid w:val="006F5272"/>
    <w:pPr>
      <w:ind w:left="720"/>
      <w:contextualSpacing/>
    </w:pPr>
  </w:style>
  <w:style w:type="character" w:styleId="ab">
    <w:name w:val="Intense Emphasis"/>
    <w:basedOn w:val="a0"/>
    <w:uiPriority w:val="21"/>
    <w:qFormat/>
    <w:rsid w:val="006F5272"/>
    <w:rPr>
      <w:i/>
      <w:iCs/>
      <w:color w:val="0F4761" w:themeColor="accent1" w:themeShade="BF"/>
    </w:rPr>
  </w:style>
  <w:style w:type="paragraph" w:styleId="ac">
    <w:name w:val="Intense Quote"/>
    <w:basedOn w:val="a"/>
    <w:next w:val="a"/>
    <w:link w:val="ad"/>
    <w:uiPriority w:val="30"/>
    <w:qFormat/>
    <w:rsid w:val="006F52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0"/>
    <w:link w:val="ac"/>
    <w:uiPriority w:val="30"/>
    <w:rsid w:val="006F5272"/>
    <w:rPr>
      <w:i/>
      <w:iCs/>
      <w:color w:val="0F4761" w:themeColor="accent1" w:themeShade="BF"/>
    </w:rPr>
  </w:style>
  <w:style w:type="character" w:styleId="ae">
    <w:name w:val="Intense Reference"/>
    <w:basedOn w:val="a0"/>
    <w:uiPriority w:val="32"/>
    <w:qFormat/>
    <w:rsid w:val="006F52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2011</Words>
  <Characters>11465</Characters>
  <Application>Microsoft Office Word</Application>
  <DocSecurity>0</DocSecurity>
  <Lines>95</Lines>
  <Paragraphs>26</Paragraphs>
  <ScaleCrop>false</ScaleCrop>
  <Company/>
  <LinksUpToDate>false</LinksUpToDate>
  <CharactersWithSpaces>13450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H98376@365mak.com</dc:creator>
  <cp:keywords/>
  <dc:description/>
  <cp:lastModifiedBy>H98376@365mak.com</cp:lastModifiedBy>
  <cp:revision>1</cp:revision>
  <dcterms:created xsi:type="dcterms:W3CDTF">2026-10-12T16:07:00Z</dcterms:created>
  <dcterms:modified xsi:type="dcterms:W3CDTF">2026-10-12T16:11:00Z</dcterms:modified>
</cp:coreProperties>
</file>