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w:t>
      </w:r>
      <w:r w:rsidRPr="00BF4EC4">
        <w:rPr>
          <w:rFonts w:ascii="Times New Roman" w:eastAsia="宋体" w:hAnsi="Times New Roman" w:cs="Times New Roman"/>
          <w:color w:val="000000"/>
          <w:kern w:val="0"/>
          <w:sz w:val="24"/>
        </w:rPr>
        <w:lastRenderedPageBreak/>
        <w:t xml:space="preserve"/>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 xml:space="preserve">高阶思维的内涵与构成</w:t>
      </w:r>
      <w:bookmarkEnd w:id="8"/>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高阶思维最常见的含义来自布卢姆（Benjamin Bloom）教育目标分类修订版中的较高认知层次。洛林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。分析、评价和创造三个层次由此成为高阶思维最常用的操作性含义。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高阶思维也是一种需要自我调节的复杂思维过程，由多个成分共同构成。劳伦·瑞斯尼克（Lauren B. Resnick）把</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。国内研究同样强调过程，以新旧知识关系的建立为核心，提出由问题情境分析、新旧知识关系建立、多维信息综合、创新性知识生成以及思维过程监控与调节构成的五成分框架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批判性思维与创造力</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批判性思维和创造力是高阶思维中研究最多的两个成分，二者都有较为一致的界定，也都可以通过教学提升。彼得·法乔恩（Peter A. Facione）主持的</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。一项综合29项大学生实验与准实验研究、109个效应量的元分析中，创造力训练的平均效应为g＝0.628，两个月以内的中短期训练效果最好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批判性思维的发展还依赖倾向和认识论理解，中学阶段是培养这类能力的有利时期。罗伯特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把批判性思维界定为决定相信什么或做什么时所进行的合理、反思性思维，后续研究普遍认为，完整的批判性思维包括技能、倾向以及使判断成立的领域知识，评价动作只有放回具体学科和情境才能判断其质量</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Kuhn）等指出，学生只有认识到知识虽由人建构、却可以依据证据区分优劣，才会主动用证据比较不同观点</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。一项综合26项干预研究、4373名学生的元分析发现，认识论认知干预对论证表现的效应达d＝1.047，中小学学生的获益（d＝0.606）约为大学生（d＝0.309）的两倍</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首先要把它列为明确的教学目标。恩尼斯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其次要让思考外显并接受同伴检验。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再次是给予适度的教学指导。有研究综合受控实验、跨国大规模测评和长周期课程项目三类证据，发现有指导的探究在概念理解和知识迁移上总体优于直接讲授，也优于无指导的发现学习；过程约束、启发提示、过程反馈和适时讲解都能起到指导作用，先备知识薄弱的学生获益更多</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。指导也要适度，同时提供多种相互重叠的外部支架不会产生叠加效应，反而可能增加无关认知负荷</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比格斯（John Biggs）观察到，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需要同时考查技能和倾向，并判断学生表现达到的结构水平。一项在澳大利亚开设知识论课程的学校开展的调查（1338名11—12年级学生）同时使用思维策略量表和思维倾向量表，前者考查学生界定问题、分析论证、搜寻对立证据和控制主张范围的策略，后者考查求真、开放、探究和判断成熟度等倾向</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SOLO）按学生回答的结构复杂程度，把理解分为前结构、单点结构、多点结构、关联结构和拓展抽象五个层次，后两个层次对应整合多方面信息并迁移到新问题的能力，可作为判断思维质量的表现性参照</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评价还需要综合多种证据。前述创造力与批判性思维的元分析中，二者都用自陈量表测量时相关为r＝0.509，都用任务表现测量时为r＝0.317，共享测量方法会放大构念之间的关联，单靠问卷容易高估能力之间的一致性</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。课堂观察可以补充问卷的不足。世界银行的Teach课堂观察工具把批判性思维拆成三项可观察的行为，即教师提出开放性问题、教师布置需要思考的任务、学生在课堂上提出问题或说明推理依据</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。高阶思维评价因此需要把自评、作品和课堂表现结合起来，并分别说明各类证据的含义。</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社会情感能力的内涵与培养</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完成复杂任务还需要学生承担责任、管理情绪、与人协作，社会情感能力因此构成高阶能力的另一部分。经济合作与发展组织（Organisation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。这些能力可以通过学校教育培养。一项涵盖213项校本普适性项目、27万余名学生的元分析显示，系统实施社会情感学习后，学生的社会情感技能、日常行为和学业成绩都有改善，学业成绩平均提高11个百分位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；由学校教职员实施的项目同样有效，做到循序渐进、主动练习、专门聚焦和目标明确（Sequenced, Active, Focused, Explicit, SAFE）的项目效果更好</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学生的测评数据表明，社会情感能力进入中学后不会随年龄自然增长，需要学校有意识地培养。在社会与情感能力调查的第二轮中国测评中，济南市15岁组学生在全部16项社会与情感能力上的得分都低于10岁组，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。基于苏州数据的分报告显示，交往能力受同伴关系、教师和学校因素影响，学校环境可以为这些能力的发展提供条件</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 xml:space="preserve">可见的学习的基本主张与课堂要素</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由引介逐步走向本土转化，面向课堂的应用研究越来越多。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此后扩展到学习科学基础、反馈评价和教师心智框架。近年来，研究重心转向学科教学和项目化学习中的应用。2025年《上海教育》第26期以专题形式刊发14篇文章，其中多篇由高校研究者与中小学教师合作撰写，讨论成功标准、反馈以及表层、深层和迁移学习如何用于学科课堂和项目设计。</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可见的学习的核心主张是让教师看见自身教学对学生学习的影响，其证据基础是对大量元分析的综合。新西兰学者约翰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Hattie）的统计基础可以追溯到对134项元分析、两万余个效应量的综合，这次综合确立了约0.40个标准差的平均效应，作为比较不同教育干预相对效果的参照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这里的效应量指标准化均值差，即用干预组与对照组的平均分之差除以两组的合并标准差，把不同研究的结果换算到同一尺度上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式中，M和s分别为各组的平均分和标准差，n为各组人数。样本较小时d会略为高估，拉里·赫奇斯（Larry V. Hedges）因此引入校正系数J，得到g＝J×d，其中J≈1－3/（4N－9），N为两组总人数，文献中报告的g即属这一类</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。判断效应量的大小通常有三种参照。科恩把0.2、0.5、0.8作为小、中、大效应的经验界线</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哈蒂以各类教育影响的平均效应0.40作为参照，d＝0.40表示干预组的平均水平比对照组高出0.4个标准差，在正态分布下，干预组的平均分高于对照组约66%的学生；对3426个以标准化学业测验为结果的教育随机对照试验的汇总显示，效应量中位数只有0.10，约36%小于0.05</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，同一个0.40放在真实课堂干预中已属较大的效果。</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从教学论角度解读这一理论，强调教师在具体情境中组织教学条件的作用。彭正梅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（2）学习意图与成功标准</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清晰的学习意图和成功标准，能把学生的注意力从完成任务引向达成理解。学习意图说明学生需要理解和掌握什么。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成功标准说明达成目标需要哪些具体证据，并可以分阶段设置。沈勍等以初中议论文写作为例，起步阶段要求学生辨识论点、论据和论证，中间阶段要求分析论证是否成立，最后要求面向真实受众组织表达，学生由此看到自己的理解在逐步加深</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。成功标准还要指向理解的质量。哈蒂以历史单元为例指出，要求学生说明原因、过程和结果之间联系的标准，能把学生从罗列史实引向因果解释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并主张教学要依据学生所处的层次安排任务。表层知识是深层理解的起点，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。他在访谈中提到，许多学校在学生尚未掌握基础概念时就引入自主探究，这是问题本位学习效果偏低的重要原因</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。他把平衡表层与深层学习列为教师发挥影响的关键条件之一（d＝0.71）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依据哈蒂的学习模型讨论了高阶能力的培养。他们认为高阶能力的发展要经历表层学习、深层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（4）反馈与学生自评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反馈要回答学生学到哪里、下一步怎么做，并被学生理解和使用。哈蒂与海伦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。反馈也是双向的，学生的作业、提问和错误同样是教师判断教学效果的信息来源</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。这一点很重要，因为教师单凭感觉难以把握课堂。哈蒂曾介绍，新西兰学者格雷厄姆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Nuthall）多年的课堂观察发现，教师看不到也听不到课堂上约八成的事情，教师向课堂话语转录核对后才发现，自己原以为只讲了两三成时间，实际却占七到八成</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反馈的作用取决于它把学生的注意力引向哪里。阿夫拉罕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DeNisi）的元分析显示，反馈干预总体上能提高表现（d＝0.41），但效果差异很大</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（5）教师的诊断、干预、实施与评估</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依据学生的学习证据诊断、干预和评估，是可见的学习落实到教学中的方式。哈蒂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w:t>
      </w:r>
      <w:r w:rsidRPr="00BF4EC4">
        <w:rPr>
          <w:rFonts w:ascii="Times New Roman" w:eastAsia="宋体" w:hAnsi="Times New Roman" w:cs="Times New Roman"/>
          <w:color w:val="000000"/>
          <w:kern w:val="0"/>
          <w:sz w:val="24"/>
        </w:rPr>
        <w:t xml:space="preserve">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社会情感能力是学生在复杂学习、合作探究和真实问题解决中调动的社会情感能力。课题组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双维七维结构以布卢姆分类修订版、社会与情感能力调查和社会情感学习协作组织框架为理论依据，结合中学生的学习特点形成，用于组织学习目标、编制测评工具和设计课堂观察。</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培育模型依据第二部分的概念界定和上述理论框架建构，以七个构成要素为培养目标，以可见的学习中的学习意图与成功标准、表层—深层—迁移学习模型、反馈三问和教师诊断、干预、实施、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的顺序来自可见的学习的两条主线。一是反馈三问，即学习要到达哪里、当前处于什么位置、下一步如何推进；二是哈蒂的学习模型，即学习由表层知识走向深层理解，再迁移到新情境。把两条主线合在一起，一次完整的高阶学习包括五个环节：明确学习去向，在有挑战的任务中调动已有知识，把思考展开并接受同伴和教师的检验，依据反馈修正，在新情境中再次运用。这五个环节分别对应目标引领、任务驱动、探究展学、反馈迭代和反思迁移，前两环以表层知识的调动为主，探究展学和反馈迭代推动深层理解，反思迁移指向迁移学习。教师的诊断、干预、实施和评估则贯穿五环，依据学生在每个环节留下的证据调整支持。</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可见的学习元分析数据库（Visible Learning MetaX）汇总了各类教育影响因素的元分析结果，英国教育捐赠基金会（Education Endowment Foundation, EEF）的教学工具包（Teaching and Learning Toolkit）以平均额外进步月数呈现干预效果。课题组从中选取与五个环节直接相关的影响因素，用来确定每个环节的设计要求，见表3-2。</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引领回答学习要到达哪里。教师清晰度（0.85）、成功标准（0.64）和适度挑战性目标（0.62）的效应量都较高，自我评判与反思（0.81）也以学生知道好的表现是什么样子为前提，这一环节因此先呈现学习意图和成功标准，再进入任务。任务驱动让学生在有挑战的问题中调动已有知识。项目式学习的效应量为0.88，但只基于6项元分析，问题导向学习（31项元分析，0.53）和探究式教学（0.51）的估计更稳健，说明开放任务的效果取决于指导与支架，任务设计因此要配套支架和阶段检查，科创项目还增设方案要素。探究展学让学生把思考说出来并接受检验。论证／课堂讨论的效应量（0.86）明显高于合作学习（0.56）和协作学习（0.47），这一环节因此要求学生说明理由、回应质疑和修订观点，分组只是形式。</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反馈迭代回答当前处于什么位置。反馈的总体效应量为0.50，指向任务与过程的反馈达到0.73，指向学生自我的反馈只有0.14，这一环节因此要求反馈指向任务和思考过程，并以学生形成新的回答、方案或作品作为完成的标志。反思迁移回答下一步如何推进。迁移策略的效应量为0.89，元认知策略为0.59，EEF工具包对元认知与自我调节的估计为平均额外进步8个月，是工具包所列策略中最高的一项，这一环节因此要求学生提炼方法，并在新条件下再次运用。</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社会情感能力的培养和教师的调节贯穿五环。独立实施的社会情感学习项目对学业成就的效应量只有0.14，EEF的估计为3个月，情绪智力（0.53）和数学／科学焦虑（−0.52）则说明情绪状态与学习表现密切相关，模型因此不另设社会情感课程，而在五环的同一任务中观察和支持责任担当、情绪调节、合作共情与包容创新。教师层面，支架与情境学习（0.50）、提问（0.49）和形成性评价（0.39）支持教师在各环节诊断和干预；教师集体效能的效应量为1.34，高于一般的教师专业发展项目（0.46），这是模型把教师四步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据此，以新课标的素养要求为方向，以反馈三问和学习模型为组织线索，以元分析证据确定各环节的设计要求，构建</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 xml:space="preserve">题。复杂问题解决作为三个维度共同指向的应用情境，策略反思融入相关题项，不另设测量维度。量表的信度与结构效度见下文检验结果。</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80"/>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81"/>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其次，以三层六阶和两境四维把握能力发展的程度。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82"/>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83"/>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GÜNGÖR F, ALTUNBAŞAK İ, AYDIN A T, et al. A second-order meta-analysis on the effects of cooperative learning on students' academic achievement, higher-order thinking, and affective behaviors[J]. Current Psychology, 2026, 45: 552. DOI:10.1007/s12144-025-08943-0.</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NAEEM H. Teaching skills and intellectual virtues with generative AI[J]. Episteme, 2026, 23: 269-286. DOI:10.1017/epi.2025.10089.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[62] RUNCO M A, MAMMADOV S, SUI D, et al. Second-order meta-analysis of the creativity research[J/OL]. Creativity Research Journal, 2026. DOI:10.1080/10400419.2026.2644245.</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0">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1">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2">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6">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2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3">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4">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37">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38">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3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4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41">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42">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4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44">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45">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46">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4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4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4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5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1">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2">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3">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4">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5">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56">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5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5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6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2">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63">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6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65">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6">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7">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8">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70">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1">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2">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76">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77">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78">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79">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80">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81">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82">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83">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