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erif SC" w:hAnsi="Noto Serif SC" w:eastAsia="Noto Serif SC"/>
          <w:sz w:val="36"/>
        </w:rPr>
        <w:t>Noto Serif SC：香港中小学国民教育 字体测试 2026</w:t>
      </w:r>
    </w:p>
    <w:p>
      <w:r>
        <w:rPr>
          <w:rFonts w:ascii="SimSun" w:hAnsi="SimSun" w:eastAsia="SimSun"/>
          <w:sz w:val="36"/>
        </w:rPr>
        <w:t>SimSun：香港中小学国民教育 字体测试 2026</w:t>
      </w:r>
    </w:p>
    <w:p>
      <w:r>
        <w:rPr>
          <w:rFonts w:ascii="Songti SC" w:hAnsi="Songti SC" w:eastAsia="Songti SC"/>
          <w:sz w:val="36"/>
        </w:rPr>
        <w:t>Songti SC：香港中小学国民教育 字体测试 2026</w:t>
      </w:r>
    </w:p>
    <w:p>
      <w:r>
        <w:rPr>
          <w:rFonts w:ascii="PingFang SC" w:hAnsi="PingFang SC" w:eastAsia="PingFang SC"/>
          <w:sz w:val="36"/>
        </w:rPr>
        <w:t>PingFang SC：香港中小学国民教育 字体测试 2026</w:t>
      </w:r>
    </w:p>
    <w:p>
      <w:r>
        <w:rPr>
          <w:rFonts w:ascii="Arial Unicode MS" w:hAnsi="Arial Unicode MS" w:eastAsia="Arial Unicode MS"/>
          <w:sz w:val="36"/>
        </w:rPr>
        <w:t>Arial Unicode MS：香港中小学国民教育 字体测试 2026</w:t>
      </w:r>
    </w:p>
    <w:p>
      <w:r>
        <w:rPr>
          <w:rFonts w:ascii="FangSong_GB2312" w:hAnsi="FangSong_GB2312" w:eastAsia="FangSong_GB2312"/>
          <w:sz w:val="36"/>
        </w:rPr>
        <w:t>FangSong_GB2312：香港中小学国民教育 字体测试 2026</w:t>
      </w:r>
    </w:p>
    <w:p>
      <w:r>
        <w:rPr>
          <w:rFonts w:ascii="STSong" w:hAnsi="STSong" w:eastAsia="STSong"/>
          <w:sz w:val="36"/>
        </w:rPr>
        <w:t>STSong：香港中小学国民教育 字体测试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