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篇作为国内文献分析样本。同时，课题组梳理了国外关于高阶思维、批判性思维和创造力的代表性研究，也梳理了社会情感能力与深度学习、探究式学习与形成性评价方面的研究，分五个方面综述</w:t>
      </w:r>
      <w:r w:rsidRPr="00BF4EC4">
        <w:rPr>
          <w:rFonts w:ascii="Times New Roman" w:eastAsia="宋体" w:hAnsi="Times New Roman" w:cs="Times New Roman"/>
          <w:color w:val="000000"/>
          <w:kern w:val="0"/>
          <w:sz w:val="24"/>
        </w:rPr>
        <w:lastRenderedPageBreak/>
        <w:t xml:space="preserve">。</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。在马克·朗科（Mark A. Runco）等的界定中，创造力是在特定情境中生成既新颖又适切的观念、方案或产品的能力</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。创造力可以通过教学提升。一项综合2000—2024年29项大学生实验与准实验研究、109个效应量的元分析中，创造力训练的平均效应为g＝0.628，两个月以内的中短期训练效果最好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。国内研究中，马淑风和杨向东以新旧知识关系的建立为核心，提出由问题情境分析、新旧知识关系建立、多维信息综合、创新性知识生成以及思维过程监控与调节构成的五成分框架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复杂任务还要求学生管理情绪、与人协作，社会情感能力因此进入高阶能力的讨论范围。经济合作与发展组织（Organisation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。一项涵盖213项校本普适性项目、27万余名学生的元分析显示，系统实施</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社会情感学习后，学生的社会情感技能、日常行为和学业成绩都有改善</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袁振国、黄忠敬等报告的社会与情感能力调查第二轮中国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。在黄忠敬等基于苏州数据的分报告中，交往能力与其他社会与情感能力中等相关，并受同伴关系、家庭背景、教师和学校因素影响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。15岁组得分全面低于10岁组，说明这些能力进入中学后不会随年龄自然增长，需要学校有意识地培养。比较教育研究者也提醒，</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学生完成复杂任务时，既要分析、评价和创造，也要承担责任、调节情绪、与人合作并保持开放。课题组据此从高阶思维能力和高阶社会情感能力两方面界定中学生高阶能力。</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高阶能力不会随知识难度提高而自然形成，它的发展依赖特定的教学条件。第一个条件是把高阶思维列为明确的教学目标。罗伯特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按思维教学与学科内容的关系，把批判性思维课程分为独立设课的通用模式、在学科中显性教授的融入模式、在学科中隐性渗透的沉浸模式，以及独立显性教学与学科融入相结合的混合模式。一项按这一分类编码、综合341个批判性思维教学干预效应量的元分析中，干预的总体效应为g＋＝0.30。</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个条件是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第三个条件是适度的教学指导。针对直接教学优于探究教学的主张，有研究综合受控实验、跨国大规模测评和长周期课程项目三类证据，发现有指导的探究</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在概念理解和知识迁移上总体优于直接讲授，无指导的发现学习效果较差；过程约束、启发提示、过程反馈和适时讲解等指导方式效果相近，先备知识薄弱的学生获益更多；学生尚未掌握必要基础时就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指导也要避免过载。同一研究还提醒，同时提供多种相互重叠的外部支架不会产生叠加效应，反而可能分散注意力、增加无关认知负荷而相互抵消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。学生采取深层还是表层的学习取向，同样受教学与评价信号的影响。约翰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比格斯（John Biggs）观察到，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培育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跨学科通用，还是依附于具体学科，是该领域长期争论的问题。通用论认为，论证分析、假设检验和不确定条件下的判断等思维结构可以经显性训练迁移到新任务；领域论则强调，各学科的证据标准和专业知识决定了推理的实际内容。对国际文凭（International Baccalaureate, IB）课程中知识论（Theory of Knowledge, TOK）课程描述符的分析梳理了这两种立场，也介绍了较新的观点</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，即把迁移看作通用策略、领域知识与情境线索相互配合的结果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一项在澳大利亚开设知识论课程的学校开展的调查覆盖1338名11—12年级学生，12年级</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生的批判性思维得分显著高于11年级。历史、科学等领域采用不同的证据与论证标准，学生需要足够的背景知识才能运用通用的思维策略。四所案例学校的课堂差别很大，同一课程框架既可能形成高度整合的实践，也可能流于随意，课程形式只有与学科知识、教师培训、学校文化和跨学科协作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上海的项目化学习政策同时纳入了学科与跨学科两种取向。学科项目化学习指向本学科的核心素养，跨学科项目化学习则将自然和社会中真实而复杂的问题转化为项目，指向两个及以上学科的核心素养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。落到学校层面，高阶能力培育既需要跨学科共享的能力目标，又需要在各学科和科创项目中形成各自的实践方式，不宜以统一流程机械套用于所有课堂。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评价高阶能力的第一个难题是评分标准能否覆盖构念。对知识论课程评分的分析发现，评分标准</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依赖特定分析术语时，学生可以靠罗列术语、套用反思句式得分，而高中生未必已能比较不同来源的证据并阐明判断标准。迪安娜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从认识论发展的角度解释了这一现象，个体对知识的理解一般从视知识为确定事实的绝对主义，经过视知识为个人意见的多元主义，逐步走向依据证据和标准权衡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。评价设计因此要区分术语使用、一般认知发展和真实的批判性判断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。第二个难题是教师缺乏判断依据。在一项覆盖111个国家960名知识论任课教师和585名协调员的调查中，评估学生批判性思维的进步被视为最难的工作，探究性思维没有标准答案，学生却习惯索要确定的分数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经合组织梳理各国高等教育评价政策与实践的报告主张以形成性评价应对这些难题。报告指出，</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过早给出终结性分数会促使学生追求唯一正确答案而回避智识风险，低利害的多轮练习与修订以及描述性反馈，更有利于学生提出新颖假设并修正论证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前述澳大利亚调查同时使用可观察的思维策略量表和思维倾向量表，前者考查学生在界定问题、分析论证、搜寻对立证据和控制主张范围等方面的策略运用，后者考查求真、开放、探究和判断成熟度等倾向。调查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只依靠一类证据，容易误读能力之间的关系。前述创造力与批判性思维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。学习分析技术扩大了可观察的范围，也有研究者批评，学习软件仪表盘以颜色、进度条给出的直观判断，可能先于并替代教师对学生学习的专业解释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生成式人工智能进入课堂后，它究竟促进还是替代学生思考，取决于怎样使用。一项综合2022年底至2025年8月发表的29项实验与准实验研究、59个效应量的元分析显示，生成式人工智能对高阶思维的总体效应为g＝0.609，对问题解决（g＝0.745）和批判性思维（g＝0.691）的促进较明显，对创造力（g＝0.444）较小，这可能与模型倾向于输出常规答案、学生直接采用后难以产生新颖构想有关。干预周期呈倒U型，8至16周效果最好，周期过短学生尚在适应，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一项系统综述梳理了2022—2025年间关于ChatGPT影响大学生高阶思维的67项实证研究。在同时考察批判性思维和创造性思维的研究中，18项发现二者同步提升，8项发现学生的构想增多而辨别信息、严谨论证的能力停滞或减弱，4项发现二者同时下降，差别主要在于教学中是否嵌入了依据评价量规检查ChatGPT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另一项研究记录了三名研究生用ChatGPT完成统计学作业的多轮对话。把ChatGPT的输出当作待检验假设、反复追问并多方核对的学生，逐一排除了不适用的检验方法，作出了自己的选择；把ChatGPT视为权威的学生，则直接照搬了它给出的代码和步骤</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小学阶段的研究较少，结论也不稳定。一项汇总2020—2025年34项中小学人工智能智能体实验与准实验研究（3042名学生）的元分析中，人工智能对学生认知表现的总体效应为g＝0.404，对高阶思维的效应量为0.540，但研究间差异很大，未达统计显著（p＝0.066），效果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。关于人工智能反馈的研究建议，要求学生把人工智能生成的反馈与同伴意见、教师指导和优秀范例比较，并说明采纳或拒绝每条建议的理由，让技术反馈成为学生判断的素材</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。人工智能能否促进中学生的高阶思维，取决于任务是否要求学生核对、比较并说明理由。</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经历了由引介到转化的过程。引介工作以华东师范大学彭正梅团队为主。该团队是可见的学习系列著作在国内的主要译者，由彭正梅、邓莉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排序，并讨论其对教育学实证化的意义。此后研究扩展到学习科学基础和反馈评价，又延伸到教师心智框架与学校改进，近年还出现了学科教学、项目化学习和家校协同中的应用探索。2025年《上海教育》第26期以专题形式集中刊发14篇文章，内容覆盖理论阐释、课堂教学以及学校与家庭三个层面，反映出高校研究者与中小学合作推进本土转化的趋势。国际上则同时出现了对该理论证据基础的系统批评，以及对其跨国传播方式的反思。以下分七个主题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Hattie）基于大规模教育证据综合提出的理论框架。其统计基础</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这一综合依赖效应量和元分析两种工具。效应量把不同研究的结果换算到同一尺度上，最常用的是标准化均值差。雅各布</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科恩（Jacob Cohen）系统确立了它的计算方法，即用干预组与对照组的平均分之差除以两组的合并标准差</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，见式（1-1）。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（1-1）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式中，M和s分别为各组的平均分和标准差，n为各组人数。d＝0.40表示干预组的平均水平比对照组高出0.4个标准差，在正态分布下，干预组的平均分高于对照组约66%的学生。样本较小时d会略为高估，拉里</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赫奇斯（Larry V. Hedges）因此引入校正系数J，得到g＝J×d，其中J≈1－3/（4N－9），N为两组总人数。文献综述中报告的g即属这一类</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。科恩把0.2、0.5、0.8作为小、中、大效应的经验界线。对3426个以标准化学业测验为结果的教育随机对照试验的汇总显示，效应量中位数只有0.10</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，约36%小于0.05</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元分析（meta-analysis）由吉恩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格拉斯（Gene V. Glass）1976年正式提出，是对同一研究问题的多项研究作定量综合的方法</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。综合时先算出每项研究的效应量及其抽样方差，再按精度加权平均，见式（1-2）。</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θ̄</m:t>
        </m:r>
        <m:r>
          <m:rPr>
            <m:sty m:val="p"/>
          </m:rPr>
          <w:rPr>
            <w:rFonts w:ascii="Cambria Math" w:hAnsi="Cambria Math"/>
          </w:rPr>
          <m:t xml:space="preserve">=</m:t>
        </m:r>
        <m:f>
          <m:num>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y</m:t>
                </m:r>
              </m:e>
              <m:sub>
                <m:r>
                  <w:rPr>
                    <w:rFonts w:ascii="Cambria Math" w:hAnsi="Cambria Math"/>
                  </w:rPr>
                  <m:t xml:space="preserve">i</m:t>
                </m:r>
              </m:sub>
            </m:sSub>
          </m:num>
          <m:den>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den>
        </m:f>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den>
        </m:f>
        <m:r>
          <m:rPr>
            <m:sty m:val="p"/>
          </m:rPr>
          <w:rPr>
            <w:rFonts w:ascii="Cambria Math" w:hAnsi="Cambria Math"/>
          </w:rPr>
          <m:t xml:space="preserve">（固定效应）　或　</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r>
              <m:rPr>
                <m:sty m:val="p"/>
              </m:rP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r>
          <m:rPr>
            <m:sty m:val="p"/>
          </m:rPr>
          <w:rPr>
            <w:rFonts w:ascii="Cambria Math" w:hAnsi="Cambria Math"/>
          </w:rPr>
          <m:t xml:space="preserve">（随机效应）</m:t>
        </m:r>
      </m:oMath>
      <w:r w:rsidRPr="00BF4EC4">
        <w:rPr>
          <w:rFonts w:ascii="Times New Roman" w:eastAsia="宋体" w:hAnsi="Times New Roman" w:cs="Times New Roman"/>
          <w:color w:val="000000"/>
          <w:kern w:val="0"/>
          <w:sz w:val="24"/>
        </w:rPr>
        <w:t xml:space="preserve">　　（1-2）</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y为第i项研究的效应量，v为其抽样方差，w为权重。样本越大、估计越精确的研究，权重越大。固定效应模型假定各研究共享同一个真实效应；随机效应模型允许真实效应随人群和情境变化，τ²即研究间真实效应的方差。研究之间的差异是否超出抽样误差，通常用Q检验和I²统计量判断，I²表示观测到的变异中由真实异质性造成的比例</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。哈蒂的做法又高了一层，他把数以百计的元分析再次汇总，按影响因素给出平均效应量，属于二阶元分析（second-order meta-analysis）。韦克尔等对重复计算和加权方式的批评，针对的正是这一层综合。</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asTTle），以课程锚定的诊断性测评告诉教师学生处在进阶的哪个位置</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。施芳婷沿用哈蒂与克劳斯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。伍绍杨、施芳婷和彭正梅比较了哈蒂的元分析证据与经合组织的国际学生评估项目（Programme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和伍绍杨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对教学的解释建立在学习科学的基础之上。哈蒂与合作者把相关发现概括为九项学习原则。学习精进需要时间、努力和结构化指导，已有知识影响新信息的组织，有限的认知资源要求教学控制负荷，学生能够从社会榜样、直接教学和纠正性反馈中获益，适当的目标、自我效能和良好关系有助于维持投入；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伍绍杨和彭正梅注意到，学习科学内部存在强调情境与知识建构、强调神经与认知机制两种话语，神经机制要经过不同层次证据的转化才能进入课堂。他们综合元分析、心理学和神经科学材料，提炼出神经可塑性、双系统模型、认知负荷、社会脑、动机调控系统和神经普适性六个共通主题，并提醒警惕学习风格、左右脑等被简化和商业包装的概念</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课堂中通过学习意图、成功标准、学业进阶和反馈四个相互关联的要素运行。学习意图明确学生需要理解和掌握的内容。哈蒂注意到，许多学生并不了解任务背后的学习目的，常把篇幅长、字迹工整、没有拼写错误当作优秀的标准。教师之间对学业进阶缺乏共同理解，则是制约学习改进的关键瓶颈</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成功标准规定达到学习目标的具体证据，可以分阶段设置。马梓越、沈勍和伍绍杨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。分阶段的标准让学生看到自己的理解在逐步加深。</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学业进阶描述学生在特定领域由朴素理解走向专家水平的阶梯式发展序列。一项追踪美国共同核心州立标准（Common Core State Standards, CCSS）从问题界定到政策采纳过程的研究，基于111场访谈发现，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学业进阶的证据基础并不均衡，小学低段有经过实证检验的学习轨迹，初高中阶段的进阶序列更多是依据学科逻辑推演出来的假设，需要一线教师逐条比对课堂实际加以校准</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。反馈也是双向的，</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。教师对课堂的感知并不可靠。哈蒂曾介绍，新西兰学者格雷厄姆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在引介反馈模型的同时作了扩展。他们回顾从行为主义、认知主义到建构主义的反馈观，指出学习者的先前知识、信念、情绪以及师生信任影响反馈能否被接受，课堂实施还要统筹反馈的时机、互动结构和媒介。他们也批评不同研究对反馈的界定和功能划分并不一致，影响元分析结果的可比性，创造性任务的质量标准具有开放性，需要通过协商与对话理解成功标准</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李茂森和祝蕾蕾把中小学课堂反馈的困境概括为方式僵化、内容窄化、环节固化和效能弱化，具体表现为频繁判断对错、依赖个人表扬、同伴参与不足以及忽视学生对反馈的运用，并据此构建了包含情境、干预、机制和结果四个要素的课堂反馈模型</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。温英贝和伍绍杨关注反馈的接受与行动，主张以信任关系、欢迎错误的课堂文化以及围绕优秀作品和成功标准的共同讨论，把反馈组织为师生之间的双向对话，使评语真正进入学生的修订行动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75"/>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陈丽莎、翁绮睿和彭正梅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。在杭州闻涛中学，高嘉诚和梁锦芳记录了师生共同制订和优化成功标准的做法，生长式评价量表成为学生的学习支架，教师的元认知示范与学校领导组织的协作式专业对话共同支持了学生自评能力的发展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施芳婷和伍绍杨把哈蒂与齐雷尔后来扩展的十个心智框架同《学记》中的教师信条作了比较。二者在教师专业责任、合作、教学时机和学生自主发展方面有共识，前者更突出学习证据与评价反馈，后者更重视社会责任以及学生离开教师后的独立性。作者据此把根据学生准备程度、任务难度和情境变化选择恰当支持的教育机敏视为卓越教师的核心</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。林心悦从心智框架推导教师的专业品质，认为批判性思维使教师能够检验自身方法、理解他者视角并调整决策，教学热忱经过长期反思与实践，会转化为捕捉学生状态、把握教学时机的教育直觉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高妍、缪秋英和邓莉把哈蒂及其合作者提出的诊断—干预—实施—评估模式（Diagnosis,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教师的专业判断需要学校组织的支持。斯堪的纳维亚的学校改进实践把可见的学习与集体能力建设结合，主张</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。一项针对英格兰79所小学696名教师和学校领导者的调查显示，学校</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对研究价值的认同和教师之间的非正式分享都处在高位，薄弱环节在于评价干预成效、反思教学背后的假设和搭建正式的研讨论坛</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。对澳大利亚906名教育者</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的调查和访谈则显示，学校在日常排课中为教师保留专门的研讨时间，教师才能在互信的氛围中提出疑问、研读研究并结合班级学情设计教学尝试，研究证据也更可能真正进入课堂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形式上的教研活动并不必然带来学生学习的改善。在英国教育捐赠基金会（Education Endowment Foundation, EEF）前八年资助的随机对照试验中，课例研究项目的教师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对协作的满意度很高，学生的数学和阅读统考成绩却没有显著提升，密集的研讨还挤占了备课和个别辅导时间</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。前述英格兰调查则建议把课例研究作为教师共同检验教学方案的正式机制，使教师自身的探究与外部研究证据结合起来</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领导者承担组织证据使用的责任。陈添认为，领导者首先应成为影响评估者，持续追问管理决策如何改变教师实践和学生学习，并从以证据评价改革、通过多维对话形成集体效能、设置明确且有挑战性的期望、建设目标与反馈清晰可见的学校文化四个方面转变领导方式</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可见的学习的影响也延伸到家庭。陈丽莎和伍绍杨针对中国家庭中常见的作业焦虑和过度干预，建议父母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近年来，国内研究开始把可见的学习转化为学科教学和项目化学习的具体设计。石修银针对语文课堂目标模糊和浅层学习等问题，提出从设计、过程和评价三个维度重构教学，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。邱惠芬依据初中化学课程标准构建了由目标、知识、实践和评价组成的学习分析框架，以酸性土壤改良为例，用方案设计、实验操作、定量分析和评价量表收集学习证据，诊断知识理解与实际表现之间的差距</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马梓越等把表层、深度和迁移学习模型具体化为语文议论文、数学函数和科学生态系统的教学设计，强调教师要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项目化学习是另一类重要的应用场域。何光友、沈勍和伍绍杨结合巴克教育研究所（Buck Institute for Education, BIE）提出的项目式学习金标准，把项目式学习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沈勍介绍了七宝中学附属鑫都实验中学的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。这些研究为可见的学习的本土转化提供了丰富案例，但多聚焦于单一学科、单一环节或单个项目，较少关注高阶能力的整体结构及其在多个场域中的持续发展。</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可见的学习在国际上影响广泛，批评也一直存在。第一类批评针对用效应量给教学因素排序的做法。新西兰的一批教育学者指出，</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0.40的关节点缺乏充分依据，简单平均会掩盖重要差异，家庭作业的总体效应量为0.29，小学生只有0.15，高中生却达到0.64</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。克里斯托夫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韦克尔（Christof Wecker）等系统检验了二级元分析的方法，原始研究被重复计算、加权方式不一致等问题较为普遍，在一个案例中按正确方法重算后，基于网络的学习的效应量由0.59降至0.23，排名由第26位降至第98位</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。还有统计学者用数值示例说明，</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。埃瓦尔德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特哈特（Ewald Terhart）也认为，层层汇总的元分析会使原始研究中的具体信息丢失或被扭曲</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第二类批评针对核心概念的边界。有研究逐一细读了支撑反馈效应的五项主要元分析，这五项研究占反馈样本的92%，其中只有克鲁格（Avraham N. Kluger）和德尼西（Angelo DeNisi）1996年的元分析研究的是与哈蒂定义一致的反馈干预，其平均效应量仅为0.38，约38%的反馈干预反而降低了学生表现，其余几项涉及的则是奖励强化、教师亲和力等不同现象</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 xml:space="preserve">。也有学者认为，</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 xml:space="preserve">。反馈要具体指向任务和改进方法，并被学生理解和使用，才能发挥作用。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第三类批评针对理论在实践中的使用方式和适用范围。有学者担心，</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行政部门若把可见的学习变成以高效应量方法清单考核教师的工具，会削弱教师依据具体情境作出专业判断的能力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 xml:space="preserve">。一项俄罗斯研究检验了哈蒂综合的133项效应量，认为其离散程度过高，原始元分析又主要来自英语国家，直接搬到俄罗斯这样的非英语国家和不同社会文化环境存在适应性问题</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 xml:space="preserve">。另一项研究访谈了</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英格兰、苏格兰和德国汉堡的9位校长和高级管理者，苏格兰校长面对此类流行理念时，会组织教师在本校课堂中开展实践者探究，检验其对本校学生是否适切，德国部分学校则把相关著作作为教师小组研读和讨论的参考</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 xml:space="preserve">。</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界对这一理论同样有所保留。伍绍杨认为，可见的学习讲述的仍是一个未完成的故事，其研究主要来自发达英语国家，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 xml:space="preserve">。彭正梅则强调，教育受到情境、互动和历史变化的影响，原始研究的质量和学业成就的界定都限制了综合结果的解释力，在肯定教育科学化价值的同时仍需保持方法的多样性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 xml:space="preserve">。</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进一步把视角转向理论的跨国传播，归纳出英语国家的政策嵌入、德国日本及北欧的学术对话转化、北美的商业驱动扩散三种模式。理论在不同场域中被转化为政策语言、专业工具和服务产品，相对稳定的逻辑是满足当代教育治理对科学合法性的需求，掌握证据生产与传播渠道的行动者可能因此获得更大的话语权，教师的经验智慧和地方知识则面临被边缘化的风险</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 xml:space="preserve">。伍绍杨在另一篇文章中提醒，复杂知识在传播中可能被简化为教学公式，评价可能被理解为监控工具，理论的科学性需要与教师的专业自主和创造性参与结合，才能支持真正的教育改进</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 xml:space="preserve">。</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 xml:space="preserve">作为判断成效的标准，主要采用该理论的几项教学主张，即学习意图与成功标准、学业进阶的共同语言、反馈三问，以及教师依据学生学习表现诊断、干预和评估，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伍绍杨和邓莉依据哈蒂的学习模型讨论了高阶能力的培养。他们认为高阶能力的发展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 xml:space="preserve">。沈勍和伍绍杨结合安德斯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艾利克森（K.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 xml:space="preserve">。学习进阶、有意对齐和反馈支架，是可见的学习连接高阶能力培养的关键概念。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目标需要被具体描述为学生能理解、教师能观察的表现，批判性思维的评价只有完整覆盖其技能与倾向，才能真正支持其发展，这与可见的学习关于明确学习意图和成功标准的主张一致。结构化对话、合作中的相互解释与质疑以及以图形呈现思路，都能让学生的思考过程外显，这正是可见的学习所说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低利害、多轮修订和描述性的形成性反馈有利于批判性思维和创造力的发展，要求学生比较多源反馈并说明采纳理由，有助于他们在人工智能环境中保持独立判断，这些发现与反馈三问和反馈文化的主张相互印证。高阶能力研究还反复显示，同一种教学方法在不同学生、任务和使用周期中效果差异显著，教师因此需要依据学生的学习证据诊断、干预和评估。</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 xml:space="preserve">。苏格兰学校以实践者探究检验外部理念的经验也说明，学校吸收外部理论需要经过本校课堂证据的检验和校准</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 xml:space="preserve">。课题组因此以教研组行动研究的方式生成和修正培育模型。</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现有测评研究揭示了社会情感能力随年龄和情境变化的特点，但适用于课堂观察的进阶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11"/>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12"/>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13"/>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14"/>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15"/>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16"/>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7"/>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高阶思维的测评需要明确认知过程及其在学习任务中的表现。布卢姆教育目标分类修订版将认知过程划分为记忆、理解、应用、分析、评价和创造六个层次，测评据此区分学习任务的认知要求。</w:t>
      </w:r>
      <w:r w:rsidRPr="00BF4EC4">
        <w:rPr>
          <w:rStyle w:val="a8"/>
          <w:rFonts w:ascii="Times New Roman" w:eastAsia="宋体" w:hAnsi="Times New Roman" w:cs="Times New Roman"/>
          <w:kern w:val="0"/>
          <w:sz w:val="24"/>
        </w:rPr>
        <w:footnoteReference w:id="118"/>
      </w:r>
      <w:r w:rsidRPr="00BF4EC4">
        <w:rPr>
          <w:rFonts w:ascii="Times New Roman" w:eastAsia="宋体" w:hAnsi="Times New Roman" w:cs="Times New Roman"/>
          <w:kern w:val="0"/>
          <w:sz w:val="24"/>
        </w:rPr>
        <w:t xml:space="preserve">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9"/>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w:t>
      </w:r>
      <w:r w:rsidRPr="00BF4EC4">
        <w:rPr>
          <w:rStyle w:val="a8"/>
          <w:rFonts w:ascii="Times New Roman" w:eastAsia="宋体" w:hAnsi="Times New Roman" w:cs="Times New Roman"/>
          <w:kern w:val="0"/>
          <w:sz w:val="24"/>
        </w:rPr>
        <w:footnoteReference w:id="120"/>
      </w:r>
      <w:r w:rsidRPr="00BF4EC4">
        <w:rPr>
          <w:rFonts w:ascii="Times New Roman" w:eastAsia="宋体" w:hAnsi="Times New Roman" w:cs="Times New Roman"/>
          <w:kern w:val="0"/>
          <w:sz w:val="24"/>
        </w:rPr>
        <w:t xml:space="preserve">测评参照国内基于社会与情感能力调查开展的测评框架</w:t>
      </w:r>
      <w:r w:rsidRPr="00BF4EC4">
        <w:rPr>
          <w:rStyle w:val="a8"/>
          <w:rFonts w:ascii="Times New Roman" w:eastAsia="宋体" w:hAnsi="Times New Roman" w:cs="Times New Roman"/>
          <w:kern w:val="0"/>
          <w:sz w:val="24"/>
        </w:rPr>
        <w:footnoteReference w:id="121"/>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22"/>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3-7），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过程维度把教师活动与学生实践联系起来，依据证据反馈推动学习深化（图3-8），将五环学习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图3-21</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-47</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模拟听证会组织方案质询。同伴提出再利用用途需要具体，教师提示明确缩短淋浴的时间；学生在修改清单中补入浇花用途、占比说明和时间建议。图3-24</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-22</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评价上，机械臂案例的图书归架任务单留有另一小组的路径草图及约束说明（图3-25右侧），为考察新情境中的方法运用提供了更具体的材料，可用于分析学生是否关注到新的空间约束。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图3-27</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日的记录将多障碍物干扰作为调试问题，记载了时序振动、算法预测及调试显示等调整，并报告了修改前后的部分结果。表3-49</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表3-49</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23"/>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24"/>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-49</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哈蒂 J. 可见的学习：对800多项关于学业成就的元分析的综合报告[M]. 彭正梅, 邓莉, 高原, 等译. 北京: 教育科学出版社, 2015.</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[38]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GLASS G V. Primary, secondary, and meta-analysis of research[J]. Educational Researcher, 1976, 5(10): 3-8.</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HATTIE J, TIMPERLEY H. The power of feedback[J]. Review of Educational Research, 2007, 77(1): 81-112.</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KRAFT M A. The effect-size benchmark that matters most: Education interventions often fail[J]. Educational Researcher, 2023, 52(3): 183-187. DOI:10.3102/0013189X231155154.</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[75]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[81]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[86]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[91]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[92]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[93]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[94]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[95]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53">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5">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6">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GLASS G V. Primary, secondary, and meta-analysis of research[J]. Educational Researcher, 1976, 5(10): 3-8.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0">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1">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2">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3">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4">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65">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6">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7">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68">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9">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70">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71">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2">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73">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74">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75">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76">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7">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8">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9">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80">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81">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82">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83">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4">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85">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86">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7">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8">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9">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90">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91">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92">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93">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94">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95">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96">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7">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8">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9">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100">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101">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102">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104">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105">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106">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8">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9">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10">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11">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12">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13">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4">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15">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16">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7">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8">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9">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20">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21">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22">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23">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24">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