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该框架是依据学校实际形成的操作性</w:t>
      </w:r>
      <w:r w:rsidRPr="00BF4EC4">
        <w:rPr>
          <w:rFonts w:ascii="Times New Roman" w:eastAsia="宋体" w:hAnsi="Times New Roman" w:cs="Times New Roman"/>
          <w:color w:val="000000"/>
          <w:kern w:val="0"/>
          <w:sz w:val="24"/>
        </w:rPr>
        <w:lastRenderedPageBreak/>
        <w:t>结构，其合理性还需要通过工具检验和实践证据不断修正。</w:t>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篇作为国内文献分析样本。综述围绕高阶能力与高阶思维、社会情感能力和可见的学习三个核心概念展开，先梳理已有界定和研究结论，再据此界定中学生高阶能力的内涵与构成要素。</w:t>
      </w:r>
      <w:r w:rsidRPr="00BF4EC4">
        <w:rPr>
          <w:rFonts w:ascii="Times New Roman" w:eastAsia="宋体" w:hAnsi="Times New Roman" w:cs="Times New Roman"/>
          <w:color w:val="000000"/>
          <w:kern w:val="0"/>
          <w:sz w:val="24"/>
        </w:rPr>
        <w:lastRenderedPageBreak/>
        <w:t xml:space="preserve"/>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8" w:name="_Toc244008884"/>
      <w:r w:rsidRPr="00BF4EC4">
        <w:rPr>
          <w:rFonts w:ascii="Times New Roman" w:eastAsia="宋体" w:hAnsi="Times New Roman" w:cs="Times New Roman"/>
          <w:b/>
          <w:bCs/>
          <w:color w:val="000000"/>
          <w:sz w:val="24"/>
        </w:rPr>
        <w:t xml:space="preserve">高阶思维的内涵与构成</w:t>
      </w:r>
      <w:bookmarkEnd w:id="8"/>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高阶思维研究多以本杰明</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布卢姆（Benjamin Bloom）教育目标分类的修订版为起点。洛林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二维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。分析、评价和创造三个较高层次，也就成了高阶思维最常见的操作性含义。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层级划分回答了思维的高低，高阶思维如何展开还要看过程。劳伦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瑞斯尼克（Lauren B. Resnick）1987年把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批判性思维与创造力</w:t>
      </w:r>
    </w:p>
    <w:p w14:paraId="676857E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五个成分中，批判性思维和创造力的研究最多。彼得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Facione）1990年主持的德尔菲专家共识，把批判性思维界定为有目的、能自我调节的判断，既包括解释、分析、评价、推论、说明和自我调节六项技能，也包括求真、开放和公正等思维倾向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。在马克·朗科（Mark A. Runco）等的界定中，创造力是在特定情境中生成既新颖又适切的观念、方案或产品的能力</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。创造力可以通过教学提升。一项综合2000—2024年29项大学生实验与准实验研究、109个效应量的元分析中，创造力训练的平均效应为g＝0.628，两个月以内的中短期训练效果最好</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。国内有研究以新旧知识关系的建立为核心，提出由问题情境分析、新旧知识关系建立、多维信息综合、创新性知识生成以及思维过程监控与调节构成的五成分框架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批判性思维也不只是一组技能。罗伯特·恩尼斯（Robert Ennis）把它界定为</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决定相信什么或做什么时所进行的合理、反思性思维，后续研究普遍认为，完整的批判性思维包括技能、倾向以及使判断成立的领域知识，同一个评价动作只有放回具体学科和情境，才能判断其质量</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Kuhn）等的研究进一步说明，学生是否愿意用证据比较不同观点，取决于其认识论理解，只有认识到知识虽由人建构、却可以依据证据区分优劣，学生才会主动作出批判性判断</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。一项综合26项干预研究、4373名学生的元分析发现，认识论认知干预对论证表现的效应达d＝1.047，中小学学生的获益（d＝0.606）约为大学生（d＝0.309）的两倍，中学阶段正是培养评价能力的有利时期</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创造力与批判性思维并不是相互独立的两种能力。一项汇总29项研究、51个相关系数（N＝12548）的元分析显示，学生的创造力与批判性思维呈中等正相关（r＝0.386）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首先要把它列为明确的教学目标。恩尼斯按思维教学与学科内容的关系，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其次要让思考外显并接受同伴检验。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再次是给予适度的教学指导。针对直接教学优于探究教学的主张，有研究综合受控实验、跨国大规模测评和长周期课程项目三类证据，发现有指导的探究在概念理解和知识迁移上总体优于直接讲授，无指导的发现学习效果较差。过程约束、启发提示、过程反馈和适时讲解等指导方式效果相近，先备知识薄弱的学生获益更多；学生尚未掌握必要基础时就开展开放探究，容易引入无关信息并保留推理错误</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。指导也要避免过载，同时提供多种相互重叠的外部支架不会产生叠加效应，反而可能分散注意力、增加无关认知负荷</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比格斯（John Biggs）观察到，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的测评通常从技能和倾向两方面展开。一项在澳大利亚开设知识论课程的学校开展的调查（1338名11—12年级学生）同时使用可观察的思维策略量表和思维倾向量表，前者考查学生在界定问题、分析论证、搜寻对立证据和控制主张范围等方面的策略运用，后者考查求真、开放、探究和判断成熟度等倾向。调查还发现，同一课程框架在不同学校的实施质量差异很大，测评结果需要放回课程实施情况中解释</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评价高阶思维还要判断学生表现的结构水平。比格斯提出的学习结果结构分类（Structure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SOLO）按学生回答的结构复杂程度，把理解分为前结构、单点结构、多点结构、关联结构和拓展抽象五个层次，后两个层次对应整合多方面信息并迁移到新问题的能力，可作为观察思维质量的表现性参照</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只依靠一类证据，容易误读能力之间的关系。前述创造力与批判性思维的元分析中，创造力与批判性思维都用自陈量表测量时，二者相关为r＝0.509，都用任务表现测量时为r＝0.317，共享测量方法会放大构念之间的观察相关</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高阶能力评价因此需要综合问卷、作品、课堂表现和教师判断等多种证据，并明确每类证据能支持哪些推断。</w:t>
      </w:r>
      <w:r w:rsidRPr="00BF4EC4">
        <w:rPr>
          <w:rFonts w:ascii="Times New Roman" w:eastAsia="宋体" w:hAnsi="Times New Roman" w:cs="Times New Roman"/>
          <w:color w:val="000000"/>
          <w:kern w:val="0"/>
          <w:sz w:val="24"/>
        </w:rPr>
        <w:t xml:space="preserve">。课堂观察提供了另一条路径。世界银行的Teach课堂观察工具把批判性思维拆成三项可观察的行为，即教师提出开放性问题、教师布置需要思考的任务、学生在课堂上表现出批判性思维，如提出问题或说明推理依据，并规定这一要素不得标记为不适用</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评价高阶思维时，技能与倾向需要同时考查，自评结果与任务表现需要分开解释。</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社会情感能力的内涵与培养</w:t>
      </w:r>
    </w:p>
    <w:p w14:paraId="27B83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复杂任务还要求学生管理情绪、与人协作，社会情感能力因此进入高阶能力的讨论范围。经济合作与发展组织（Organisation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。一项涵盖213项校本普适性项目、27万余名学生的元分析显示，系统实施</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这项元分析还发现，由学校教职员实施的项目同样有效；做到循序渐进、主动练习、专门聚焦和目标明确（Sequenced, Active, Focused, Explicit, SAFE）的项目，效果好于未做到的项目</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社会与情感能力调查的第二轮中国测评中，济南市10岁组学生在全部16项社会与情感能力上的得分都高于15岁组；15岁组女生的责任感、共情和包容度高于男生；与学业焦虑关系最密切的是情绪控制和抗压力，成就动机、毅力和好奇心则与语文、数学和艺术成绩相关</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。基于苏州数据的分报告显示，交往能力与其他社会与情感能力中等相关，并受同伴关系、家庭背景、教师和学校因素影响</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。15岁组得分全面低于10岁组，说明这些能力进入中学后不会随年龄自然增长，需要学校有意识地培养。比较教育研究者也提醒，</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把深受文化影响的共情、情绪等品质换算成统一分数作跨国比较，有标准化和简化的风险</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14:paraId="246B8155"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9" w:name="_Toc244008885"/>
      <w:r w:rsidRPr="00BF4EC4">
        <w:rPr>
          <w:rFonts w:ascii="Times New Roman" w:eastAsia="宋体" w:hAnsi="Times New Roman" w:cs="Times New Roman"/>
          <w:b/>
          <w:bCs/>
          <w:color w:val="000000"/>
          <w:sz w:val="24"/>
        </w:rPr>
        <w:t xml:space="preserve">可见的学习的基本主张与课堂要素</w:t>
      </w:r>
      <w:bookmarkEnd w:id="9"/>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经历了由引介到转化的过程。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排序，并讨论其对教育学实证化的意义。此后研究扩展到学习科学基础和反馈评价，又延伸到教师心智框架与学校改进，近年还出现了学科教学、项目化学习和家校协同中的应用探索。2025年《上海教育》第26期以专题形式集中刊发14篇文章，内容覆盖理论阐释、课堂教学以及学校与家庭三个层面，反映出高校研究者与中小学合作推进本土转化的趋势。</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可见的学习是新西兰学者约翰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哈蒂（John Hattie）基于大规模教育证据综合提出的理论框架。其统计基础</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可以追溯到1992年对134项元分析、两万余个效应量的综合，这次综合确立了约0.40个标准差的平均效应，作为比较不同教育干预相对效果的参照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这一综合依赖效应量和元分析两种工具。效应量把不同研究的结果换算到同一尺度上，最常用的是标准化均值差。雅各布</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科恩（Jacob Cohen）系统确立了它的计算方法，即用干预组与对照组的平均分之差除以两组的合并标准差</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式中，M和s分别为各组的平均分和标准差，n为各组人数。d＝0.40表示干预组的平均水平比对照组高出0.4个标准差，在正态分布下，干预组的平均分高于对照组约66%的学生。样本较小时d会略为高估，拉里</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赫奇斯（Larry V. Hedges）因此引入校正系数J，得到g＝J×d，其中J≈1－3/（4N－9），N为两组总人数。文献综述中报告的g即属这一类</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。科恩把0.2、0.5、0.8作为小、中、大效应的经验界线。对3426个以标准化学业测验为结果的教育随机对照试验的汇总显示，效应量中位数只有0.10</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，约36%小于0.05</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，同一个0.40放在真实课堂干预中已属较大的效果。</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元分析（meta-analysis）由吉恩</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格拉斯（Gene V. Glass）1976年正式提出，是对同一研究问题的多项研究作定量综合的方法</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。综合时先算出每项研究的效应量及其抽样方差，再按精度加权平均，见式（2-2）。</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θ̄</m:t>
        </m:r>
        <m:r>
          <m:rPr>
            <m:sty m:val="p"/>
          </m:rPr>
          <w:rPr>
            <w:rFonts w:ascii="Cambria Math" w:hAnsi="Cambria Math"/>
          </w:rPr>
          <m:t xml:space="preserve">=</m:t>
        </m:r>
        <m:f>
          <m:num>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sSub>
              <m:e>
                <m:r>
                  <w:rPr>
                    <w:rFonts w:ascii="Cambria Math" w:hAnsi="Cambria Math"/>
                  </w:rPr>
                  <m:t xml:space="preserve">y</m:t>
                </m:r>
              </m:e>
              <m:sub>
                <m:r>
                  <w:rPr>
                    <w:rFonts w:ascii="Cambria Math" w:hAnsi="Cambria Math"/>
                  </w:rPr>
                  <m:t xml:space="preserve">i</m:t>
                </m:r>
              </m:sub>
            </m:sSub>
          </m:num>
          <m:den>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den>
        </m:f>
        <m:r>
          <m:rPr>
            <m:sty m:val="p"/>
          </m:rPr>
          <w:rPr>
            <w:rFonts w:ascii="Cambria Math" w:hAnsi="Cambria Math"/>
          </w:rPr>
          <m:t xml:space="preserve">，</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den>
        </m:f>
        <m:r>
          <m:rPr>
            <m:sty m:val="p"/>
          </m:rPr>
          <w:rPr>
            <w:rFonts w:ascii="Cambria Math" w:hAnsi="Cambria Math"/>
          </w:rPr>
          <m:t xml:space="preserve">（固定效应）　或　</m:t>
        </m:r>
        <m:sSub>
          <m:e>
            <m:r>
              <w:rPr>
                <w:rFonts w:ascii="Cambria Math" w:hAnsi="Cambria Math"/>
              </w:rPr>
              <m:t xml:space="preserve">w</m:t>
            </m:r>
          </m:e>
          <m:sub>
            <m:r>
              <w:rPr>
                <w:rFonts w:ascii="Cambria Math" w:hAnsi="Cambria Math"/>
              </w:rPr>
              <m:t xml:space="preserve">i</m:t>
            </m:r>
          </m:sub>
        </m:sSub>
        <m:r>
          <m:rPr>
            <m:sty m:val="p"/>
          </m:rPr>
          <w:rPr>
            <w:rFonts w:ascii="Cambria Math" w:hAnsi="Cambria Math"/>
          </w:rPr>
          <m:t xml:space="preserve">=</m:t>
        </m:r>
        <m:f>
          <m:num>
            <m:r>
              <m:rPr>
                <m:sty m:val="p"/>
              </m:rPr>
              <w:rPr>
                <w:rFonts w:ascii="Cambria Math" w:hAnsi="Cambria Math"/>
              </w:rPr>
              <m:t xml:space="preserve">1</m:t>
            </m:r>
          </m:num>
          <m:den>
            <m:sSub>
              <m:e>
                <m:r>
                  <w:rPr>
                    <w:rFonts w:ascii="Cambria Math" w:hAnsi="Cambria Math"/>
                  </w:rPr>
                  <m:t xml:space="preserve">v</m:t>
                </m:r>
              </m:e>
              <m:sub>
                <m:r>
                  <w:rPr>
                    <w:rFonts w:ascii="Cambria Math" w:hAnsi="Cambria Math"/>
                  </w:rPr>
                  <m:t xml:space="preserve">i</m:t>
                </m:r>
              </m:sub>
            </m:sSub>
            <m:r>
              <m:rPr>
                <m:sty m:val="p"/>
              </m:rPr>
              <w:rPr>
                <w:rFonts w:ascii="Cambria Math" w:hAnsi="Cambria Math"/>
              </w:rPr>
              <m:t xml:space="preserve">+</m:t>
            </m:r>
            <m:sSup>
              <m:e>
                <m:r>
                  <w:rPr>
                    <w:rFonts w:ascii="Cambria Math" w:hAnsi="Cambria Math"/>
                  </w:rPr>
                  <m:t xml:space="preserve">τ</m:t>
                </m:r>
              </m:e>
              <m:sup>
                <m:r>
                  <w:rPr>
                    <w:rFonts w:ascii="Cambria Math" w:hAnsi="Cambria Math"/>
                  </w:rPr>
                  <m:t xml:space="preserve">2</m:t>
                </m:r>
              </m:sup>
            </m:sSup>
          </m:den>
        </m:f>
        <m:r>
          <m:rPr>
            <m:sty m:val="p"/>
          </m:rPr>
          <w:rPr>
            <w:rFonts w:ascii="Cambria Math" w:hAnsi="Cambria Math"/>
          </w:rPr>
          <m:t xml:space="preserve">（随机效应）</m:t>
        </m:r>
      </m:oMath>
      <w:r w:rsidRPr="00BF4EC4">
        <w:rPr>
          <w:rFonts w:ascii="Times New Roman" w:eastAsia="宋体" w:hAnsi="Times New Roman" w:cs="Times New Roman"/>
          <w:color w:val="000000"/>
          <w:kern w:val="0"/>
          <w:sz w:val="24"/>
        </w:rPr>
        <w:t xml:space="preserve">　　（2-2）</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y为第i项研究的效应量，v为其抽样方差，w为权重。样本越大、估计越精确的研究，权重越大。固定效应模型假定各研究共享同一个真实效应；随机效应模型允许真实效应随人群和情境变化，τ²即研究间真实效应的方差。研究之间的差异是否超出抽样误差，通常用Q检验和I²统计量判断，I²表示观测到的变异中由真实异质性造成的比例</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。哈蒂的做法又高了一层，他把数以百计的元分析再次汇总，按影响因素给出平均效应量，属于二阶元分析（second-order meta-analysis）。这一层综合也是争议最集中的地方，克里斯托夫·韦克尔（Christof Wecker）等发现，原始研究被重复计算、加权方式不一致等问题较为普遍，按正确方法重算后，部分因素的效应量和排名变化很大</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较早从教学论角度解读这一理论的是彭正梅。他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（2）学习意图与成功标准</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学习意图明确学生需要理解和掌握的内容。哈蒂注意到，许多学生并不了解任务背后的学习目的，常把篇幅长、字迹工整、没有拼写错误当作优秀的标准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成功标准规定达到学习目标的具体证据，可以分阶段设置。沈勍等以初中议论文写作为例说明这种分段，起步阶段要求学生辨识论点、论据和论证，中间阶段要求分析论证是否成立，最后要求面向真实受众组织表达</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。分阶段的标准让学生看到自己的理解在逐步加深。</w:t>
      </w:r>
      <w:r w:rsidRPr="00BF4EC4">
        <w:rPr>
          <w:rFonts w:ascii="Times New Roman" w:eastAsia="宋体" w:hAnsi="Times New Roman" w:cs="Times New Roman"/>
          <w:color w:val="000000"/>
          <w:kern w:val="0"/>
          <w:sz w:val="24"/>
        </w:rPr>
        <w:t xml:space="preserve">成功标准还要指向理解的质量。哈蒂以历史单元为例指出，要求学生说明原因、过程和结果之间联系的标准，能把学生从罗列史实引向因果解释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。学习意图也可能被用偏。约翰逊（G. R. Johnson）和詹岑（M. D. Janzen）发现，澳大利亚维多利亚州一些学校把课前在白板上写出学习意图列为巡课检查项目，未写即扣分，学习意图由此变成应付检查的形式</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（3）表层学习、深层学习与迁移学习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表层知识是深层理解的起点，记忆也不等于机械学习，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。他在访谈中提到，许多推行问题本位学习的学校在学生尚未掌握基础概念时就引入自主探究，这是该方法效应量偏低的重要原因</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。他也承认，学校的测量和课堂结果多停留在表层，需要研究三类学习之间何时转换、如何平衡，并把平衡表层与深层学习列为教师发挥影响的关键条件之一（d＝0.71）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依据哈蒂的学习模型讨论了高阶能力的培养。他们认为高阶能力的发展要经历表层学习、深层学习和迁移学习，基础知识和技能经刻意练习达到自动化，有助于减少认知负荷，但停留于训练和考试会使学生难以进入深度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一顺序也不宜机械理解。关于中国学习者的跨文化研究发现，背诵和重复常被西方观察者归为表层学习，但它们可以是形成深层理解的第一步，英国学生多用重复检查是否记住，中国学生则用重复加深印象、为理解打基础。判断学生处在哪一层学习，需要看外显行为之后是否发生了组织、应用和反思</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w:t>
      </w:r>
    </w:p>
    <w:p w14:paraId="7543C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（4）反馈与学生自评</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。反馈也是双向的，</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学生的作业、提问和错误同样是教师判断教学效果的信息来源，学校可以由此建设持续追问下一步方向的反馈文化</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。教师对课堂的感知并不可靠。哈蒂曾介绍，新西兰学者格雷厄姆</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纳托尔（Graham Nuthall）多年的课堂观察发现，教师看不到也听不到课堂上约八成的事情。他的团队向七八千名教师展示其课堂话语转录后，教师原以为自己只讲了两三成时间，实际却占七到八成</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反馈并不总是有益。阿夫拉罕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DeNisi）的元分析显示，反馈干预总体上能提高表现（d＝0.41），但超过三分之一的干预反而降低了表现</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w:t>
      </w:r>
    </w:p>
    <w:p w14:paraId="5687AC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（5）教师的诊断、干预、实施与评估</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在课堂中，教师按照诊断学生起点、实施针对性干预、评估干预效果的循环持续调整教学</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同时，可见的学习自身的效应量证据存在较大争议，学校实践需要以本校课堂中的真实证据为依据</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w:t>
      </w:r>
      <w:r w:rsidRPr="00BF4EC4">
        <w:rPr>
          <w:rFonts w:ascii="Times New Roman" w:eastAsia="宋体" w:hAnsi="Times New Roman" w:cs="Times New Roman"/>
          <w:color w:val="000000"/>
          <w:kern w:val="0"/>
          <w:sz w:val="24"/>
        </w:rPr>
        <w:t xml:space="preserve">一所学校在多个学科和多种学习场域中持续开展、多轮改进的研究也较为缺乏。</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目前没有国际统一的定义和固定结构。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题解决、迁移和元认知不另设维度，而作为三个维度共同指向的应用情境和调节过程融入其中。观察者还借助学习结果结构分类判断学生回答和作品的结构水平，即学生是只提到了一个要点、列举了多个彼此孤立的要点，还是能够把多个要点联系起来并迁移到新问题。</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社会情感能力不是经合组织、社会情感学习协作组织等国际组织已有的标准概念。它聚焦那些直接参与复杂学习、合作探究和真实问题解决的社会情感能力，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双维七维结构是在已有理论框架基础上，结合研究对象和学校实践形成的操作性结构。它用于组织学习目标、编制测评工具和设计课堂观察，其合理性通过后续的工具检验和实践证据加以考察，不预先认定七个维度是七个独立、稳定的测量因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培育模型依据第二部分的概念界定和上述理论框架建构，以七个构成要素为培养目标，以可见的学习中的学习意图与成功标准、反馈三问和教师诊断、干预、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模型各要素的选择还参照了大规模元分析证据。可见的学习元分析数据库（</w:t>
      </w:r>
      <w:r w:rsidRPr="00BF4EC4">
        <w:rPr>
          <w:rFonts w:ascii="Times New Roman" w:eastAsia="宋体" w:hAnsi="Times New Roman" w:cs="Times New Roman"/>
          <w:sz w:val="24"/>
        </w:rPr>
        <w:t>Visible Learning MetaX</w:t>
      </w:r>
      <w:r w:rsidRPr="00BF4EC4">
        <w:rPr>
          <w:rFonts w:ascii="Times New Roman" w:eastAsia="宋体" w:hAnsi="Times New Roman" w:cs="Times New Roman"/>
          <w:sz w:val="24"/>
        </w:rPr>
        <w:t>）汇总了各类教育影响因素的元分析结果，英国教育捐赠基金会（</w:t>
      </w:r>
      <w:r w:rsidRPr="00BF4EC4">
        <w:rPr>
          <w:rFonts w:ascii="Times New Roman" w:eastAsia="宋体" w:hAnsi="Times New Roman" w:cs="Times New Roman"/>
          <w:sz w:val="24"/>
        </w:rPr>
        <w:t>Education Endowment Foundation, EEF</w:t>
      </w:r>
      <w:r w:rsidRPr="00BF4EC4">
        <w:rPr>
          <w:rFonts w:ascii="Times New Roman" w:eastAsia="宋体" w:hAnsi="Times New Roman" w:cs="Times New Roman"/>
          <w:sz w:val="24"/>
        </w:rPr>
        <w:t>）的教学工具包（</w:t>
      </w:r>
      <w:r w:rsidRPr="00BF4EC4">
        <w:rPr>
          <w:rFonts w:ascii="Times New Roman" w:eastAsia="宋体" w:hAnsi="Times New Roman" w:cs="Times New Roman"/>
          <w:sz w:val="24"/>
        </w:rPr>
        <w:t>Teaching and Learning Toolkit</w:t>
      </w:r>
      <w:r w:rsidRPr="00BF4EC4">
        <w:rPr>
          <w:rFonts w:ascii="Times New Roman" w:eastAsia="宋体" w:hAnsi="Times New Roman" w:cs="Times New Roman"/>
          <w:sz w:val="24"/>
        </w:rPr>
        <w:t xml:space="preserve">）则以平均额外进步月数呈现干预效果。两个数据库都以学业成就为主要结果变量，效应量也受原始研究质量和测量方式影响。模型各环节对应的主要影响因素及效应量见表3-2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这些证据对模型设计有四点直接影响。第一，反馈的效果取决于它指向什么。反馈的总体效应量为</w:t>
      </w:r>
      <w:r w:rsidRPr="00BF4EC4">
        <w:rPr>
          <w:rFonts w:ascii="Times New Roman" w:eastAsia="宋体" w:hAnsi="Times New Roman" w:cs="Times New Roman"/>
          <w:sz w:val="24"/>
        </w:rPr>
        <w:t>0.50</w:t>
      </w:r>
      <w:r w:rsidRPr="00BF4EC4">
        <w:rPr>
          <w:rFonts w:ascii="Times New Roman" w:eastAsia="宋体" w:hAnsi="Times New Roman" w:cs="Times New Roman"/>
          <w:sz w:val="24"/>
        </w:rPr>
        <w:t>，指向任务与过程的反馈达到</w:t>
      </w:r>
      <w:r w:rsidRPr="00BF4EC4">
        <w:rPr>
          <w:rFonts w:ascii="Times New Roman" w:eastAsia="宋体" w:hAnsi="Times New Roman" w:cs="Times New Roman"/>
          <w:sz w:val="24"/>
        </w:rPr>
        <w:t>0.73</w:t>
      </w:r>
      <w:r w:rsidRPr="00BF4EC4">
        <w:rPr>
          <w:rFonts w:ascii="Times New Roman" w:eastAsia="宋体" w:hAnsi="Times New Roman" w:cs="Times New Roman"/>
          <w:sz w:val="24"/>
        </w:rPr>
        <w:t>，指向学生自我的反馈只有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，以评语代替分数的效应量也仅为</w:t>
      </w:r>
      <w:r w:rsidRPr="00BF4EC4">
        <w:rPr>
          <w:rFonts w:ascii="Times New Roman" w:eastAsia="宋体" w:hAnsi="Times New Roman" w:cs="Times New Roman"/>
          <w:sz w:val="24"/>
        </w:rPr>
        <w:t>0.21</w:t>
      </w:r>
      <w:r w:rsidRPr="00BF4EC4">
        <w:rPr>
          <w:rFonts w:ascii="Times New Roman" w:eastAsia="宋体" w:hAnsi="Times New Roman" w:cs="Times New Roman"/>
          <w:sz w:val="24"/>
        </w:rPr>
        <w:t>。反馈迭代环节因此要求反馈</w:t>
      </w:r>
      <w:r w:rsidRPr="00BF4EC4">
        <w:rPr>
          <w:rFonts w:ascii="Times New Roman" w:eastAsia="宋体" w:hAnsi="Times New Roman" w:cs="Times New Roman"/>
          <w:sz w:val="24"/>
        </w:rPr>
        <w:lastRenderedPageBreak/>
        <w:t>指向任务和思考过程，并以学生形成新的回答、方案或作品作为这一环节完成的标志。第二，学生自评需要标准作支撑。自我报告成绩（</w:t>
      </w:r>
      <w:r w:rsidRPr="00BF4EC4">
        <w:rPr>
          <w:rFonts w:ascii="Times New Roman" w:eastAsia="宋体" w:hAnsi="Times New Roman" w:cs="Times New Roman"/>
          <w:sz w:val="24"/>
        </w:rPr>
        <w:t>0.96</w:t>
      </w:r>
      <w:r w:rsidRPr="00BF4EC4">
        <w:rPr>
          <w:rFonts w:ascii="Times New Roman" w:eastAsia="宋体" w:hAnsi="Times New Roman" w:cs="Times New Roman"/>
          <w:sz w:val="24"/>
        </w:rPr>
        <w:t>）和自我评判与反思（</w:t>
      </w:r>
      <w:r w:rsidRPr="00BF4EC4">
        <w:rPr>
          <w:rFonts w:ascii="Times New Roman" w:eastAsia="宋体" w:hAnsi="Times New Roman" w:cs="Times New Roman"/>
          <w:sz w:val="24"/>
        </w:rPr>
        <w:t>0.81</w:t>
      </w:r>
      <w:r w:rsidRPr="00BF4EC4">
        <w:rPr>
          <w:rFonts w:ascii="Times New Roman" w:eastAsia="宋体" w:hAnsi="Times New Roman" w:cs="Times New Roman"/>
          <w:sz w:val="24"/>
        </w:rPr>
        <w:t>）的效应量都较高，前提是学生知道好的表现是什么样子，目标引领环节先呈现成功标准、五见把目标可见放在首位，依据就在这里。第三，结构化的讨论比一般分组更重要。论证／课堂讨论的效应量（</w:t>
      </w:r>
      <w:r w:rsidRPr="00BF4EC4">
        <w:rPr>
          <w:rFonts w:ascii="Times New Roman" w:eastAsia="宋体" w:hAnsi="Times New Roman" w:cs="Times New Roman"/>
          <w:sz w:val="24"/>
        </w:rPr>
        <w:t>0.86</w:t>
      </w:r>
      <w:r w:rsidRPr="00BF4EC4">
        <w:rPr>
          <w:rFonts w:ascii="Times New Roman" w:eastAsia="宋体" w:hAnsi="Times New Roman" w:cs="Times New Roman"/>
          <w:sz w:val="24"/>
        </w:rPr>
        <w:t>）明显高于合作学习（</w:t>
      </w:r>
      <w:r w:rsidRPr="00BF4EC4">
        <w:rPr>
          <w:rFonts w:ascii="Times New Roman" w:eastAsia="宋体" w:hAnsi="Times New Roman" w:cs="Times New Roman"/>
          <w:sz w:val="24"/>
        </w:rPr>
        <w:t>0.56</w:t>
      </w:r>
      <w:r w:rsidRPr="00BF4EC4">
        <w:rPr>
          <w:rFonts w:ascii="Times New Roman" w:eastAsia="宋体" w:hAnsi="Times New Roman" w:cs="Times New Roman"/>
          <w:sz w:val="24"/>
        </w:rPr>
        <w:t>）和协作学习（</w:t>
      </w:r>
      <w:r w:rsidRPr="00BF4EC4">
        <w:rPr>
          <w:rFonts w:ascii="Times New Roman" w:eastAsia="宋体" w:hAnsi="Times New Roman" w:cs="Times New Roman"/>
          <w:sz w:val="24"/>
        </w:rPr>
        <w:t>0.47</w:t>
      </w:r>
      <w:r w:rsidRPr="00BF4EC4">
        <w:rPr>
          <w:rFonts w:ascii="Times New Roman" w:eastAsia="宋体" w:hAnsi="Times New Roman" w:cs="Times New Roman"/>
          <w:sz w:val="24"/>
        </w:rPr>
        <w:t>），探究展学因此要求学生说明理由、回应质疑和修订观点，分组只是形式。第四，社会情感能力宜嵌入学习任务。独立实施的社会情感学习项目对学业成就的效应量只有</w:t>
      </w:r>
      <w:r w:rsidRPr="00BF4EC4">
        <w:rPr>
          <w:rFonts w:ascii="Times New Roman" w:eastAsia="宋体" w:hAnsi="Times New Roman" w:cs="Times New Roman"/>
          <w:sz w:val="24"/>
        </w:rPr>
        <w:t>0.14</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的估计也仅为</w:t>
      </w:r>
      <w:r w:rsidRPr="00BF4EC4">
        <w:rPr>
          <w:rFonts w:ascii="Times New Roman" w:eastAsia="宋体" w:hAnsi="Times New Roman" w:cs="Times New Roman"/>
          <w:sz w:val="24"/>
        </w:rPr>
        <w:t>3</w:t>
      </w:r>
      <w:r w:rsidRPr="00BF4EC4">
        <w:rPr>
          <w:rFonts w:ascii="Times New Roman" w:eastAsia="宋体" w:hAnsi="Times New Roman" w:cs="Times New Roman"/>
          <w:sz w:val="24"/>
        </w:rPr>
        <w:t>个月；情绪智力（</w:t>
      </w:r>
      <w:r w:rsidRPr="00BF4EC4">
        <w:rPr>
          <w:rFonts w:ascii="Times New Roman" w:eastAsia="宋体" w:hAnsi="Times New Roman" w:cs="Times New Roman"/>
          <w:sz w:val="24"/>
        </w:rPr>
        <w:t>0.53</w:t>
      </w:r>
      <w:r w:rsidRPr="00BF4EC4">
        <w:rPr>
          <w:rFonts w:ascii="Times New Roman" w:eastAsia="宋体" w:hAnsi="Times New Roman" w:cs="Times New Roman"/>
          <w:sz w:val="24"/>
        </w:rPr>
        <w:t>）和数学／科学焦虑（</w:t>
      </w:r>
      <w:r w:rsidRPr="00BF4EC4">
        <w:rPr>
          <w:rFonts w:ascii="Times New Roman" w:eastAsia="宋体" w:hAnsi="Times New Roman" w:cs="Times New Roman"/>
          <w:sz w:val="24"/>
        </w:rPr>
        <w:t>−0.52</w:t>
      </w:r>
      <w:r w:rsidRPr="00BF4EC4">
        <w:rPr>
          <w:rFonts w:ascii="Times New Roman" w:eastAsia="宋体" w:hAnsi="Times New Roman" w:cs="Times New Roman"/>
          <w:sz w:val="24"/>
        </w:rPr>
        <w:t>）的结果则说明，情绪状态与学习表现密切相关。模型因此不另设社会情感课程，而在同一任务中观察和支持责任担当、情绪调节、合作共情与包容创新。</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迁移与元认知同样有较强的证据。迁移策略的效应量为</w:t>
      </w:r>
      <w:r w:rsidRPr="00BF4EC4">
        <w:rPr>
          <w:rFonts w:ascii="Times New Roman" w:eastAsia="宋体" w:hAnsi="Times New Roman" w:cs="Times New Roman"/>
          <w:sz w:val="24"/>
        </w:rPr>
        <w:t>0.89</w:t>
      </w:r>
      <w:r w:rsidRPr="00BF4EC4">
        <w:rPr>
          <w:rFonts w:ascii="Times New Roman" w:eastAsia="宋体" w:hAnsi="Times New Roman" w:cs="Times New Roman"/>
          <w:sz w:val="24"/>
        </w:rPr>
        <w:t>，元认知策略为</w:t>
      </w:r>
      <w:r w:rsidRPr="00BF4EC4">
        <w:rPr>
          <w:rFonts w:ascii="Times New Roman" w:eastAsia="宋体" w:hAnsi="Times New Roman" w:cs="Times New Roman"/>
          <w:sz w:val="24"/>
        </w:rPr>
        <w:t>0.59</w:t>
      </w:r>
      <w:r w:rsidRPr="00BF4EC4">
        <w:rPr>
          <w:rFonts w:ascii="Times New Roman" w:eastAsia="宋体" w:hAnsi="Times New Roman" w:cs="Times New Roman"/>
          <w:sz w:val="24"/>
        </w:rPr>
        <w:t>，</w:t>
      </w:r>
      <w:r w:rsidRPr="00BF4EC4">
        <w:rPr>
          <w:rFonts w:ascii="Times New Roman" w:eastAsia="宋体" w:hAnsi="Times New Roman" w:cs="Times New Roman"/>
          <w:sz w:val="24"/>
        </w:rPr>
        <w:t>EEF</w:t>
      </w:r>
      <w:r w:rsidRPr="00BF4EC4">
        <w:rPr>
          <w:rFonts w:ascii="Times New Roman" w:eastAsia="宋体" w:hAnsi="Times New Roman" w:cs="Times New Roman"/>
          <w:sz w:val="24"/>
        </w:rPr>
        <w:t>工具包对元认知与自我调节的估计为平均额外进步</w:t>
      </w:r>
      <w:r w:rsidRPr="00BF4EC4">
        <w:rPr>
          <w:rFonts w:ascii="Times New Roman" w:eastAsia="宋体" w:hAnsi="Times New Roman" w:cs="Times New Roman"/>
          <w:sz w:val="24"/>
        </w:rPr>
        <w:t>8</w:t>
      </w:r>
      <w:r w:rsidRPr="00BF4EC4">
        <w:rPr>
          <w:rFonts w:ascii="Times New Roman" w:eastAsia="宋体" w:hAnsi="Times New Roman" w:cs="Times New Roman"/>
          <w:sz w:val="24"/>
        </w:rPr>
        <w:t>个月、证据强度</w:t>
      </w:r>
      <w:r w:rsidRPr="00BF4EC4">
        <w:rPr>
          <w:rFonts w:ascii="Times New Roman" w:eastAsia="宋体" w:hAnsi="Times New Roman" w:cs="Times New Roman"/>
          <w:sz w:val="24"/>
        </w:rPr>
        <w:t>4</w:t>
      </w:r>
      <w:r w:rsidRPr="00BF4EC4">
        <w:rPr>
          <w:rFonts w:ascii="Times New Roman" w:eastAsia="宋体" w:hAnsi="Times New Roman" w:cs="Times New Roman"/>
          <w:sz w:val="24"/>
        </w:rPr>
        <w:t>级，是工具包所列策略中进步月数最高的一项，这支持把反思迁移作为独立环节，要求学生提炼方法并在新条件下再次运用。开放性任务的证据则表明，设计时需要注意条件：项目式学习的效应量为</w:t>
      </w:r>
      <w:r w:rsidRPr="00BF4EC4">
        <w:rPr>
          <w:rFonts w:ascii="Times New Roman" w:eastAsia="宋体" w:hAnsi="Times New Roman" w:cs="Times New Roman"/>
          <w:sz w:val="24"/>
        </w:rPr>
        <w:t>0.88</w:t>
      </w:r>
      <w:r w:rsidRPr="00BF4EC4">
        <w:rPr>
          <w:rFonts w:ascii="Times New Roman" w:eastAsia="宋体" w:hAnsi="Times New Roman" w:cs="Times New Roman"/>
          <w:sz w:val="24"/>
        </w:rPr>
        <w:t>，但只基于</w:t>
      </w:r>
      <w:r w:rsidRPr="00BF4EC4">
        <w:rPr>
          <w:rFonts w:ascii="Times New Roman" w:eastAsia="宋体" w:hAnsi="Times New Roman" w:cs="Times New Roman"/>
          <w:sz w:val="24"/>
        </w:rPr>
        <w:t>6</w:t>
      </w:r>
      <w:r w:rsidRPr="00BF4EC4">
        <w:rPr>
          <w:rFonts w:ascii="Times New Roman" w:eastAsia="宋体" w:hAnsi="Times New Roman" w:cs="Times New Roman"/>
          <w:sz w:val="24"/>
        </w:rPr>
        <w:t>项元分析，问题导向学习（</w:t>
      </w:r>
      <w:r w:rsidRPr="00BF4EC4">
        <w:rPr>
          <w:rFonts w:ascii="Times New Roman" w:eastAsia="宋体" w:hAnsi="Times New Roman" w:cs="Times New Roman"/>
          <w:sz w:val="24"/>
        </w:rPr>
        <w:t>31</w:t>
      </w:r>
      <w:r w:rsidRPr="00BF4EC4">
        <w:rPr>
          <w:rFonts w:ascii="Times New Roman" w:eastAsia="宋体" w:hAnsi="Times New Roman" w:cs="Times New Roman"/>
          <w:sz w:val="24"/>
        </w:rPr>
        <w:t>项元分析，</w:t>
      </w:r>
      <w:r w:rsidRPr="00BF4EC4">
        <w:rPr>
          <w:rFonts w:ascii="Times New Roman" w:eastAsia="宋体" w:hAnsi="Times New Roman" w:cs="Times New Roman"/>
          <w:sz w:val="24"/>
        </w:rPr>
        <w:t>0.53</w:t>
      </w:r>
      <w:r w:rsidRPr="00BF4EC4">
        <w:rPr>
          <w:rFonts w:ascii="Times New Roman" w:eastAsia="宋体" w:hAnsi="Times New Roman" w:cs="Times New Roman"/>
          <w:sz w:val="24"/>
        </w:rPr>
        <w:t>）和探究式教学（</w:t>
      </w:r>
      <w:r w:rsidRPr="00BF4EC4">
        <w:rPr>
          <w:rFonts w:ascii="Times New Roman" w:eastAsia="宋体" w:hAnsi="Times New Roman" w:cs="Times New Roman"/>
          <w:sz w:val="24"/>
        </w:rPr>
        <w:t>0.51</w:t>
      </w:r>
      <w:r w:rsidRPr="00BF4EC4">
        <w:rPr>
          <w:rFonts w:ascii="Times New Roman" w:eastAsia="宋体" w:hAnsi="Times New Roman" w:cs="Times New Roman"/>
          <w:sz w:val="24"/>
        </w:rPr>
        <w:t>）的估计更低也更稳健，开放任务的效果在很大程度上取决于指导与支架，科创项目因此增设方案要素和阶段检查。教师层面，教师集体效能的效应量为</w:t>
      </w:r>
      <w:r w:rsidRPr="00BF4EC4">
        <w:rPr>
          <w:rFonts w:ascii="Times New Roman" w:eastAsia="宋体" w:hAnsi="Times New Roman" w:cs="Times New Roman"/>
          <w:sz w:val="24"/>
        </w:rPr>
        <w:t>1.34</w:t>
      </w:r>
      <w:r w:rsidRPr="00BF4EC4">
        <w:rPr>
          <w:rFonts w:ascii="Times New Roman" w:eastAsia="宋体" w:hAnsi="Times New Roman" w:cs="Times New Roman"/>
          <w:sz w:val="24"/>
        </w:rPr>
        <w:t>，高于一般的教师专业发展项目（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），教师共同依据学生证据作出判断，比单纯的培训更可能影响学习，这是模型把教师循证调节与校本研修结合起来的依据。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据此，以新课标的素养要求为方向，以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为组织思路，以元分析证据为要素参照，构建</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题。复杂问题解决作为三个维度共同指向的应用情境，策略反思融入相关题项，不另设测量维度。量表主要反映学生对自身思维表现的评价，其测量质量通过后续信度与结构分析加以检验。</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86"/>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87"/>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主旨取舍</w:t>
      </w:r>
      <w:r w:rsidRPr="00BF4EC4">
        <w:rPr>
          <w:rFonts w:ascii="Times New Roman" w:eastAsia="宋体" w:hAnsi="Times New Roman" w:cs="Times New Roman"/>
          <w:sz w:val="24"/>
        </w:rPr>
        <w:t>”</w:t>
      </w:r>
      <w:r w:rsidRPr="00BF4EC4">
        <w:rPr>
          <w:rFonts w:ascii="Times New Roman" w:eastAsia="宋体" w:hAnsi="Times New Roman" w:cs="Times New Roman"/>
          <w:sz w:val="24"/>
        </w:rPr>
        <w:t>组织支架：颜色和材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环境信息如何转化为可辨识的触觉信号</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组织：传感器提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评价体系与高阶能力培育模型保持一致。首先，以七维高阶能力确定评价内容。高阶思维包括分析、评价、创造三个维度；高阶社会情感包括责任担当、情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其次，以三层六阶和两境四维把握能力发展的程度。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再次，以五环作为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最后，以五见作为学习证据外显的重要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88"/>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89"/>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）。各学科人数不均衡，本次主要分析教师整体变化，不据此推断各学科具有同等成效。</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相关层次描述属于实践性框架，需通过不同学科的表现样例持续校准。</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至表4-70</w:t>
      </w:r>
      <w:r w:rsidRPr="00BF4EC4">
        <w:rPr>
          <w:rFonts w:ascii="Times New Roman" w:eastAsia="宋体" w:hAnsi="Times New Roman" w:cs="Times New Roman"/>
          <w:sz w:val="24"/>
        </w:rPr>
        <w:t/>
      </w:r>
      <w:r w:rsidRPr="00BF4EC4">
        <w:rPr>
          <w:rFonts w:ascii="Times New Roman" w:eastAsia="宋体" w:hAnsi="Times New Roman" w:cs="Times New Roman"/>
          <w:sz w:val="24"/>
        </w:rPr>
        <w:t>）：认知与价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BIGGS J. What the student does: Teaching for enhanced learning[J]. Higher Education Research &amp; Development, 1999, 18(1): 57-75. DOI:10.1080/0729436990180105.</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GLASS G V. Primary, secondary, and meta-analysis of research[J]. Educational Researcher, 1976, 5(10): 3-8.</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GÜNGÖR F, ALTUNBAŞAK İ, AYDIN A T, et al. A second-order meta-analysis on the effects of cooperative learning on students' academic achievement, higher-order thinking, and affective behaviors[J]. Current Psychology, 2026, 45: 552. DOI:10.1007/s12144-025-08943-0.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HUGHES C. Theory of Knowledge aims, objectives and assessment criteria: An analysis of critical thinking descriptors[J]. Journal of Research in International Education, 2014, 13(1): 30-45. DOI:10.1177/1475240914528084.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JOHNSON G R, JANZEN M D. Leading the blind: A critical look at Visible Learning[J]. Critical Education, 2023, 14(4): 23-41. DOI:10.14288/ce.v14i4.186745.</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LI J. Cultural foundations of learning: East and West[M]. Cambridge: Cambridge University Press, 2012.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NAEEM H. Teaching skills and intellectual virtues with generative AI[J]. Episteme, 2026, 23: 269-286. DOI:10.1017/epi.2025.10089.</w:t>
      </w:r>
    </w:p>
    <w:p w14:paraId="69E60B9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NIELSEN K, KLITMØLLER J. Blind spots in visible learning: A critique of John Hattie as an educational theorist[J]. Nordic Psychology, 2021.</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OECD. Beyond academic learning: First results from the Survey of Social and Emotional Skills[R]. Paris: OECD Publishing, 2021.</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[66] RUNCO M A, MAMMADOV S, SUI D, et al. Second-order meta-analysis of the creativity research[J/OL]. Creativity Research Journal, 2026. DOI:10.1080/10400419.2026.2644245.</w:t>
      </w:r>
    </w:p>
    <w:p w14:paraId="55E640E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STEINER-KHAMSI G, MARTENS K, YDESEN C. Governance by numbers 2.0: Policy brokerage as an instrument of global governance in the era of information overload[J]. Comparative Education, 2024, 60(4): 537-554.</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13A7D74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WECKER C, VOGEL F, HETMANEK A. </w:t>
      </w:r>
      <w:proofErr w:type="spellStart"/>
      <w:r w:rsidRPr="00BF4EC4">
        <w:rPr>
          <w:rFonts w:ascii="Times New Roman" w:eastAsia="楷体" w:hAnsi="Times New Roman" w:cs="Times New Roman"/>
          <w:kern w:val="0"/>
          <w:sz w:val="24"/>
        </w:rPr>
        <w:t>Visionär</w:t>
      </w:r>
      <w:proofErr w:type="spellEnd"/>
      <w:r w:rsidRPr="00BF4EC4">
        <w:rPr>
          <w:rFonts w:ascii="Times New Roman" w:eastAsia="楷体" w:hAnsi="Times New Roman" w:cs="Times New Roman"/>
          <w:kern w:val="0"/>
          <w:sz w:val="24"/>
        </w:rPr>
        <w:t xml:space="preserve"> und </w:t>
      </w:r>
      <w:proofErr w:type="spellStart"/>
      <w:r w:rsidRPr="00BF4EC4">
        <w:rPr>
          <w:rFonts w:ascii="Times New Roman" w:eastAsia="楷体" w:hAnsi="Times New Roman" w:cs="Times New Roman"/>
          <w:kern w:val="0"/>
          <w:sz w:val="24"/>
        </w:rPr>
        <w:t>imposant</w:t>
      </w:r>
      <w:proofErr w:type="spellEnd"/>
      <w:r w:rsidRPr="00BF4EC4">
        <w:rPr>
          <w:rFonts w:ascii="Times New Roman" w:eastAsia="楷体" w:hAnsi="Times New Roman" w:cs="Times New Roman"/>
          <w:kern w:val="0"/>
          <w:sz w:val="24"/>
        </w:rPr>
        <w:t xml:space="preserve"> – </w:t>
      </w:r>
      <w:proofErr w:type="spellStart"/>
      <w:r w:rsidRPr="00BF4EC4">
        <w:rPr>
          <w:rFonts w:ascii="Times New Roman" w:eastAsia="楷体" w:hAnsi="Times New Roman" w:cs="Times New Roman"/>
          <w:kern w:val="0"/>
          <w:sz w:val="24"/>
        </w:rPr>
        <w:t>aber</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auch</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belastbar</w:t>
      </w:r>
      <w:proofErr w:type="spellEnd"/>
      <w:r w:rsidRPr="00BF4EC4">
        <w:rPr>
          <w:rFonts w:ascii="Times New Roman" w:eastAsia="楷体" w:hAnsi="Times New Roman" w:cs="Times New Roman"/>
          <w:kern w:val="0"/>
          <w:sz w:val="24"/>
        </w:rPr>
        <w:t xml:space="preserve">? Eine Kritik der </w:t>
      </w:r>
      <w:proofErr w:type="spellStart"/>
      <w:r w:rsidRPr="00BF4EC4">
        <w:rPr>
          <w:rFonts w:ascii="Times New Roman" w:eastAsia="楷体" w:hAnsi="Times New Roman" w:cs="Times New Roman"/>
          <w:kern w:val="0"/>
          <w:sz w:val="24"/>
        </w:rPr>
        <w:t>Methodik</w:t>
      </w:r>
      <w:proofErr w:type="spellEnd"/>
      <w:r w:rsidRPr="00BF4EC4">
        <w:rPr>
          <w:rFonts w:ascii="Times New Roman" w:eastAsia="楷体" w:hAnsi="Times New Roman" w:cs="Times New Roman"/>
          <w:kern w:val="0"/>
          <w:sz w:val="24"/>
        </w:rPr>
        <w:t xml:space="preserve"> von </w:t>
      </w:r>
      <w:proofErr w:type="spellStart"/>
      <w:r w:rsidRPr="00BF4EC4">
        <w:rPr>
          <w:rFonts w:ascii="Times New Roman" w:eastAsia="楷体" w:hAnsi="Times New Roman" w:cs="Times New Roman"/>
          <w:kern w:val="0"/>
          <w:sz w:val="24"/>
        </w:rPr>
        <w:t>Hatties</w:t>
      </w:r>
      <w:proofErr w:type="spellEnd"/>
      <w:r w:rsidRPr="00BF4EC4">
        <w:rPr>
          <w:rFonts w:ascii="Times New Roman" w:eastAsia="楷体" w:hAnsi="Times New Roman" w:cs="Times New Roman"/>
          <w:kern w:val="0"/>
          <w:sz w:val="24"/>
        </w:rPr>
        <w:t xml:space="preserve"> Visible Learning[J]. </w:t>
      </w:r>
      <w:proofErr w:type="spellStart"/>
      <w:r w:rsidRPr="00BF4EC4">
        <w:rPr>
          <w:rFonts w:ascii="Times New Roman" w:eastAsia="楷体" w:hAnsi="Times New Roman" w:cs="Times New Roman"/>
          <w:kern w:val="0"/>
          <w:sz w:val="24"/>
        </w:rPr>
        <w:t>Zeitschrift</w:t>
      </w:r>
      <w:proofErr w:type="spellEnd"/>
      <w:r w:rsidRPr="00BF4EC4">
        <w:rPr>
          <w:rFonts w:ascii="Times New Roman" w:eastAsia="楷体" w:hAnsi="Times New Roman" w:cs="Times New Roman"/>
          <w:kern w:val="0"/>
          <w:sz w:val="24"/>
        </w:rPr>
        <w:t xml:space="preserve"> für </w:t>
      </w:r>
      <w:proofErr w:type="spellStart"/>
      <w:r w:rsidRPr="00BF4EC4">
        <w:rPr>
          <w:rFonts w:ascii="Times New Roman" w:eastAsia="楷体" w:hAnsi="Times New Roman" w:cs="Times New Roman"/>
          <w:kern w:val="0"/>
          <w:sz w:val="24"/>
        </w:rPr>
        <w:t>Erziehungswissenschaft</w:t>
      </w:r>
      <w:proofErr w:type="spellEnd"/>
      <w:r w:rsidRPr="00BF4EC4">
        <w:rPr>
          <w:rFonts w:ascii="Times New Roman" w:eastAsia="楷体" w:hAnsi="Times New Roman" w:cs="Times New Roman"/>
          <w:kern w:val="0"/>
          <w:sz w:val="24"/>
        </w:rPr>
        <w:t>, 2016, 20: 21-40. DOI:10.1007/s11618-016-0696-0.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[71]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0">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1">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2">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6">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2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3">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34">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5">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37">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38">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3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4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41">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42">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43">
    <w:p w14:paraId="3F877C8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STEINER-KHAMSI G, MARTENS K, YDESEN C. Governance by numbers 2.0: Policy brokerage as an instrument of global governance in the era of information overload[J]. Comparative Education, 2024, 60(4): 537-554.</w:t>
      </w:r>
    </w:p>
  </w:footnote>
  <w:footnote w:id="4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5">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46">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4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4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4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5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GLASS G V. Primary, secondary, and meta-analysis of research[J]. Educational Researcher, 1976, 5(10): 3-8.</w:t>
      </w:r>
    </w:p>
  </w:footnote>
  <w:footnote w:id="5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2">
    <w:p w14:paraId="0E27919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WECKER C, VOGEL F, HETMANEK A. Visionär und imposant – aber auch belastbar? Eine Kritik der Methodik von Hatties Visible Learning[J]. Zeitschrift für Erziehungswissenschaft, 2016, 20: 21-40. DOI:10.1007/s11618-016-0696-0.</w:t>
      </w:r>
    </w:p>
  </w:footnote>
  <w:footnote w:id="5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5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5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5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5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58">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59">
    <w:p w14:paraId="1D7AB7C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马梓越</w:t>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可见的学习与学科教学应用</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42-43.</w:t>
      </w:r>
    </w:p>
  </w:footnote>
  <w:footnote w:id="6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JOHNSON G R, JANZEN M D. Leading the blind: A critical look at Visible Learning[J]. Critical Education, 2023, 14(4): 23-41. DOI:10.14288/ce.v14i4.186745.</w:t>
      </w:r>
    </w:p>
  </w:footnote>
  <w:footnote w:id="6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6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6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6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6">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67">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6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6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J. Cultural foundations of learning: East and West[M]. Cambridge: Cambridge University Press, 2012: 82-89.</w:t>
      </w:r>
    </w:p>
  </w:footnote>
  <w:footnote w:id="70">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71">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72">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3">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75">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76">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77">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79">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80">
    <w:p w14:paraId="6B56C52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NIELSEN K, KLITMØLLER J. Blind spots in visible learning: A critique of John Hattie as an educational theorist[J]. Nordic Psychology, 2021</w:t>
      </w:r>
      <w:r>
        <w:rPr>
          <w:rFonts w:ascii="Times New Roman" w:eastAsia="宋体" w:hAnsi="Times New Roman" w:cs="Times New Roman"/>
          <w:sz w:val="18"/>
          <w:szCs w:val="18"/>
        </w:rPr>
        <w:t>；</w:t>
      </w:r>
      <w:r>
        <w:rPr>
          <w:rFonts w:ascii="Times New Roman" w:eastAsia="宋体" w:hAnsi="Times New Roman" w:cs="Times New Roman"/>
          <w:sz w:val="18"/>
          <w:szCs w:val="18"/>
        </w:rPr>
        <w:t>WECKER C, VOGEL F, HETMANEK A. Visionär und imposant – aber auch belastbar? Eine Kritik der Methodik von Hatties Visible Learning[J]. Zeitschrift für Erziehungswissenschaft, 2016, 20: 21-40. DOI:10.1007/s11618-016-0696-0.</w:t>
      </w:r>
    </w:p>
  </w:footnote>
  <w:footnote w:id="81">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82">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83">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84">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85">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86">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87">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88">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89">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