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1BD18">
      <w:pPr>
        <w:spacing w:line="480" w:lineRule="auto"/>
        <w:jc w:val="center"/>
        <w:rPr>
          <w:rFonts w:hint="eastAsia" w:ascii="方正小标宋简体" w:eastAsia="方正小标宋简体"/>
          <w:sz w:val="48"/>
          <w:szCs w:val="48"/>
        </w:rPr>
      </w:pPr>
    </w:p>
    <w:p w14:paraId="01E31F9C">
      <w:pPr>
        <w:spacing w:line="480" w:lineRule="auto"/>
        <w:jc w:val="center"/>
        <w:rPr>
          <w:rFonts w:hint="eastAsia" w:ascii="方正小标宋简体" w:eastAsia="方正小标宋简体"/>
          <w:sz w:val="48"/>
          <w:szCs w:val="48"/>
        </w:rPr>
      </w:pPr>
    </w:p>
    <w:p w14:paraId="6663B622">
      <w:pPr>
        <w:spacing w:line="480" w:lineRule="auto"/>
        <w:jc w:val="center"/>
        <w:rPr>
          <w:rFonts w:hint="eastAsia" w:ascii="方正小标宋简体" w:eastAsia="方正小标宋简体"/>
          <w:sz w:val="48"/>
          <w:szCs w:val="48"/>
        </w:rPr>
      </w:pPr>
    </w:p>
    <w:p w14:paraId="3B9821FE">
      <w:pPr>
        <w:spacing w:line="480" w:lineRule="auto"/>
        <w:jc w:val="center"/>
        <w:rPr>
          <w:rFonts w:ascii="方正小标宋简体" w:eastAsia="方正小标宋简体"/>
          <w:sz w:val="48"/>
          <w:szCs w:val="48"/>
        </w:rPr>
      </w:pPr>
      <w:r>
        <w:rPr>
          <w:rFonts w:hint="eastAsia" w:ascii="方正小标宋简体" w:eastAsia="方正小标宋简体"/>
          <w:sz w:val="48"/>
          <w:szCs w:val="48"/>
        </w:rPr>
        <w:t>上海市教育科学研究一般项目</w:t>
      </w:r>
    </w:p>
    <w:p w14:paraId="5A4C1C52">
      <w:pPr>
        <w:jc w:val="center"/>
        <w:rPr>
          <w:rFonts w:hint="eastAsia" w:ascii="宋体" w:eastAsia="方正小标宋简体"/>
          <w:sz w:val="44"/>
          <w:lang w:eastAsia="zh-CN"/>
        </w:rPr>
      </w:pPr>
      <w:r>
        <w:rPr>
          <w:rFonts w:hint="eastAsia" w:ascii="方正小标宋简体" w:eastAsia="方正小标宋简体"/>
          <w:sz w:val="48"/>
          <w:szCs w:val="48"/>
        </w:rPr>
        <w:t>结题</w:t>
      </w:r>
      <w:r>
        <w:rPr>
          <w:rFonts w:hint="eastAsia" w:ascii="方正小标宋简体" w:eastAsia="方正小标宋简体"/>
          <w:sz w:val="48"/>
          <w:szCs w:val="48"/>
          <w:lang w:val="en-US" w:eastAsia="zh-CN"/>
        </w:rPr>
        <w:t>报告</w:t>
      </w:r>
    </w:p>
    <w:p w14:paraId="16F2E14F">
      <w:pPr>
        <w:ind w:firstLine="883" w:firstLineChars="200"/>
        <w:jc w:val="left"/>
        <w:rPr>
          <w:rFonts w:hint="default" w:ascii="宋体"/>
          <w:b/>
          <w:bCs/>
          <w:sz w:val="44"/>
          <w:szCs w:val="44"/>
          <w:lang w:val="en-US" w:eastAsia="zh-CN"/>
        </w:rPr>
      </w:pPr>
    </w:p>
    <w:p w14:paraId="179A875C">
      <w:pPr>
        <w:ind w:firstLine="883" w:firstLineChars="200"/>
        <w:jc w:val="left"/>
        <w:rPr>
          <w:rFonts w:hint="eastAsia" w:ascii="宋体"/>
          <w:b/>
          <w:bCs/>
          <w:sz w:val="44"/>
          <w:szCs w:val="44"/>
          <w:lang w:val="en-US" w:eastAsia="zh-CN"/>
        </w:rPr>
      </w:pPr>
    </w:p>
    <w:p w14:paraId="2B5BF0B3">
      <w:pPr>
        <w:spacing w:line="600" w:lineRule="exact"/>
        <w:ind w:left="880"/>
        <w:rPr>
          <w:rFonts w:ascii="宋体"/>
          <w:b/>
          <w:bCs/>
          <w:spacing w:val="30"/>
          <w:sz w:val="32"/>
          <w:u w:val="single"/>
        </w:rPr>
      </w:pPr>
      <w:r>
        <w:rPr>
          <w:rFonts w:hint="eastAsia" w:ascii="宋体"/>
          <w:b/>
          <w:bCs/>
          <w:spacing w:val="30"/>
          <w:sz w:val="32"/>
        </w:rPr>
        <w:t>立项编号</w:t>
      </w:r>
      <w:r>
        <w:rPr>
          <w:rFonts w:ascii="宋体"/>
          <w:b/>
          <w:bCs/>
          <w:spacing w:val="30"/>
          <w:sz w:val="32"/>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rPr>
        <w:t>C2024082</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ascii="宋体"/>
          <w:b/>
          <w:bCs/>
          <w:spacing w:val="30"/>
          <w:sz w:val="32"/>
          <w:u w:val="single"/>
        </w:rPr>
        <w:tab/>
      </w:r>
    </w:p>
    <w:p w14:paraId="31716C6E">
      <w:pPr>
        <w:spacing w:line="600" w:lineRule="exact"/>
        <w:ind w:left="2786" w:leftChars="419" w:hanging="1906" w:hangingChars="500"/>
        <w:rPr>
          <w:rFonts w:ascii="宋体"/>
          <w:b/>
          <w:bCs/>
          <w:sz w:val="32"/>
        </w:rPr>
      </w:pPr>
      <w:r>
        <w:rPr>
          <w:rFonts w:hint="eastAsia" w:ascii="宋体"/>
          <w:b/>
          <w:bCs/>
          <w:spacing w:val="30"/>
          <w:sz w:val="32"/>
        </w:rPr>
        <w:t>项目名称</w:t>
      </w:r>
      <w:r>
        <w:rPr>
          <w:rFonts w:ascii="宋体"/>
          <w:b/>
          <w:bCs/>
          <w:sz w:val="32"/>
        </w:rPr>
        <w:t xml:space="preserve"> </w:t>
      </w:r>
      <w:r>
        <w:rPr>
          <w:rFonts w:hint="eastAsia" w:ascii="宋体"/>
          <w:b/>
          <w:bCs/>
          <w:sz w:val="32"/>
          <w:u w:val="single"/>
          <w:lang w:eastAsia="zh-CN"/>
        </w:rPr>
        <w:t>“</w:t>
      </w:r>
      <w:r>
        <w:rPr>
          <w:rFonts w:hint="eastAsia" w:ascii="宋体"/>
          <w:b/>
          <w:bCs/>
          <w:sz w:val="32"/>
          <w:u w:val="single"/>
          <w:lang w:val="en-US" w:eastAsia="zh-CN"/>
        </w:rPr>
        <w:t>可见的学习”视域下中学生高阶能力培育的学校探索</w:t>
      </w:r>
      <w:r>
        <w:rPr>
          <w:rFonts w:ascii="宋体"/>
          <w:b/>
          <w:bCs/>
          <w:sz w:val="32"/>
          <w:u w:val="single"/>
        </w:rPr>
        <w:t xml:space="preserve">               </w:t>
      </w:r>
      <w:r>
        <w:rPr>
          <w:rFonts w:ascii="宋体"/>
          <w:b/>
          <w:bCs/>
          <w:sz w:val="32"/>
          <w:u w:val="single"/>
        </w:rPr>
        <w:tab/>
      </w:r>
      <w:r>
        <w:rPr>
          <w:rFonts w:ascii="宋体"/>
          <w:b/>
          <w:bCs/>
          <w:sz w:val="32"/>
          <w:u w:val="single"/>
        </w:rPr>
        <w:t xml:space="preserve">    </w:t>
      </w:r>
    </w:p>
    <w:p w14:paraId="4DCA0D95">
      <w:pPr>
        <w:spacing w:line="600" w:lineRule="exact"/>
        <w:ind w:left="880"/>
        <w:rPr>
          <w:rFonts w:ascii="宋体"/>
          <w:b/>
          <w:bCs/>
          <w:spacing w:val="30"/>
          <w:sz w:val="32"/>
        </w:rPr>
      </w:pPr>
      <w:r>
        <w:rPr>
          <w:rFonts w:hint="eastAsia" w:ascii="宋体"/>
          <w:b/>
          <w:bCs/>
          <w:spacing w:val="30"/>
          <w:sz w:val="32"/>
        </w:rPr>
        <w:t>项目负责人</w:t>
      </w:r>
      <w:r>
        <w:rPr>
          <w:rFonts w:ascii="宋体"/>
          <w:b/>
          <w:bCs/>
          <w:spacing w:val="30"/>
          <w:sz w:val="32"/>
        </w:rPr>
        <w:t xml:space="preserve"> </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r>
        <w:rPr>
          <w:rFonts w:hint="eastAsia" w:ascii="宋体"/>
          <w:b/>
          <w:bCs/>
          <w:spacing w:val="30"/>
          <w:sz w:val="32"/>
          <w:u w:val="single"/>
          <w:lang w:val="en-US" w:eastAsia="zh-CN"/>
        </w:rPr>
        <w:t>沈勍</w:t>
      </w:r>
      <w:r>
        <w:rPr>
          <w:rFonts w:ascii="宋体"/>
          <w:b/>
          <w:bCs/>
          <w:spacing w:val="30"/>
          <w:sz w:val="32"/>
          <w:u w:val="single"/>
        </w:rPr>
        <w:t xml:space="preserve"> </w:t>
      </w:r>
      <w:r>
        <w:rPr>
          <w:rFonts w:hint="eastAsia" w:ascii="宋体"/>
          <w:b/>
          <w:bCs/>
          <w:spacing w:val="30"/>
          <w:sz w:val="32"/>
          <w:u w:val="single"/>
          <w:lang w:val="en-US" w:eastAsia="zh-CN"/>
        </w:rPr>
        <w:t xml:space="preserve">  </w:t>
      </w:r>
      <w:r>
        <w:rPr>
          <w:rFonts w:ascii="宋体"/>
          <w:b/>
          <w:bCs/>
          <w:spacing w:val="30"/>
          <w:sz w:val="32"/>
          <w:u w:val="single"/>
        </w:rPr>
        <w:t xml:space="preserve">       </w:t>
      </w:r>
    </w:p>
    <w:p w14:paraId="6F2DB82C">
      <w:pPr>
        <w:spacing w:line="600" w:lineRule="exact"/>
        <w:ind w:left="880"/>
        <w:rPr>
          <w:rFonts w:ascii="宋体"/>
          <w:b/>
          <w:bCs/>
          <w:sz w:val="32"/>
        </w:rPr>
      </w:pPr>
      <w:r>
        <w:rPr>
          <w:rFonts w:hint="eastAsia" w:ascii="宋体"/>
          <w:b/>
          <w:bCs/>
          <w:sz w:val="32"/>
        </w:rPr>
        <w:t>项目承担单位</w:t>
      </w:r>
      <w:r>
        <w:rPr>
          <w:rFonts w:ascii="宋体"/>
          <w:b/>
          <w:bCs/>
          <w:sz w:val="32"/>
        </w:rPr>
        <w:t xml:space="preserve"> </w:t>
      </w:r>
      <w:r>
        <w:rPr>
          <w:rFonts w:ascii="宋体"/>
          <w:b/>
          <w:bCs/>
          <w:sz w:val="32"/>
          <w:u w:val="single"/>
        </w:rPr>
        <w:t xml:space="preserve"> </w:t>
      </w:r>
      <w:r>
        <w:rPr>
          <w:rFonts w:hint="eastAsia" w:ascii="宋体"/>
          <w:b/>
          <w:bCs/>
          <w:sz w:val="32"/>
          <w:u w:val="single"/>
          <w:lang w:val="en-US" w:eastAsia="zh-CN"/>
        </w:rPr>
        <w:t>上海市七宝中学附属鑫都实验中学</w:t>
      </w:r>
      <w:r>
        <w:rPr>
          <w:rFonts w:ascii="宋体"/>
          <w:b/>
          <w:bCs/>
          <w:sz w:val="32"/>
          <w:u w:val="single"/>
        </w:rPr>
        <w:t xml:space="preserve">        </w:t>
      </w:r>
    </w:p>
    <w:p w14:paraId="43AA7816">
      <w:pPr>
        <w:spacing w:line="600" w:lineRule="exact"/>
        <w:ind w:left="880"/>
        <w:rPr>
          <w:rFonts w:ascii="宋体"/>
          <w:b/>
          <w:bCs/>
          <w:sz w:val="32"/>
        </w:rPr>
      </w:pPr>
      <w:r>
        <w:rPr>
          <w:rFonts w:hint="eastAsia" w:ascii="宋体"/>
          <w:b/>
          <w:bCs/>
          <w:sz w:val="32"/>
        </w:rPr>
        <w:t>填 表 日 期</w:t>
      </w:r>
      <w:r>
        <w:rPr>
          <w:rFonts w:ascii="宋体"/>
          <w:b/>
          <w:bCs/>
          <w:sz w:val="32"/>
        </w:rPr>
        <w:t xml:space="preserve"> </w:t>
      </w:r>
      <w:r>
        <w:rPr>
          <w:rFonts w:hint="eastAsia" w:ascii="宋体"/>
          <w:b/>
          <w:bCs/>
          <w:sz w:val="32"/>
        </w:rPr>
        <w:t xml:space="preserve"> </w:t>
      </w:r>
      <w:r>
        <w:rPr>
          <w:rFonts w:ascii="宋体"/>
          <w:b/>
          <w:bCs/>
          <w:sz w:val="32"/>
          <w:u w:val="single"/>
        </w:rPr>
        <w:t xml:space="preserve">   </w:t>
      </w:r>
      <w:r>
        <w:rPr>
          <w:rFonts w:ascii="宋体"/>
          <w:b/>
          <w:bCs/>
          <w:sz w:val="32"/>
          <w:u w:val="single"/>
        </w:rPr>
        <w:tab/>
      </w:r>
      <w:r>
        <w:rPr>
          <w:rFonts w:ascii="宋体"/>
          <w:b/>
          <w:bCs/>
          <w:sz w:val="32"/>
          <w:u w:val="single"/>
        </w:rPr>
        <w:t xml:space="preserve">  </w:t>
      </w:r>
      <w:r>
        <w:rPr>
          <w:rFonts w:hint="eastAsia" w:ascii="宋体"/>
          <w:b/>
          <w:bCs/>
          <w:sz w:val="32"/>
          <w:u w:val="single"/>
          <w:lang w:val="en-US" w:eastAsia="zh-CN"/>
        </w:rPr>
        <w:t>2026年10月25日</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r>
        <w:rPr>
          <w:rFonts w:hint="eastAsia" w:ascii="宋体"/>
          <w:b/>
          <w:bCs/>
          <w:sz w:val="32"/>
          <w:u w:val="single"/>
        </w:rPr>
        <w:t xml:space="preserve">  </w:t>
      </w:r>
      <w:r>
        <w:rPr>
          <w:rFonts w:ascii="宋体"/>
          <w:b/>
          <w:bCs/>
          <w:sz w:val="32"/>
          <w:u w:val="single"/>
        </w:rPr>
        <w:t xml:space="preserve">   </w:t>
      </w:r>
    </w:p>
    <w:p w14:paraId="1A200727">
      <w:pPr>
        <w:spacing w:line="600" w:lineRule="exact"/>
        <w:jc w:val="center"/>
        <w:rPr>
          <w:rFonts w:ascii="宋体"/>
          <w:sz w:val="32"/>
        </w:rPr>
      </w:pPr>
    </w:p>
    <w:p w14:paraId="076EC58D">
      <w:pPr>
        <w:spacing w:line="600" w:lineRule="exact"/>
        <w:jc w:val="center"/>
        <w:rPr>
          <w:rFonts w:ascii="宋体"/>
          <w:sz w:val="44"/>
        </w:rPr>
      </w:pPr>
    </w:p>
    <w:p w14:paraId="794AD541">
      <w:pPr>
        <w:jc w:val="center"/>
        <w:rPr>
          <w:rFonts w:ascii="宋体"/>
          <w:sz w:val="44"/>
        </w:rPr>
      </w:pPr>
    </w:p>
    <w:p w14:paraId="4B89C410">
      <w:pPr>
        <w:jc w:val="center"/>
        <w:rPr>
          <w:rFonts w:ascii="宋体"/>
          <w:sz w:val="44"/>
        </w:rPr>
      </w:pPr>
    </w:p>
    <w:p w14:paraId="7AFE69A4"/>
    <w:p w14:paraId="139F3B31">
      <w:pPr>
        <w:jc w:val="center"/>
        <w:rPr>
          <w:sz w:val="32"/>
          <w:szCs w:val="32"/>
        </w:rPr>
      </w:pPr>
      <w:r>
        <w:rPr>
          <w:rFonts w:hint="eastAsia" w:ascii="黑体" w:hAnsi="黑体" w:eastAsia="黑体"/>
          <w:sz w:val="32"/>
          <w:szCs w:val="32"/>
        </w:rPr>
        <w:t>上海市教育科学规划领导小组办公室</w:t>
      </w:r>
    </w:p>
    <w:p w14:paraId="1F77CB99">
      <w:pPr>
        <w:spacing w:line="600" w:lineRule="exact"/>
        <w:jc w:val="center"/>
        <w:rPr>
          <w:rFonts w:ascii="宋体"/>
          <w:sz w:val="32"/>
        </w:rPr>
      </w:pPr>
    </w:p>
    <w:p w14:paraId="306CB924">
      <w:pPr>
        <w:pageBreakBefore w:val="0"/>
        <w:overflowPunct w:val="0"/>
        <w:bidi w:val="0"/>
        <w:snapToGrid w:val="0"/>
        <w:spacing w:before="0" w:after="0" w:line="360" w:lineRule="auto"/>
        <w:jc w:val="both"/>
        <w:textAlignment w:val="auto"/>
        <w:outlineLvl w:val="0"/>
        <w:rPr>
          <w:rFonts w:hint="eastAsia" w:ascii="宋体" w:hAnsi="宋体" w:eastAsia="宋体" w:cs="宋体"/>
          <w:b w:val="0"/>
          <w:color w:val="000000"/>
          <w:kern w:val="0"/>
          <w:sz w:val="24"/>
        </w:rPr>
      </w:pPr>
    </w:p>
    <w:p w14:paraId="05E2AC8D">
      <w:pPr>
        <w:pStyle w:val="11"/>
        <w:keepNext w:val="0"/>
        <w:keepLines w:val="0"/>
        <w:widowControl/>
        <w:suppressLineNumbers w:val="0"/>
      </w:pPr>
      <w:r>
        <w:rPr>
          <w:rStyle w:val="15"/>
        </w:rPr>
        <w:t>摘要</w:t>
      </w:r>
    </w:p>
    <w:p w14:paraId="4705EA73">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面向核心素养导向的育人要求，本研究聚焦中学生高阶能力目标难以转化为具体学习过程、学生思维表现不易观察以及教学反馈与学习改进衔接不足等问题，以“可见的学习”为理论视角，探索高阶能力培育的学习模型、教学支持方式与学校实践路径。研究立足学校真实教学情境，综合运用文献研究法、问卷调查法、访谈法、行动研究法、课堂观察法和案例研究法，按照现状诊断、模型建构、两域实践、成效评价与迭代优化的思路推进，结合1346组学生前后测记录、163组教师对应记录，以及课堂评价、学生作品、访谈和课堂行为数据，开展量化分析与质性材料的综合研究。</w:t>
      </w:r>
    </w:p>
    <w:p w14:paraId="3AC9CC90">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研究形成了以分析、评价、创造、责任担当、情绪调节、合作共情和包容创新七维能力为目标的高阶能力培育模型2.0版。模型将学生“目标引领—任务驱动—探究展学—反馈迭代—反思迁移”五环学习与教师“诊断发现—干预设计—实施推进—评估改进”四步调节融为协同运行的过程，以浅层、深层和迁移学习贯穿任务推进，以目标、思维、证据、进步和能力可见连接学习表现与教学判断。实践中确立学科教学的基础域地位与科创教育的拓展域功能，将学科教学的知识、目标、实践、评价四要素，拓展为科创教育的知识、目标、方案、实践、评价五要素，并提炼任务性、验证性、论证性、建构性和创新性五种高阶学习典型样态。</w:t>
      </w:r>
    </w:p>
    <w:p w14:paraId="2BE8E7E4">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研究结果显示，学生高阶能力总体自评均值由3.635提高至4.500，七个维度均呈显著提高，Holm校正后均为p＜0.001。按现有教师对应关系比较，教师认知与价值认同、课堂教学实践和教学自我效能自评提高，现实阻碍感受下降。课堂与作品材料进一步呈现出学生分析路径更加清晰、证据运用与观点修订增多、方案比较和合作探究逐步深化等变化；教师专业关注也由活动安排进一步转向学习证据、过程反馈与差异支持。2023—2025年学生科创累计获得539获奖项次，形成跨年度、多层级的成果积累，为科创拓展实践提供了补充证据。</w:t>
      </w:r>
    </w:p>
    <w:p w14:paraId="428CB2E4">
      <w:pPr>
        <w:pageBreakBefore w:val="0"/>
        <w:overflowPunct w:val="0"/>
        <w:bidi w:val="0"/>
        <w:snapToGrid w:val="0"/>
        <w:spacing w:before="0" w:after="0" w:line="360" w:lineRule="auto"/>
        <w:ind w:firstLineChars="200"/>
        <w:jc w:val="both"/>
        <w:textAlignment w:val="auto"/>
        <w:rPr>
          <w:rFonts w:hint="eastAsia" w:ascii="宋体" w:hAnsi="宋体" w:eastAsia="宋体" w:cs="宋体"/>
          <w:b w:val="0"/>
          <w:color w:val="000000"/>
          <w:kern w:val="0"/>
          <w:sz w:val="24"/>
        </w:rPr>
      </w:pPr>
      <w:r>
        <w:rPr>
          <w:rFonts w:hint="eastAsia" w:ascii="宋体" w:hAnsi="宋体" w:eastAsia="宋体" w:cs="宋体"/>
          <w:b w:val="0"/>
          <w:color w:val="000000"/>
          <w:kern w:val="0"/>
          <w:sz w:val="24"/>
        </w:rPr>
        <w:t>本研究将能力目标、学习过程、教师支持和评价证据联系起来，形成了可用于课堂设计、项目实施与校本研修的模型、工具和案例资源。受自评方式、施测口径及单组前后测设计限制，相关结果主要支持本校实践中的阶段性变化与模型可实施性判断，为学校持续推进高阶能力培育提供参考。</w:t>
      </w:r>
    </w:p>
    <w:p w14:paraId="476A04D9">
      <w:pPr>
        <w:pageBreakBefore w:val="0"/>
        <w:overflowPunct w:val="0"/>
        <w:bidi w:val="0"/>
        <w:snapToGrid w:val="0"/>
        <w:spacing w:before="0" w:line="360" w:lineRule="auto"/>
        <w:ind w:firstLineChars="200"/>
        <w:jc w:val="both"/>
        <w:textAlignment w:val="auto"/>
        <w:rPr>
          <w:rFonts w:hint="eastAsia" w:ascii="宋体" w:hAnsi="宋体" w:eastAsia="宋体" w:cs="宋体"/>
          <w:b w:val="0"/>
          <w:color w:val="000000"/>
          <w:kern w:val="0"/>
          <w:sz w:val="24"/>
        </w:rPr>
        <w:sectPr>
          <w:pgSz w:w="11906" w:h="16838"/>
          <w:pgMar w:top="1440" w:right="1701" w:bottom="1440" w:left="1803" w:header="0" w:footer="0" w:gutter="0"/>
          <w:pgNumType w:fmt="decimal"/>
          <w:cols w:space="720" w:num="1"/>
          <w:formProt w:val="0"/>
          <w:docGrid w:type="lines" w:linePitch="312" w:charSpace="0"/>
        </w:sectPr>
      </w:pPr>
      <w:r>
        <w:rPr>
          <w:rFonts w:hint="eastAsia" w:ascii="宋体" w:hAnsi="宋体" w:eastAsia="宋体" w:cs="宋体"/>
          <w:b/>
          <w:bCs/>
          <w:color w:val="000000"/>
          <w:kern w:val="0"/>
          <w:sz w:val="24"/>
        </w:rPr>
        <w:t>关键词：</w:t>
      </w:r>
      <w:r>
        <w:rPr>
          <w:rFonts w:hint="eastAsia" w:ascii="宋体" w:hAnsi="宋体" w:eastAsia="宋体" w:cs="宋体"/>
          <w:b w:val="0"/>
          <w:color w:val="000000"/>
          <w:kern w:val="0"/>
          <w:sz w:val="24"/>
        </w:rPr>
        <w:t>可见的学习，高阶能力，高阶思维能力，高阶社会情感能力</w:t>
      </w:r>
    </w:p>
    <w:sdt>
      <w:sdtPr>
        <w:rPr>
          <w:rFonts w:ascii="宋体" w:hAnsi="宋体" w:eastAsia="宋体" w:cstheme="minorBidi"/>
          <w:kern w:val="2"/>
          <w:sz w:val="21"/>
          <w:szCs w:val="24"/>
          <w:lang w:val="en-US" w:eastAsia="zh-CN" w:bidi="ar-SA"/>
        </w:rPr>
        <w:id w:val="147469067"/>
        <w15:color w:val="DBDBDB"/>
        <w:docPartObj>
          <w:docPartGallery w:val="Table of Contents"/>
          <w:docPartUnique/>
        </w:docPartObj>
      </w:sdtPr>
      <w:sdtEndPr>
        <w:rPr>
          <w:rFonts w:hint="eastAsia" w:ascii="宋体" w:hAnsi="宋体" w:eastAsia="宋体" w:cs="宋体"/>
          <w:kern w:val="2"/>
          <w:sz w:val="21"/>
          <w:szCs w:val="32"/>
          <w:lang w:val="en-US" w:eastAsia="zh-CN" w:bidi="ar-SA"/>
        </w:rPr>
      </w:sdtEndPr>
      <w:sdtContent>
        <w:p w14:paraId="51E6C01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3EF5344">
          <w:pPr>
            <w:pStyle w:val="8"/>
            <w:tabs>
              <w:tab w:val="right" w:leader="dot" w:pos="8306"/>
            </w:tabs>
          </w:pPr>
          <w:r>
            <w:rPr>
              <w:rFonts w:hint="eastAsia" w:ascii="宋体" w:hAnsi="宋体" w:eastAsia="宋体" w:cs="宋体"/>
              <w:kern w:val="2"/>
              <w:sz w:val="21"/>
              <w:szCs w:val="32"/>
              <w:lang w:val="en-US" w:eastAsia="zh-CN" w:bidi="ar-SA"/>
            </w:rPr>
            <w:fldChar w:fldCharType="begin"/>
          </w:r>
          <w:r>
            <w:rPr>
              <w:rFonts w:hint="eastAsia" w:ascii="宋体" w:hAnsi="宋体" w:eastAsia="宋体" w:cs="宋体"/>
              <w:kern w:val="2"/>
              <w:sz w:val="21"/>
              <w:szCs w:val="32"/>
              <w:lang w:val="en-US" w:eastAsia="zh-CN" w:bidi="ar-SA"/>
            </w:rPr>
            <w:instrText xml:space="preserve">TOC \o "1-4" \h \u </w:instrText>
          </w:r>
          <w:r>
            <w:rPr>
              <w:rFonts w:hint="eastAsia" w:ascii="宋体" w:hAnsi="宋体" w:eastAsia="宋体" w:cs="宋体"/>
              <w:kern w:val="2"/>
              <w:sz w:val="21"/>
              <w:szCs w:val="32"/>
              <w:lang w:val="en-US" w:eastAsia="zh-CN" w:bidi="ar-SA"/>
            </w:rPr>
            <w:fldChar w:fldCharType="separate"/>
          </w: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_Toc20183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一、</w:t>
          </w:r>
          <w:r>
            <w:rPr>
              <w:rFonts w:hint="eastAsia" w:ascii="宋体" w:hAnsi="宋体" w:eastAsia="宋体" w:cs="宋体"/>
              <w:bCs/>
            </w:rPr>
            <w:t>背景与意义</w:t>
          </w:r>
          <w:r>
            <w:tab/>
          </w:r>
          <w:r>
            <w:fldChar w:fldCharType="begin"/>
          </w:r>
          <w:r>
            <w:instrText xml:space="preserve"> PAGEREF _Toc20183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35E6AED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_Toc11125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（一） </w:t>
          </w:r>
          <w:r>
            <w:rPr>
              <w:rFonts w:hint="eastAsia" w:ascii="宋体" w:hAnsi="宋体" w:eastAsia="宋体" w:cs="宋体"/>
              <w:bCs/>
            </w:rPr>
            <w:t>研究背景</w:t>
          </w:r>
          <w:r>
            <w:tab/>
          </w:r>
          <w:r>
            <w:fldChar w:fldCharType="begin"/>
          </w:r>
          <w:r>
            <w:instrText xml:space="preserve"> PAGEREF _Toc11125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46E1E9C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_Toc22824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1.国家课程改革要求学生在真实情境中综合运用知识解决问题</w:t>
          </w:r>
          <w:r>
            <w:tab/>
          </w:r>
          <w:r>
            <w:fldChar w:fldCharType="begin"/>
          </w:r>
          <w:r>
            <w:instrText xml:space="preserve"> PAGEREF _Toc22824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35F66D5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_Toc7644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2.上海基础教育改革为高阶能力培育提供了制度环境和实践要求</w:t>
          </w:r>
          <w:r>
            <w:tab/>
          </w:r>
          <w:r>
            <w:fldChar w:fldCharType="begin"/>
          </w:r>
          <w:r>
            <w:instrText xml:space="preserve"> PAGEREF _Toc7644 \h </w:instrText>
          </w:r>
          <w:r>
            <w:fldChar w:fldCharType="separate"/>
          </w:r>
          <w:r>
            <w:t>8</w:t>
          </w:r>
          <w:r>
            <w:fldChar w:fldCharType="end"/>
          </w:r>
          <w:r>
            <w:rPr>
              <w:rFonts w:hint="eastAsia" w:ascii="宋体" w:hAnsi="宋体" w:eastAsia="宋体" w:cs="宋体"/>
              <w:kern w:val="2"/>
              <w:szCs w:val="32"/>
              <w:lang w:val="en-US" w:eastAsia="zh-CN" w:bidi="ar-SA"/>
            </w:rPr>
            <w:fldChar w:fldCharType="end"/>
          </w:r>
        </w:p>
        <w:p w14:paraId="1567D3C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_Toc23815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3.人工智能的普及使独立思考和判断变得更加重要</w:t>
          </w:r>
          <w:r>
            <w:tab/>
          </w:r>
          <w:r>
            <w:fldChar w:fldCharType="begin"/>
          </w:r>
          <w:r>
            <w:instrText xml:space="preserve"> PAGEREF _Toc23815 \h </w:instrText>
          </w:r>
          <w:r>
            <w:fldChar w:fldCharType="separate"/>
          </w:r>
          <w:r>
            <w:t>10</w:t>
          </w:r>
          <w:r>
            <w:fldChar w:fldCharType="end"/>
          </w:r>
          <w:r>
            <w:rPr>
              <w:rFonts w:hint="eastAsia" w:ascii="宋体" w:hAnsi="宋体" w:eastAsia="宋体" w:cs="宋体"/>
              <w:kern w:val="2"/>
              <w:szCs w:val="32"/>
              <w:lang w:val="en-US" w:eastAsia="zh-CN" w:bidi="ar-SA"/>
            </w:rPr>
            <w:fldChar w:fldCharType="end"/>
          </w:r>
        </w:p>
        <w:p w14:paraId="17AAECC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_Toc21411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4.课堂中高阶学习是否真正发生难以仅凭活动和考试结果判断</w:t>
          </w:r>
          <w:r>
            <w:tab/>
          </w:r>
          <w:r>
            <w:fldChar w:fldCharType="begin"/>
          </w:r>
          <w:r>
            <w:instrText xml:space="preserve"> PAGEREF _Toc21411 \h </w:instrText>
          </w:r>
          <w:r>
            <w:fldChar w:fldCharType="separate"/>
          </w:r>
          <w:r>
            <w:t>10</w:t>
          </w:r>
          <w:r>
            <w:fldChar w:fldCharType="end"/>
          </w:r>
          <w:r>
            <w:rPr>
              <w:rFonts w:hint="eastAsia" w:ascii="宋体" w:hAnsi="宋体" w:eastAsia="宋体" w:cs="宋体"/>
              <w:kern w:val="2"/>
              <w:szCs w:val="32"/>
              <w:lang w:val="en-US" w:eastAsia="zh-CN" w:bidi="ar-SA"/>
            </w:rPr>
            <w:fldChar w:fldCharType="end"/>
          </w:r>
        </w:p>
        <w:p w14:paraId="1437719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_Toc32678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5.学校已有实践需要由零散探索走向系统推进</w:t>
          </w:r>
          <w:r>
            <w:tab/>
          </w:r>
          <w:r>
            <w:fldChar w:fldCharType="begin"/>
          </w:r>
          <w:r>
            <w:instrText xml:space="preserve"> PAGEREF _Toc32678 \h </w:instrText>
          </w:r>
          <w:r>
            <w:fldChar w:fldCharType="separate"/>
          </w:r>
          <w:r>
            <w:t>11</w:t>
          </w:r>
          <w:r>
            <w:fldChar w:fldCharType="end"/>
          </w:r>
          <w:r>
            <w:rPr>
              <w:rFonts w:hint="eastAsia" w:ascii="宋体" w:hAnsi="宋体" w:eastAsia="宋体" w:cs="宋体"/>
              <w:kern w:val="2"/>
              <w:szCs w:val="32"/>
              <w:lang w:val="en-US" w:eastAsia="zh-CN" w:bidi="ar-SA"/>
            </w:rPr>
            <w:fldChar w:fldCharType="end"/>
          </w:r>
        </w:p>
        <w:p w14:paraId="64A6581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_Toc1926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（二） </w:t>
          </w:r>
          <w:r>
            <w:rPr>
              <w:rFonts w:hint="eastAsia" w:ascii="宋体" w:hAnsi="宋体" w:eastAsia="宋体" w:cs="宋体"/>
              <w:bCs/>
            </w:rPr>
            <w:t>文献综述</w:t>
          </w:r>
          <w:r>
            <w:tab/>
          </w:r>
          <w:r>
            <w:fldChar w:fldCharType="begin"/>
          </w:r>
          <w:r>
            <w:instrText xml:space="preserve"> PAGEREF _Toc1926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27C01D3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_Toc23007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关于高阶能力的研究</w:t>
          </w:r>
          <w:r>
            <w:tab/>
          </w:r>
          <w:r>
            <w:fldChar w:fldCharType="begin"/>
          </w:r>
          <w:r>
            <w:instrText xml:space="preserve"> PAGEREF _Toc23007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561D2B3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_Toc15320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文献检索与总体情况</w:t>
          </w:r>
          <w:r>
            <w:tab/>
          </w:r>
          <w:r>
            <w:fldChar w:fldCharType="begin"/>
          </w:r>
          <w:r>
            <w:instrText xml:space="preserve"> PAGEREF _Toc15320 \h </w:instrText>
          </w:r>
          <w:r>
            <w:fldChar w:fldCharType="separate"/>
          </w:r>
          <w:r>
            <w:t>12</w:t>
          </w:r>
          <w:r>
            <w:fldChar w:fldCharType="end"/>
          </w:r>
          <w:r>
            <w:rPr>
              <w:rFonts w:hint="eastAsia" w:ascii="宋体" w:hAnsi="宋体" w:eastAsia="宋体" w:cs="宋体"/>
              <w:kern w:val="2"/>
              <w:szCs w:val="32"/>
              <w:lang w:val="en-US" w:eastAsia="zh-CN" w:bidi="ar-SA"/>
            </w:rPr>
            <w:fldChar w:fldCharType="end"/>
          </w:r>
        </w:p>
        <w:p w14:paraId="1711987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主要研究主题</w:t>
          </w:r>
          <w:r>
            <w:tab/>
          </w:r>
          <w:r>
            <w:fldChar w:fldCharType="begin"/>
          </w:r>
          <w:r>
            <w:instrText xml:space="preserve"> PAGEREF _Toc1551 \h </w:instrText>
          </w:r>
          <w:r>
            <w:fldChar w:fldCharType="separate"/>
          </w:r>
          <w:r>
            <w:t>13</w:t>
          </w:r>
          <w:r>
            <w:fldChar w:fldCharType="end"/>
          </w:r>
          <w:r>
            <w:rPr>
              <w:rFonts w:hint="eastAsia" w:ascii="宋体" w:hAnsi="宋体" w:eastAsia="宋体" w:cs="宋体"/>
              <w:kern w:val="2"/>
              <w:szCs w:val="32"/>
              <w:lang w:val="en-US" w:eastAsia="zh-CN" w:bidi="ar-SA"/>
            </w:rPr>
            <w:fldChar w:fldCharType="end"/>
          </w:r>
        </w:p>
        <w:p w14:paraId="5528D26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_Toc9590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关于可见的学习的研究</w:t>
          </w:r>
          <w:r>
            <w:tab/>
          </w:r>
          <w:r>
            <w:fldChar w:fldCharType="begin"/>
          </w:r>
          <w:r>
            <w:instrText xml:space="preserve"> PAGEREF _Toc9590 \h </w:instrText>
          </w:r>
          <w:r>
            <w:fldChar w:fldCharType="separate"/>
          </w:r>
          <w:r>
            <w:t>19</w:t>
          </w:r>
          <w:r>
            <w:fldChar w:fldCharType="end"/>
          </w:r>
          <w:r>
            <w:rPr>
              <w:rFonts w:hint="eastAsia" w:ascii="宋体" w:hAnsi="宋体" w:eastAsia="宋体" w:cs="宋体"/>
              <w:kern w:val="2"/>
              <w:szCs w:val="32"/>
              <w:lang w:val="en-US" w:eastAsia="zh-CN" w:bidi="ar-SA"/>
            </w:rPr>
            <w:fldChar w:fldCharType="end"/>
          </w:r>
        </w:p>
        <w:p w14:paraId="026A090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_Toc8649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 xml:space="preserve">（1） </w:t>
          </w:r>
          <w:r>
            <w:rPr>
              <w:rFonts w:hint="eastAsia" w:ascii="宋体" w:hAnsi="宋体" w:eastAsia="宋体" w:cs="宋体"/>
            </w:rPr>
            <w:t>文献检索与总体情况</w:t>
          </w:r>
          <w:r>
            <w:tab/>
          </w:r>
          <w:r>
            <w:fldChar w:fldCharType="begin"/>
          </w:r>
          <w:r>
            <w:instrText xml:space="preserve"> PAGEREF _Toc8649 \h </w:instrText>
          </w:r>
          <w:r>
            <w:fldChar w:fldCharType="separate"/>
          </w:r>
          <w:r>
            <w:t>19</w:t>
          </w:r>
          <w:r>
            <w:fldChar w:fldCharType="end"/>
          </w:r>
          <w:r>
            <w:rPr>
              <w:rFonts w:hint="eastAsia" w:ascii="宋体" w:hAnsi="宋体" w:eastAsia="宋体" w:cs="宋体"/>
              <w:kern w:val="2"/>
              <w:szCs w:val="32"/>
              <w:lang w:val="en-US" w:eastAsia="zh-CN" w:bidi="ar-SA"/>
            </w:rPr>
            <w:fldChar w:fldCharType="end"/>
          </w:r>
        </w:p>
        <w:p w14:paraId="2A5DF60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_Toc24363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 xml:space="preserve">（2） </w:t>
          </w:r>
          <w:r>
            <w:rPr>
              <w:rFonts w:hint="eastAsia" w:ascii="宋体" w:hAnsi="宋体" w:eastAsia="宋体" w:cs="宋体"/>
            </w:rPr>
            <w:t>主要研究主题</w:t>
          </w:r>
          <w:r>
            <w:tab/>
          </w:r>
          <w:r>
            <w:fldChar w:fldCharType="begin"/>
          </w:r>
          <w:r>
            <w:instrText xml:space="preserve"> PAGEREF _Toc24363 \h </w:instrText>
          </w:r>
          <w:r>
            <w:fldChar w:fldCharType="separate"/>
          </w:r>
          <w:r>
            <w:t>20</w:t>
          </w:r>
          <w:r>
            <w:fldChar w:fldCharType="end"/>
          </w:r>
          <w:r>
            <w:rPr>
              <w:rFonts w:hint="eastAsia" w:ascii="宋体" w:hAnsi="宋体" w:eastAsia="宋体" w:cs="宋体"/>
              <w:kern w:val="2"/>
              <w:szCs w:val="32"/>
              <w:lang w:val="en-US" w:eastAsia="zh-CN" w:bidi="ar-SA"/>
            </w:rPr>
            <w:fldChar w:fldCharType="end"/>
          </w:r>
        </w:p>
        <w:p w14:paraId="686A947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可见的学习与高阶能力培育的契合</w:t>
          </w:r>
          <w:r>
            <w:tab/>
          </w:r>
          <w:r>
            <w:fldChar w:fldCharType="begin"/>
          </w:r>
          <w:r>
            <w:instrText xml:space="preserve"> PAGEREF _Toc2602 \h </w:instrText>
          </w:r>
          <w:r>
            <w:fldChar w:fldCharType="separate"/>
          </w:r>
          <w:r>
            <w:t>29</w:t>
          </w:r>
          <w:r>
            <w:fldChar w:fldCharType="end"/>
          </w:r>
          <w:r>
            <w:rPr>
              <w:rFonts w:hint="eastAsia" w:ascii="宋体" w:hAnsi="宋体" w:eastAsia="宋体" w:cs="宋体"/>
              <w:kern w:val="2"/>
              <w:szCs w:val="32"/>
              <w:lang w:val="en-US" w:eastAsia="zh-CN" w:bidi="ar-SA"/>
            </w:rPr>
            <w:fldChar w:fldCharType="end"/>
          </w:r>
        </w:p>
        <w:p w14:paraId="2190625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_Toc12586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已有研究的不足与本研究的切入点</w:t>
          </w:r>
          <w:r>
            <w:tab/>
          </w:r>
          <w:r>
            <w:fldChar w:fldCharType="begin"/>
          </w:r>
          <w:r>
            <w:instrText xml:space="preserve"> PAGEREF _Toc12586 \h </w:instrText>
          </w:r>
          <w:r>
            <w:fldChar w:fldCharType="separate"/>
          </w:r>
          <w:r>
            <w:t>30</w:t>
          </w:r>
          <w:r>
            <w:fldChar w:fldCharType="end"/>
          </w:r>
          <w:r>
            <w:rPr>
              <w:rFonts w:hint="eastAsia" w:ascii="宋体" w:hAnsi="宋体" w:eastAsia="宋体" w:cs="宋体"/>
              <w:kern w:val="2"/>
              <w:szCs w:val="32"/>
              <w:lang w:val="en-US" w:eastAsia="zh-CN" w:bidi="ar-SA"/>
            </w:rPr>
            <w:fldChar w:fldCharType="end"/>
          </w:r>
        </w:p>
        <w:p w14:paraId="5DAB3F83">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_Toc4061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（三） </w:t>
          </w:r>
          <w:r>
            <w:rPr>
              <w:rFonts w:hint="eastAsia" w:ascii="宋体" w:hAnsi="宋体" w:eastAsia="宋体" w:cs="宋体"/>
              <w:bCs/>
            </w:rPr>
            <w:t>研究意义</w:t>
          </w:r>
          <w:r>
            <w:tab/>
          </w:r>
          <w:r>
            <w:fldChar w:fldCharType="begin"/>
          </w:r>
          <w:r>
            <w:instrText xml:space="preserve"> PAGEREF _Toc4061 \h </w:instrText>
          </w:r>
          <w:r>
            <w:fldChar w:fldCharType="separate"/>
          </w:r>
          <w:r>
            <w:t>31</w:t>
          </w:r>
          <w:r>
            <w:fldChar w:fldCharType="end"/>
          </w:r>
          <w:r>
            <w:rPr>
              <w:rFonts w:hint="eastAsia" w:ascii="宋体" w:hAnsi="宋体" w:eastAsia="宋体" w:cs="宋体"/>
              <w:kern w:val="2"/>
              <w:szCs w:val="32"/>
              <w:lang w:val="en-US" w:eastAsia="zh-CN" w:bidi="ar-SA"/>
            </w:rPr>
            <w:fldChar w:fldCharType="end"/>
          </w:r>
        </w:p>
        <w:p w14:paraId="15C6A6E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_Toc21918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1.理论意义</w:t>
          </w:r>
          <w:r>
            <w:tab/>
          </w:r>
          <w:r>
            <w:fldChar w:fldCharType="begin"/>
          </w:r>
          <w:r>
            <w:instrText xml:space="preserve"> PAGEREF _Toc21918 \h </w:instrText>
          </w:r>
          <w:r>
            <w:fldChar w:fldCharType="separate"/>
          </w:r>
          <w:r>
            <w:t>31</w:t>
          </w:r>
          <w:r>
            <w:fldChar w:fldCharType="end"/>
          </w:r>
          <w:r>
            <w:rPr>
              <w:rFonts w:hint="eastAsia" w:ascii="宋体" w:hAnsi="宋体" w:eastAsia="宋体" w:cs="宋体"/>
              <w:kern w:val="2"/>
              <w:szCs w:val="32"/>
              <w:lang w:val="en-US" w:eastAsia="zh-CN" w:bidi="ar-SA"/>
            </w:rPr>
            <w:fldChar w:fldCharType="end"/>
          </w:r>
        </w:p>
        <w:p w14:paraId="31A48F6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_Toc2050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2.实践意义</w:t>
          </w:r>
          <w:r>
            <w:tab/>
          </w:r>
          <w:r>
            <w:fldChar w:fldCharType="begin"/>
          </w:r>
          <w:r>
            <w:instrText xml:space="preserve"> PAGEREF _Toc2050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2F59A4F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_Toc10833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3.方法意义</w:t>
          </w:r>
          <w:r>
            <w:tab/>
          </w:r>
          <w:r>
            <w:fldChar w:fldCharType="begin"/>
          </w:r>
          <w:r>
            <w:instrText xml:space="preserve"> PAGEREF _Toc10833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EB61974">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_Toc2460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2"/>
              <w:szCs w:val="32"/>
              <w:lang w:val="en-US" w:eastAsia="zh-CN" w:bidi="ar-SA"/>
            </w:rPr>
            <w:t>二</w:t>
          </w:r>
          <w:r>
            <w:rPr>
              <w:rFonts w:hint="eastAsia" w:ascii="宋体" w:hAnsi="宋体" w:eastAsia="宋体" w:cs="宋体"/>
              <w:bCs/>
              <w:szCs w:val="30"/>
            </w:rPr>
            <w:t xml:space="preserve">、 </w:t>
          </w:r>
          <w:r>
            <w:rPr>
              <w:rFonts w:hint="eastAsia" w:ascii="宋体" w:hAnsi="宋体" w:eastAsia="宋体" w:cs="宋体"/>
              <w:bCs/>
            </w:rPr>
            <w:t>思路与设计</w:t>
          </w:r>
          <w:r>
            <w:tab/>
          </w:r>
          <w:r>
            <w:fldChar w:fldCharType="begin"/>
          </w:r>
          <w:r>
            <w:instrText xml:space="preserve"> PAGEREF _Toc2460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0CB0A7D">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（一） </w:t>
          </w:r>
          <w:r>
            <w:rPr>
              <w:rFonts w:hint="eastAsia" w:ascii="宋体" w:hAnsi="宋体" w:eastAsia="宋体" w:cs="宋体"/>
              <w:bCs/>
            </w:rPr>
            <w:t>核心概念界定</w:t>
          </w:r>
          <w:r>
            <w:tab/>
          </w:r>
          <w:r>
            <w:fldChar w:fldCharType="begin"/>
          </w:r>
          <w:r>
            <w:instrText xml:space="preserve"> PAGEREF _Toc256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641E432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_Toc25401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1.中学生高阶能力</w:t>
          </w:r>
          <w:r>
            <w:tab/>
          </w:r>
          <w:r>
            <w:fldChar w:fldCharType="begin"/>
          </w:r>
          <w:r>
            <w:instrText xml:space="preserve"> PAGEREF _Toc25401 \h </w:instrText>
          </w:r>
          <w:r>
            <w:fldChar w:fldCharType="separate"/>
          </w:r>
          <w:r>
            <w:t>32</w:t>
          </w:r>
          <w:r>
            <w:fldChar w:fldCharType="end"/>
          </w:r>
          <w:r>
            <w:rPr>
              <w:rFonts w:hint="eastAsia" w:ascii="宋体" w:hAnsi="宋体" w:eastAsia="宋体" w:cs="宋体"/>
              <w:kern w:val="2"/>
              <w:szCs w:val="32"/>
              <w:lang w:val="en-US" w:eastAsia="zh-CN" w:bidi="ar-SA"/>
            </w:rPr>
            <w:fldChar w:fldCharType="end"/>
          </w:r>
        </w:p>
        <w:p w14:paraId="1D465F0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_Toc2771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（1）高阶思维能力</w:t>
          </w:r>
          <w:r>
            <w:tab/>
          </w:r>
          <w:r>
            <w:fldChar w:fldCharType="begin"/>
          </w:r>
          <w:r>
            <w:instrText xml:space="preserve"> PAGEREF _Toc2771 \h </w:instrText>
          </w:r>
          <w:r>
            <w:fldChar w:fldCharType="separate"/>
          </w:r>
          <w:r>
            <w:t>33</w:t>
          </w:r>
          <w:r>
            <w:fldChar w:fldCharType="end"/>
          </w:r>
          <w:r>
            <w:rPr>
              <w:rFonts w:hint="eastAsia" w:ascii="宋体" w:hAnsi="宋体" w:eastAsia="宋体" w:cs="宋体"/>
              <w:kern w:val="2"/>
              <w:szCs w:val="32"/>
              <w:lang w:val="en-US" w:eastAsia="zh-CN" w:bidi="ar-SA"/>
            </w:rPr>
            <w:fldChar w:fldCharType="end"/>
          </w:r>
        </w:p>
        <w:p w14:paraId="76475CC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（2）高阶社会情感能力</w:t>
          </w:r>
          <w:r>
            <w:tab/>
          </w:r>
          <w:r>
            <w:fldChar w:fldCharType="begin"/>
          </w:r>
          <w:r>
            <w:instrText xml:space="preserve"> PAGEREF _Toc29410 \h </w:instrText>
          </w:r>
          <w:r>
            <w:fldChar w:fldCharType="separate"/>
          </w:r>
          <w:r>
            <w:t>33</w:t>
          </w:r>
          <w:r>
            <w:fldChar w:fldCharType="end"/>
          </w:r>
          <w:r>
            <w:rPr>
              <w:rFonts w:hint="eastAsia" w:ascii="宋体" w:hAnsi="宋体" w:eastAsia="宋体" w:cs="宋体"/>
              <w:kern w:val="2"/>
              <w:szCs w:val="32"/>
              <w:lang w:val="en-US" w:eastAsia="zh-CN" w:bidi="ar-SA"/>
            </w:rPr>
            <w:fldChar w:fldCharType="end"/>
          </w:r>
        </w:p>
        <w:p w14:paraId="3C96E68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2.可见的学习</w:t>
          </w:r>
          <w:r>
            <w:tab/>
          </w:r>
          <w:r>
            <w:fldChar w:fldCharType="begin"/>
          </w:r>
          <w:r>
            <w:instrText xml:space="preserve"> PAGEREF _Toc273 \h </w:instrText>
          </w:r>
          <w:r>
            <w:fldChar w:fldCharType="separate"/>
          </w:r>
          <w:r>
            <w:t>34</w:t>
          </w:r>
          <w:r>
            <w:fldChar w:fldCharType="end"/>
          </w:r>
          <w:r>
            <w:rPr>
              <w:rFonts w:hint="eastAsia" w:ascii="宋体" w:hAnsi="宋体" w:eastAsia="宋体" w:cs="宋体"/>
              <w:kern w:val="2"/>
              <w:szCs w:val="32"/>
              <w:lang w:val="en-US" w:eastAsia="zh-CN" w:bidi="ar-SA"/>
            </w:rPr>
            <w:fldChar w:fldCharType="end"/>
          </w:r>
        </w:p>
        <w:p w14:paraId="2E1C0C3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_Toc6815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3.学习证据</w:t>
          </w:r>
          <w:r>
            <w:tab/>
          </w:r>
          <w:r>
            <w:fldChar w:fldCharType="begin"/>
          </w:r>
          <w:r>
            <w:instrText xml:space="preserve"> PAGEREF _Toc6815 \h </w:instrText>
          </w:r>
          <w:r>
            <w:fldChar w:fldCharType="separate"/>
          </w:r>
          <w:r>
            <w:t>35</w:t>
          </w:r>
          <w:r>
            <w:fldChar w:fldCharType="end"/>
          </w:r>
          <w:r>
            <w:rPr>
              <w:rFonts w:hint="eastAsia" w:ascii="宋体" w:hAnsi="宋体" w:eastAsia="宋体" w:cs="宋体"/>
              <w:kern w:val="2"/>
              <w:szCs w:val="32"/>
              <w:lang w:val="en-US" w:eastAsia="zh-CN" w:bidi="ar-SA"/>
            </w:rPr>
            <w:fldChar w:fldCharType="end"/>
          </w:r>
        </w:p>
        <w:p w14:paraId="456645D8">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_Toc31761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（二） </w:t>
          </w:r>
          <w:r>
            <w:rPr>
              <w:rFonts w:hint="eastAsia" w:ascii="宋体" w:hAnsi="宋体" w:eastAsia="宋体" w:cs="宋体"/>
              <w:bCs/>
            </w:rPr>
            <w:t>理论框架</w:t>
          </w:r>
          <w:r>
            <w:tab/>
          </w:r>
          <w:r>
            <w:fldChar w:fldCharType="begin"/>
          </w:r>
          <w:r>
            <w:instrText xml:space="preserve"> PAGEREF _Toc31761 \h </w:instrText>
          </w:r>
          <w:r>
            <w:fldChar w:fldCharType="separate"/>
          </w:r>
          <w:r>
            <w:t>35</w:t>
          </w:r>
          <w:r>
            <w:fldChar w:fldCharType="end"/>
          </w:r>
          <w:r>
            <w:rPr>
              <w:rFonts w:hint="eastAsia" w:ascii="宋体" w:hAnsi="宋体" w:eastAsia="宋体" w:cs="宋体"/>
              <w:kern w:val="2"/>
              <w:szCs w:val="32"/>
              <w:lang w:val="en-US" w:eastAsia="zh-CN" w:bidi="ar-SA"/>
            </w:rPr>
            <w:fldChar w:fldCharType="end"/>
          </w:r>
        </w:p>
        <w:p w14:paraId="5F2B9A6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_Toc7702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（三） </w:t>
          </w:r>
          <w:r>
            <w:rPr>
              <w:rFonts w:hint="eastAsia" w:ascii="宋体" w:hAnsi="宋体" w:eastAsia="宋体" w:cs="宋体"/>
              <w:bCs/>
            </w:rPr>
            <w:t>研究问题与研究目标</w:t>
          </w:r>
          <w:r>
            <w:tab/>
          </w:r>
          <w:r>
            <w:fldChar w:fldCharType="begin"/>
          </w:r>
          <w:r>
            <w:instrText xml:space="preserve"> PAGEREF _Toc7702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3486F01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_Toc13032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1.研究问题</w:t>
          </w:r>
          <w:r>
            <w:tab/>
          </w:r>
          <w:r>
            <w:fldChar w:fldCharType="begin"/>
          </w:r>
          <w:r>
            <w:instrText xml:space="preserve"> PAGEREF _Toc13032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10C6451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_Toc23043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本研究围绕以下四个问题展开。</w:t>
          </w:r>
          <w:r>
            <w:tab/>
          </w:r>
          <w:r>
            <w:fldChar w:fldCharType="begin"/>
          </w:r>
          <w:r>
            <w:instrText xml:space="preserve"> PAGEREF _Toc23043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1DD7D549">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_Toc29038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2.研究目标</w:t>
          </w:r>
          <w:r>
            <w:tab/>
          </w:r>
          <w:r>
            <w:fldChar w:fldCharType="begin"/>
          </w:r>
          <w:r>
            <w:instrText xml:space="preserve"> PAGEREF _Toc29038 \h </w:instrText>
          </w:r>
          <w:r>
            <w:fldChar w:fldCharType="separate"/>
          </w:r>
          <w:r>
            <w:t>36</w:t>
          </w:r>
          <w:r>
            <w:fldChar w:fldCharType="end"/>
          </w:r>
          <w:r>
            <w:rPr>
              <w:rFonts w:hint="eastAsia" w:ascii="宋体" w:hAnsi="宋体" w:eastAsia="宋体" w:cs="宋体"/>
              <w:kern w:val="2"/>
              <w:szCs w:val="32"/>
              <w:lang w:val="en-US" w:eastAsia="zh-CN" w:bidi="ar-SA"/>
            </w:rPr>
            <w:fldChar w:fldCharType="end"/>
          </w:r>
        </w:p>
        <w:p w14:paraId="229B008F">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（四） </w:t>
          </w:r>
          <w:r>
            <w:rPr>
              <w:rFonts w:hint="eastAsia" w:ascii="宋体" w:hAnsi="宋体" w:eastAsia="宋体" w:cs="宋体"/>
              <w:bCs/>
            </w:rPr>
            <w:t>研究内容</w:t>
          </w:r>
          <w:r>
            <w:tab/>
          </w:r>
          <w:r>
            <w:fldChar w:fldCharType="begin"/>
          </w:r>
          <w:r>
            <w:instrText xml:space="preserve"> PAGEREF _Toc3236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12E02DC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_Toc16274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2</w:t>
          </w:r>
          <w:r>
            <w:rPr>
              <w:rFonts w:hint="eastAsia" w:ascii="宋体" w:hAnsi="宋体" w:eastAsia="宋体" w:cs="宋体"/>
              <w:kern w:val="0"/>
            </w:rPr>
            <w:t>.中学生高阶能力培育学习模型与教学模型的建构研究</w:t>
          </w:r>
          <w:r>
            <w:tab/>
          </w:r>
          <w:r>
            <w:fldChar w:fldCharType="begin"/>
          </w:r>
          <w:r>
            <w:instrText xml:space="preserve"> PAGEREF _Toc16274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29661B0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_Toc24138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3</w:t>
          </w:r>
          <w:r>
            <w:rPr>
              <w:rFonts w:hint="eastAsia" w:ascii="宋体" w:hAnsi="宋体" w:eastAsia="宋体" w:cs="宋体"/>
              <w:kern w:val="0"/>
            </w:rPr>
            <w:t>.中学生高阶能力培育模式的多场域实践研究</w:t>
          </w:r>
          <w:r>
            <w:tab/>
          </w:r>
          <w:r>
            <w:fldChar w:fldCharType="begin"/>
          </w:r>
          <w:r>
            <w:instrText xml:space="preserve"> PAGEREF _Toc24138 \h </w:instrText>
          </w:r>
          <w:r>
            <w:fldChar w:fldCharType="separate"/>
          </w:r>
          <w:r>
            <w:t>37</w:t>
          </w:r>
          <w:r>
            <w:fldChar w:fldCharType="end"/>
          </w:r>
          <w:r>
            <w:rPr>
              <w:rFonts w:hint="eastAsia" w:ascii="宋体" w:hAnsi="宋体" w:eastAsia="宋体" w:cs="宋体"/>
              <w:kern w:val="2"/>
              <w:szCs w:val="32"/>
              <w:lang w:val="en-US" w:eastAsia="zh-CN" w:bidi="ar-SA"/>
            </w:rPr>
            <w:fldChar w:fldCharType="end"/>
          </w:r>
        </w:p>
        <w:p w14:paraId="7EFA11E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_Toc19470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4</w:t>
          </w:r>
          <w:r>
            <w:rPr>
              <w:rFonts w:hint="eastAsia" w:ascii="宋体" w:hAnsi="宋体" w:eastAsia="宋体" w:cs="宋体"/>
              <w:kern w:val="0"/>
            </w:rPr>
            <w:t>.中学生高阶能力培育成效的评价与优化研究</w:t>
          </w:r>
          <w:r>
            <w:tab/>
          </w:r>
          <w:r>
            <w:fldChar w:fldCharType="begin"/>
          </w:r>
          <w:r>
            <w:instrText xml:space="preserve"> PAGEREF _Toc19470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494A0FB7">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_Toc5037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（五） </w:t>
          </w:r>
          <w:r>
            <w:rPr>
              <w:rFonts w:hint="eastAsia" w:ascii="宋体" w:hAnsi="宋体" w:eastAsia="宋体" w:cs="宋体"/>
              <w:bCs/>
            </w:rPr>
            <w:t>研究设计与方法</w:t>
          </w:r>
          <w:r>
            <w:tab/>
          </w:r>
          <w:r>
            <w:fldChar w:fldCharType="begin"/>
          </w:r>
          <w:r>
            <w:instrText xml:space="preserve"> PAGEREF _Toc5037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64BC82B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_Toc32252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1.总体设计</w:t>
          </w:r>
          <w:r>
            <w:tab/>
          </w:r>
          <w:r>
            <w:fldChar w:fldCharType="begin"/>
          </w:r>
          <w:r>
            <w:instrText xml:space="preserve"> PAGEREF _Toc32252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607D351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_Toc24510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2.研究方法</w:t>
          </w:r>
          <w:r>
            <w:tab/>
          </w:r>
          <w:r>
            <w:fldChar w:fldCharType="begin"/>
          </w:r>
          <w:r>
            <w:instrText xml:space="preserve"> PAGEREF _Toc24510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767483A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_Toc27614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（1）文献研究法</w:t>
          </w:r>
          <w:r>
            <w:tab/>
          </w:r>
          <w:r>
            <w:fldChar w:fldCharType="begin"/>
          </w:r>
          <w:r>
            <w:instrText xml:space="preserve"> PAGEREF _Toc27614 \h </w:instrText>
          </w:r>
          <w:r>
            <w:fldChar w:fldCharType="separate"/>
          </w:r>
          <w:r>
            <w:t>38</w:t>
          </w:r>
          <w:r>
            <w:fldChar w:fldCharType="end"/>
          </w:r>
          <w:r>
            <w:rPr>
              <w:rFonts w:hint="eastAsia" w:ascii="宋体" w:hAnsi="宋体" w:eastAsia="宋体" w:cs="宋体"/>
              <w:kern w:val="2"/>
              <w:szCs w:val="32"/>
              <w:lang w:val="en-US" w:eastAsia="zh-CN" w:bidi="ar-SA"/>
            </w:rPr>
            <w:fldChar w:fldCharType="end"/>
          </w:r>
        </w:p>
        <w:p w14:paraId="53B9019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_Toc14589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（2）问卷调查法</w:t>
          </w:r>
          <w:r>
            <w:tab/>
          </w:r>
          <w:r>
            <w:fldChar w:fldCharType="begin"/>
          </w:r>
          <w:r>
            <w:instrText xml:space="preserve"> PAGEREF _Toc14589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1B50642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_Toc11282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（3）访谈法</w:t>
          </w:r>
          <w:r>
            <w:tab/>
          </w:r>
          <w:r>
            <w:fldChar w:fldCharType="begin"/>
          </w:r>
          <w:r>
            <w:instrText xml:space="preserve"> PAGEREF _Toc11282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0E3B720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_Toc30376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（4）行动研究法</w:t>
          </w:r>
          <w:r>
            <w:tab/>
          </w:r>
          <w:r>
            <w:fldChar w:fldCharType="begin"/>
          </w:r>
          <w:r>
            <w:instrText xml:space="preserve"> PAGEREF _Toc30376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4A157B4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_Toc20948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（5）课堂观察法</w:t>
          </w:r>
          <w:r>
            <w:tab/>
          </w:r>
          <w:r>
            <w:fldChar w:fldCharType="begin"/>
          </w:r>
          <w:r>
            <w:instrText xml:space="preserve"> PAGEREF _Toc20948 \h </w:instrText>
          </w:r>
          <w:r>
            <w:fldChar w:fldCharType="separate"/>
          </w:r>
          <w:r>
            <w:t>39</w:t>
          </w:r>
          <w:r>
            <w:fldChar w:fldCharType="end"/>
          </w:r>
          <w:r>
            <w:rPr>
              <w:rFonts w:hint="eastAsia" w:ascii="宋体" w:hAnsi="宋体" w:eastAsia="宋体" w:cs="宋体"/>
              <w:kern w:val="2"/>
              <w:szCs w:val="32"/>
              <w:lang w:val="en-US" w:eastAsia="zh-CN" w:bidi="ar-SA"/>
            </w:rPr>
            <w:fldChar w:fldCharType="end"/>
          </w:r>
        </w:p>
        <w:p w14:paraId="72B78A3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_Toc23613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（6）案例研究法</w:t>
          </w:r>
          <w:r>
            <w:tab/>
          </w:r>
          <w:r>
            <w:fldChar w:fldCharType="begin"/>
          </w:r>
          <w:r>
            <w:instrText xml:space="preserve"> PAGEREF _Toc23613 \h </w:instrText>
          </w:r>
          <w:r>
            <w:fldChar w:fldCharType="separate"/>
          </w:r>
          <w:r>
            <w:t>40</w:t>
          </w:r>
          <w:r>
            <w:fldChar w:fldCharType="end"/>
          </w:r>
          <w:r>
            <w:rPr>
              <w:rFonts w:hint="eastAsia" w:ascii="宋体" w:hAnsi="宋体" w:eastAsia="宋体" w:cs="宋体"/>
              <w:kern w:val="2"/>
              <w:szCs w:val="32"/>
              <w:lang w:val="en-US" w:eastAsia="zh-CN" w:bidi="ar-SA"/>
            </w:rPr>
            <w:fldChar w:fldCharType="end"/>
          </w:r>
        </w:p>
        <w:p w14:paraId="4B4A72A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_Toc17193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3.数据处理与证据整合</w:t>
          </w:r>
          <w:r>
            <w:tab/>
          </w:r>
          <w:r>
            <w:fldChar w:fldCharType="begin"/>
          </w:r>
          <w:r>
            <w:instrText xml:space="preserve"> PAGEREF _Toc17193 \h </w:instrText>
          </w:r>
          <w:r>
            <w:fldChar w:fldCharType="separate"/>
          </w:r>
          <w:r>
            <w:t>40</w:t>
          </w:r>
          <w:r>
            <w:fldChar w:fldCharType="end"/>
          </w:r>
          <w:r>
            <w:rPr>
              <w:rFonts w:hint="eastAsia" w:ascii="宋体" w:hAnsi="宋体" w:eastAsia="宋体" w:cs="宋体"/>
              <w:kern w:val="2"/>
              <w:szCs w:val="32"/>
              <w:lang w:val="en-US" w:eastAsia="zh-CN" w:bidi="ar-SA"/>
            </w:rPr>
            <w:fldChar w:fldCharType="end"/>
          </w:r>
        </w:p>
        <w:p w14:paraId="7976C05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_Toc11808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4.研究效度与推论边界</w:t>
          </w:r>
          <w:r>
            <w:tab/>
          </w:r>
          <w:r>
            <w:fldChar w:fldCharType="begin"/>
          </w:r>
          <w:r>
            <w:instrText xml:space="preserve"> PAGEREF _Toc11808 \h </w:instrText>
          </w:r>
          <w:r>
            <w:fldChar w:fldCharType="separate"/>
          </w:r>
          <w:r>
            <w:t>41</w:t>
          </w:r>
          <w:r>
            <w:fldChar w:fldCharType="end"/>
          </w:r>
          <w:r>
            <w:rPr>
              <w:rFonts w:hint="eastAsia" w:ascii="宋体" w:hAnsi="宋体" w:eastAsia="宋体" w:cs="宋体"/>
              <w:kern w:val="2"/>
              <w:szCs w:val="32"/>
              <w:lang w:val="en-US" w:eastAsia="zh-CN" w:bidi="ar-SA"/>
            </w:rPr>
            <w:fldChar w:fldCharType="end"/>
          </w:r>
        </w:p>
        <w:p w14:paraId="6212DDA9">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_Toc14200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 xml:space="preserve">（六） </w:t>
          </w:r>
          <w:r>
            <w:rPr>
              <w:rFonts w:hint="eastAsia" w:ascii="宋体" w:hAnsi="宋体" w:eastAsia="宋体" w:cs="宋体"/>
              <w:bCs/>
            </w:rPr>
            <w:t>研究步骤</w:t>
          </w:r>
          <w:r>
            <w:tab/>
          </w:r>
          <w:r>
            <w:fldChar w:fldCharType="begin"/>
          </w:r>
          <w:r>
            <w:instrText xml:space="preserve"> PAGEREF _Toc14200 \h </w:instrText>
          </w:r>
          <w:r>
            <w:fldChar w:fldCharType="separate"/>
          </w:r>
          <w:r>
            <w:t>41</w:t>
          </w:r>
          <w:r>
            <w:fldChar w:fldCharType="end"/>
          </w:r>
          <w:r>
            <w:rPr>
              <w:rFonts w:hint="eastAsia" w:ascii="宋体" w:hAnsi="宋体" w:eastAsia="宋体" w:cs="宋体"/>
              <w:kern w:val="2"/>
              <w:szCs w:val="32"/>
              <w:lang w:val="en-US" w:eastAsia="zh-CN" w:bidi="ar-SA"/>
            </w:rPr>
            <w:fldChar w:fldCharType="end"/>
          </w:r>
        </w:p>
        <w:p w14:paraId="7A065A8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1.准备阶段（2023年11月—2024年3月）</w:t>
          </w:r>
          <w:r>
            <w:tab/>
          </w:r>
          <w:r>
            <w:fldChar w:fldCharType="begin"/>
          </w:r>
          <w:r>
            <w:instrText xml:space="preserve"> PAGEREF _Toc105 \h </w:instrText>
          </w:r>
          <w:r>
            <w:fldChar w:fldCharType="separate"/>
          </w:r>
          <w:r>
            <w:t>42</w:t>
          </w:r>
          <w:r>
            <w:fldChar w:fldCharType="end"/>
          </w:r>
          <w:r>
            <w:rPr>
              <w:rFonts w:hint="eastAsia" w:ascii="宋体" w:hAnsi="宋体" w:eastAsia="宋体" w:cs="宋体"/>
              <w:kern w:val="2"/>
              <w:szCs w:val="32"/>
              <w:lang w:val="en-US" w:eastAsia="zh-CN" w:bidi="ar-SA"/>
            </w:rPr>
            <w:fldChar w:fldCharType="end"/>
          </w:r>
        </w:p>
        <w:p w14:paraId="1ACB4B4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_Toc27546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2.实施阶段（2024年4月—2026年6月）</w:t>
          </w:r>
          <w:r>
            <w:tab/>
          </w:r>
          <w:r>
            <w:fldChar w:fldCharType="begin"/>
          </w:r>
          <w:r>
            <w:instrText xml:space="preserve"> PAGEREF _Toc27546 \h </w:instrText>
          </w:r>
          <w:r>
            <w:fldChar w:fldCharType="separate"/>
          </w:r>
          <w:r>
            <w:t>43</w:t>
          </w:r>
          <w:r>
            <w:fldChar w:fldCharType="end"/>
          </w:r>
          <w:r>
            <w:rPr>
              <w:rFonts w:hint="eastAsia" w:ascii="宋体" w:hAnsi="宋体" w:eastAsia="宋体" w:cs="宋体"/>
              <w:kern w:val="2"/>
              <w:szCs w:val="32"/>
              <w:lang w:val="en-US" w:eastAsia="zh-CN" w:bidi="ar-SA"/>
            </w:rPr>
            <w:fldChar w:fldCharType="end"/>
          </w:r>
        </w:p>
        <w:p w14:paraId="1B0AF29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_Toc14628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3.总结阶段（2026年7月—2026年10月）</w:t>
          </w:r>
          <w:r>
            <w:tab/>
          </w:r>
          <w:r>
            <w:fldChar w:fldCharType="begin"/>
          </w:r>
          <w:r>
            <w:instrText xml:space="preserve"> PAGEREF _Toc14628 \h </w:instrText>
          </w:r>
          <w:r>
            <w:fldChar w:fldCharType="separate"/>
          </w:r>
          <w:r>
            <w:t>43</w:t>
          </w:r>
          <w:r>
            <w:fldChar w:fldCharType="end"/>
          </w:r>
          <w:r>
            <w:rPr>
              <w:rFonts w:hint="eastAsia" w:ascii="宋体" w:hAnsi="宋体" w:eastAsia="宋体" w:cs="宋体"/>
              <w:kern w:val="2"/>
              <w:szCs w:val="32"/>
              <w:lang w:val="en-US" w:eastAsia="zh-CN" w:bidi="ar-SA"/>
            </w:rPr>
            <w:fldChar w:fldCharType="end"/>
          </w:r>
        </w:p>
        <w:p w14:paraId="525E5C9C">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_Toc16291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三、研究过程与结果</w:t>
          </w:r>
          <w:r>
            <w:tab/>
          </w:r>
          <w:r>
            <w:fldChar w:fldCharType="begin"/>
          </w:r>
          <w:r>
            <w:instrText xml:space="preserve"> PAGEREF _Toc16291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40EA02D">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_Toc18821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（一）中学生高阶能力培育基本情况的调查分析</w:t>
          </w:r>
          <w:r>
            <w:tab/>
          </w:r>
          <w:r>
            <w:fldChar w:fldCharType="begin"/>
          </w:r>
          <w:r>
            <w:instrText xml:space="preserve"> PAGEREF _Toc18821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B323FA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1.</w:t>
          </w:r>
          <w:r>
            <w:rPr>
              <w:rFonts w:hint="eastAsia" w:ascii="宋体" w:hAnsi="宋体" w:eastAsia="宋体" w:cs="宋体"/>
              <w:kern w:val="0"/>
            </w:rPr>
            <w:t>学生高阶能力基础的前测调查</w:t>
          </w:r>
          <w:r>
            <w:tab/>
          </w:r>
          <w:r>
            <w:fldChar w:fldCharType="begin"/>
          </w:r>
          <w:r>
            <w:instrText xml:space="preserve"> PAGEREF _Toc21424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2FCA327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_Toc32232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eastAsia="zh-CN"/>
            </w:rPr>
            <w:t>（</w:t>
          </w:r>
          <w:r>
            <w:rPr>
              <w:rFonts w:hint="eastAsia" w:ascii="宋体" w:hAnsi="宋体" w:eastAsia="宋体" w:cs="宋体"/>
              <w:kern w:val="0"/>
            </w:rPr>
            <w:t>1</w:t>
          </w:r>
          <w:r>
            <w:rPr>
              <w:rFonts w:hint="eastAsia" w:ascii="宋体" w:hAnsi="宋体" w:eastAsia="宋体" w:cs="宋体"/>
              <w:kern w:val="0"/>
              <w:lang w:eastAsia="zh-CN"/>
            </w:rPr>
            <w:t>）</w:t>
          </w:r>
          <w:r>
            <w:rPr>
              <w:rFonts w:hint="eastAsia" w:ascii="宋体" w:hAnsi="宋体" w:eastAsia="宋体" w:cs="宋体"/>
              <w:kern w:val="0"/>
            </w:rPr>
            <w:t>学生高阶能力测评</w:t>
          </w:r>
          <w:r>
            <w:rPr>
              <w:rFonts w:hint="eastAsia" w:ascii="宋体" w:hAnsi="宋体" w:eastAsia="宋体" w:cs="宋体"/>
              <w:kern w:val="0"/>
              <w:lang w:val="en-US" w:eastAsia="zh-CN"/>
            </w:rPr>
            <w:t>维度的确定</w:t>
          </w:r>
          <w:r>
            <w:tab/>
          </w:r>
          <w:r>
            <w:fldChar w:fldCharType="begin"/>
          </w:r>
          <w:r>
            <w:instrText xml:space="preserve"> PAGEREF _Toc32232 \h </w:instrText>
          </w:r>
          <w:r>
            <w:fldChar w:fldCharType="separate"/>
          </w:r>
          <w:r>
            <w:t>44</w:t>
          </w:r>
          <w:r>
            <w:fldChar w:fldCharType="end"/>
          </w:r>
          <w:r>
            <w:rPr>
              <w:rFonts w:hint="eastAsia" w:ascii="宋体" w:hAnsi="宋体" w:eastAsia="宋体" w:cs="宋体"/>
              <w:kern w:val="2"/>
              <w:szCs w:val="32"/>
              <w:lang w:val="en-US" w:eastAsia="zh-CN" w:bidi="ar-SA"/>
            </w:rPr>
            <w:fldChar w:fldCharType="end"/>
          </w:r>
        </w:p>
        <w:p w14:paraId="0FAFB6F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_Toc9350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（2）学生样本描述与数据收集</w:t>
          </w:r>
          <w:r>
            <w:tab/>
          </w:r>
          <w:r>
            <w:fldChar w:fldCharType="begin"/>
          </w:r>
          <w:r>
            <w:instrText xml:space="preserve"> PAGEREF _Toc9350 \h </w:instrText>
          </w:r>
          <w:r>
            <w:fldChar w:fldCharType="separate"/>
          </w:r>
          <w:r>
            <w:t>46</w:t>
          </w:r>
          <w:r>
            <w:fldChar w:fldCharType="end"/>
          </w:r>
          <w:r>
            <w:rPr>
              <w:rFonts w:hint="eastAsia" w:ascii="宋体" w:hAnsi="宋体" w:eastAsia="宋体" w:cs="宋体"/>
              <w:kern w:val="2"/>
              <w:szCs w:val="32"/>
              <w:lang w:val="en-US" w:eastAsia="zh-CN" w:bidi="ar-SA"/>
            </w:rPr>
            <w:fldChar w:fldCharType="end"/>
          </w:r>
        </w:p>
        <w:p w14:paraId="7167402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（3）学生高阶能力问卷的测量质量检验</w:t>
          </w:r>
          <w:r>
            <w:tab/>
          </w:r>
          <w:r>
            <w:fldChar w:fldCharType="begin"/>
          </w:r>
          <w:r>
            <w:instrText xml:space="preserve"> PAGEREF _Toc652 \h </w:instrText>
          </w:r>
          <w:r>
            <w:fldChar w:fldCharType="separate"/>
          </w:r>
          <w:r>
            <w:t>46</w:t>
          </w:r>
          <w:r>
            <w:fldChar w:fldCharType="end"/>
          </w:r>
          <w:r>
            <w:rPr>
              <w:rFonts w:hint="eastAsia" w:ascii="宋体" w:hAnsi="宋体" w:eastAsia="宋体" w:cs="宋体"/>
              <w:kern w:val="2"/>
              <w:szCs w:val="32"/>
              <w:lang w:val="en-US" w:eastAsia="zh-CN" w:bidi="ar-SA"/>
            </w:rPr>
            <w:fldChar w:fldCharType="end"/>
          </w:r>
        </w:p>
        <w:p w14:paraId="5B82551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_Toc28101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2"/>
            </w:rPr>
            <w:t>（4）中学生高阶能力基础情况的问卷调查与分析</w:t>
          </w:r>
          <w:r>
            <w:tab/>
          </w:r>
          <w:r>
            <w:fldChar w:fldCharType="begin"/>
          </w:r>
          <w:r>
            <w:instrText xml:space="preserve"> PAGEREF _Toc28101 \h </w:instrText>
          </w:r>
          <w:r>
            <w:fldChar w:fldCharType="separate"/>
          </w:r>
          <w:r>
            <w:t>48</w:t>
          </w:r>
          <w:r>
            <w:fldChar w:fldCharType="end"/>
          </w:r>
          <w:r>
            <w:rPr>
              <w:rFonts w:hint="eastAsia" w:ascii="宋体" w:hAnsi="宋体" w:eastAsia="宋体" w:cs="宋体"/>
              <w:kern w:val="2"/>
              <w:szCs w:val="32"/>
              <w:lang w:val="en-US" w:eastAsia="zh-CN" w:bidi="ar-SA"/>
            </w:rPr>
            <w:fldChar w:fldCharType="end"/>
          </w:r>
        </w:p>
        <w:p w14:paraId="0E11FFD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_Toc27501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kern w:val="0"/>
              <w:lang w:val="en-US" w:eastAsia="zh-CN"/>
            </w:rPr>
            <w:t>2.</w:t>
          </w:r>
          <w:r>
            <w:rPr>
              <w:rFonts w:hint="eastAsia" w:ascii="宋体" w:hAnsi="宋体" w:eastAsia="宋体" w:cs="宋体"/>
              <w:bCs/>
              <w:kern w:val="0"/>
            </w:rPr>
            <w:t>教师高阶能力培育现状的前测调查</w:t>
          </w:r>
          <w:r>
            <w:tab/>
          </w:r>
          <w:r>
            <w:fldChar w:fldCharType="begin"/>
          </w:r>
          <w:r>
            <w:instrText xml:space="preserve"> PAGEREF _Toc27501 \h </w:instrText>
          </w:r>
          <w:r>
            <w:fldChar w:fldCharType="separate"/>
          </w:r>
          <w:r>
            <w:t>53</w:t>
          </w:r>
          <w:r>
            <w:fldChar w:fldCharType="end"/>
          </w:r>
          <w:r>
            <w:rPr>
              <w:rFonts w:hint="eastAsia" w:ascii="宋体" w:hAnsi="宋体" w:eastAsia="宋体" w:cs="宋体"/>
              <w:kern w:val="2"/>
              <w:szCs w:val="32"/>
              <w:lang w:val="en-US" w:eastAsia="zh-CN" w:bidi="ar-SA"/>
            </w:rPr>
            <w:fldChar w:fldCharType="end"/>
          </w:r>
        </w:p>
        <w:p w14:paraId="0E24458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_Toc1775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kern w:val="0"/>
              <w:lang w:eastAsia="zh-CN"/>
            </w:rPr>
            <w:t>（</w:t>
          </w:r>
          <w:r>
            <w:rPr>
              <w:rFonts w:hint="eastAsia" w:ascii="宋体" w:hAnsi="宋体" w:eastAsia="宋体" w:cs="宋体"/>
              <w:bCs/>
              <w:kern w:val="0"/>
            </w:rPr>
            <w:t>1</w:t>
          </w:r>
          <w:r>
            <w:rPr>
              <w:rFonts w:hint="eastAsia" w:ascii="宋体" w:hAnsi="宋体" w:eastAsia="宋体" w:cs="宋体"/>
              <w:bCs/>
              <w:kern w:val="0"/>
              <w:lang w:eastAsia="zh-CN"/>
            </w:rPr>
            <w:t>）</w:t>
          </w:r>
          <w:r>
            <w:rPr>
              <w:rFonts w:hint="eastAsia" w:ascii="宋体" w:hAnsi="宋体" w:eastAsia="宋体" w:cs="宋体"/>
              <w:bCs/>
              <w:kern w:val="0"/>
            </w:rPr>
            <w:t>教师调查内容的确定</w:t>
          </w:r>
          <w:r>
            <w:tab/>
          </w:r>
          <w:r>
            <w:fldChar w:fldCharType="begin"/>
          </w:r>
          <w:r>
            <w:instrText xml:space="preserve"> PAGEREF _Toc1775 \h </w:instrText>
          </w:r>
          <w:r>
            <w:fldChar w:fldCharType="separate"/>
          </w:r>
          <w:r>
            <w:t>53</w:t>
          </w:r>
          <w:r>
            <w:fldChar w:fldCharType="end"/>
          </w:r>
          <w:r>
            <w:rPr>
              <w:rFonts w:hint="eastAsia" w:ascii="宋体" w:hAnsi="宋体" w:eastAsia="宋体" w:cs="宋体"/>
              <w:kern w:val="2"/>
              <w:szCs w:val="32"/>
              <w:lang w:val="en-US" w:eastAsia="zh-CN" w:bidi="ar-SA"/>
            </w:rPr>
            <w:fldChar w:fldCharType="end"/>
          </w:r>
        </w:p>
        <w:p w14:paraId="02EA71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_Toc16298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eastAsia="zh-CN"/>
            </w:rPr>
            <w:t>（</w:t>
          </w:r>
          <w:r>
            <w:rPr>
              <w:rFonts w:hint="eastAsia" w:ascii="宋体" w:hAnsi="宋体" w:eastAsia="宋体" w:cs="宋体"/>
              <w:kern w:val="0"/>
            </w:rPr>
            <w:t>2</w:t>
          </w:r>
          <w:r>
            <w:rPr>
              <w:rFonts w:hint="eastAsia" w:ascii="宋体" w:hAnsi="宋体" w:eastAsia="宋体" w:cs="宋体"/>
              <w:kern w:val="0"/>
              <w:lang w:eastAsia="zh-CN"/>
            </w:rPr>
            <w:t>）</w:t>
          </w:r>
          <w:r>
            <w:rPr>
              <w:rFonts w:hint="eastAsia" w:ascii="宋体" w:hAnsi="宋体" w:eastAsia="宋体" w:cs="宋体"/>
              <w:kern w:val="0"/>
            </w:rPr>
            <w:t>教师样本与数据收集</w:t>
          </w:r>
          <w:r>
            <w:tab/>
          </w:r>
          <w:r>
            <w:fldChar w:fldCharType="begin"/>
          </w:r>
          <w:r>
            <w:instrText xml:space="preserve"> PAGEREF _Toc16298 \h </w:instrText>
          </w:r>
          <w:r>
            <w:fldChar w:fldCharType="separate"/>
          </w:r>
          <w:r>
            <w:t>55</w:t>
          </w:r>
          <w:r>
            <w:fldChar w:fldCharType="end"/>
          </w:r>
          <w:r>
            <w:rPr>
              <w:rFonts w:hint="eastAsia" w:ascii="宋体" w:hAnsi="宋体" w:eastAsia="宋体" w:cs="宋体"/>
              <w:kern w:val="2"/>
              <w:szCs w:val="32"/>
              <w:lang w:val="en-US" w:eastAsia="zh-CN" w:bidi="ar-SA"/>
            </w:rPr>
            <w:fldChar w:fldCharType="end"/>
          </w:r>
        </w:p>
        <w:p w14:paraId="0BD978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_Toc22951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lang w:val="en-US" w:eastAsia="zh-CN"/>
            </w:rPr>
            <w:t>（3）教师高阶能力培育基础情况的问卷调查与分析</w:t>
          </w:r>
          <w:r>
            <w:tab/>
          </w:r>
          <w:r>
            <w:fldChar w:fldCharType="begin"/>
          </w:r>
          <w:r>
            <w:instrText xml:space="preserve"> PAGEREF _Toc22951 \h </w:instrText>
          </w:r>
          <w:r>
            <w:fldChar w:fldCharType="separate"/>
          </w:r>
          <w:r>
            <w:t>57</w:t>
          </w:r>
          <w:r>
            <w:fldChar w:fldCharType="end"/>
          </w:r>
          <w:r>
            <w:rPr>
              <w:rFonts w:hint="eastAsia" w:ascii="宋体" w:hAnsi="宋体" w:eastAsia="宋体" w:cs="宋体"/>
              <w:kern w:val="2"/>
              <w:szCs w:val="32"/>
              <w:lang w:val="en-US" w:eastAsia="zh-CN" w:bidi="ar-SA"/>
            </w:rPr>
            <w:fldChar w:fldCharType="end"/>
          </w:r>
        </w:p>
        <w:p w14:paraId="7DD3998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_Toc19797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36"/>
              <w:lang w:val="en-US" w:eastAsia="zh-CN"/>
            </w:rPr>
            <w:t>（4）小结</w:t>
          </w:r>
          <w:r>
            <w:tab/>
          </w:r>
          <w:r>
            <w:fldChar w:fldCharType="begin"/>
          </w:r>
          <w:r>
            <w:instrText xml:space="preserve"> PAGEREF _Toc19797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69E5BEE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_Toc17096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3.课堂观察现状与分析</w:t>
          </w:r>
          <w:r>
            <w:tab/>
          </w:r>
          <w:r>
            <w:fldChar w:fldCharType="begin"/>
          </w:r>
          <w:r>
            <w:instrText xml:space="preserve"> PAGEREF _Toc17096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49BC7E81">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_Toc28842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lang w:val="en-US" w:eastAsia="zh-CN"/>
            </w:rPr>
            <w:t>五维量表</w:t>
          </w:r>
          <w:r>
            <w:rPr>
              <w:rFonts w:hint="eastAsia" w:ascii="宋体" w:hAnsi="宋体" w:eastAsia="宋体" w:cs="宋体"/>
            </w:rPr>
            <w:t>评价维度的确立</w:t>
          </w:r>
          <w:r>
            <w:tab/>
          </w:r>
          <w:r>
            <w:fldChar w:fldCharType="begin"/>
          </w:r>
          <w:r>
            <w:instrText xml:space="preserve"> PAGEREF _Toc28842 \h </w:instrText>
          </w:r>
          <w:r>
            <w:fldChar w:fldCharType="separate"/>
          </w:r>
          <w:r>
            <w:t>62</w:t>
          </w:r>
          <w:r>
            <w:fldChar w:fldCharType="end"/>
          </w:r>
          <w:r>
            <w:rPr>
              <w:rFonts w:hint="eastAsia" w:ascii="宋体" w:hAnsi="宋体" w:eastAsia="宋体" w:cs="宋体"/>
              <w:kern w:val="2"/>
              <w:szCs w:val="32"/>
              <w:lang w:val="en-US" w:eastAsia="zh-CN" w:bidi="ar-SA"/>
            </w:rPr>
            <w:fldChar w:fldCharType="end"/>
          </w:r>
        </w:p>
        <w:p w14:paraId="5FC459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_Toc32065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szCs w:val="24"/>
              <w:lang w:val="en-US" w:eastAsia="zh-CN" w:bidi="ar-SA"/>
            </w:rPr>
            <w:t>（2）五维评价量表科学性验证</w:t>
          </w:r>
          <w:r>
            <w:tab/>
          </w:r>
          <w:r>
            <w:fldChar w:fldCharType="begin"/>
          </w:r>
          <w:r>
            <w:instrText xml:space="preserve"> PAGEREF _Toc32065 \h </w:instrText>
          </w:r>
          <w:r>
            <w:fldChar w:fldCharType="separate"/>
          </w:r>
          <w:r>
            <w:t>63</w:t>
          </w:r>
          <w:r>
            <w:fldChar w:fldCharType="end"/>
          </w:r>
          <w:r>
            <w:rPr>
              <w:rFonts w:hint="eastAsia" w:ascii="宋体" w:hAnsi="宋体" w:eastAsia="宋体" w:cs="宋体"/>
              <w:kern w:val="2"/>
              <w:szCs w:val="32"/>
              <w:lang w:val="en-US" w:eastAsia="zh-CN" w:bidi="ar-SA"/>
            </w:rPr>
            <w:fldChar w:fldCharType="end"/>
          </w:r>
        </w:p>
        <w:p w14:paraId="2F21F9B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_Toc4598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szCs w:val="24"/>
              <w:lang w:val="en-US" w:eastAsia="zh-CN" w:bidi="ar-SA"/>
            </w:rPr>
            <w:t>（3）课堂观察与高阶能力培育现状分析</w:t>
          </w:r>
          <w:r>
            <w:tab/>
          </w:r>
          <w:r>
            <w:fldChar w:fldCharType="begin"/>
          </w:r>
          <w:r>
            <w:instrText xml:space="preserve"> PAGEREF _Toc4598 \h </w:instrText>
          </w:r>
          <w:r>
            <w:fldChar w:fldCharType="separate"/>
          </w:r>
          <w:r>
            <w:t>64</w:t>
          </w:r>
          <w:r>
            <w:fldChar w:fldCharType="end"/>
          </w:r>
          <w:r>
            <w:rPr>
              <w:rFonts w:hint="eastAsia" w:ascii="宋体" w:hAnsi="宋体" w:eastAsia="宋体" w:cs="宋体"/>
              <w:kern w:val="2"/>
              <w:szCs w:val="32"/>
              <w:lang w:val="en-US" w:eastAsia="zh-CN" w:bidi="ar-SA"/>
            </w:rPr>
            <w:fldChar w:fldCharType="end"/>
          </w:r>
        </w:p>
        <w:p w14:paraId="1FF9DBD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_Toc27872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3.前测小结</w:t>
          </w:r>
          <w:r>
            <w:tab/>
          </w:r>
          <w:r>
            <w:fldChar w:fldCharType="begin"/>
          </w:r>
          <w:r>
            <w:instrText xml:space="preserve"> PAGEREF _Toc27872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3AA1A37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_Toc30642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二</w:t>
          </w:r>
          <w:r>
            <w:rPr>
              <w:rFonts w:hint="eastAsia" w:ascii="宋体" w:hAnsi="宋体" w:eastAsia="宋体" w:cs="宋体"/>
            </w:rPr>
            <w:t>）模型的建构</w:t>
          </w:r>
          <w:r>
            <w:tab/>
          </w:r>
          <w:r>
            <w:fldChar w:fldCharType="begin"/>
          </w:r>
          <w:r>
            <w:instrText xml:space="preserve"> PAGEREF _Toc30642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45AE75D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_Toc4215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1.高阶能力培育模型的建构</w:t>
          </w:r>
          <w:r>
            <w:tab/>
          </w:r>
          <w:r>
            <w:fldChar w:fldCharType="begin"/>
          </w:r>
          <w:r>
            <w:instrText xml:space="preserve"> PAGEREF _Toc4215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4B4BE0BB">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_Toc13997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rPr>
            <w:t>模型提出的背景与逻辑</w:t>
          </w:r>
          <w:r>
            <w:tab/>
          </w:r>
          <w:r>
            <w:fldChar w:fldCharType="begin"/>
          </w:r>
          <w:r>
            <w:instrText xml:space="preserve"> PAGEREF _Toc13997 \h </w:instrText>
          </w:r>
          <w:r>
            <w:fldChar w:fldCharType="separate"/>
          </w:r>
          <w:r>
            <w:t>70</w:t>
          </w:r>
          <w:r>
            <w:fldChar w:fldCharType="end"/>
          </w:r>
          <w:r>
            <w:rPr>
              <w:rFonts w:hint="eastAsia" w:ascii="宋体" w:hAnsi="宋体" w:eastAsia="宋体" w:cs="宋体"/>
              <w:kern w:val="2"/>
              <w:szCs w:val="32"/>
              <w:lang w:val="en-US" w:eastAsia="zh-CN" w:bidi="ar-SA"/>
            </w:rPr>
            <w:fldChar w:fldCharType="end"/>
          </w:r>
        </w:p>
        <w:p w14:paraId="0F59EDB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_Toc24047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rPr>
            <w:t>模型</w:t>
          </w:r>
          <w:r>
            <w:rPr>
              <w:rFonts w:hint="eastAsia" w:ascii="宋体" w:hAnsi="宋体" w:eastAsia="宋体" w:cs="宋体"/>
              <w:lang w:val="en-US" w:eastAsia="zh-CN"/>
            </w:rPr>
            <w:t>的</w:t>
          </w:r>
          <w:r>
            <w:rPr>
              <w:rFonts w:hint="eastAsia" w:ascii="宋体" w:hAnsi="宋体" w:eastAsia="宋体" w:cs="宋体"/>
            </w:rPr>
            <w:t>整体结构</w:t>
          </w:r>
          <w:r>
            <w:tab/>
          </w:r>
          <w:r>
            <w:fldChar w:fldCharType="begin"/>
          </w:r>
          <w:r>
            <w:instrText xml:space="preserve"> PAGEREF _Toc24047 \h </w:instrText>
          </w:r>
          <w:r>
            <w:fldChar w:fldCharType="separate"/>
          </w:r>
          <w:r>
            <w:t>71</w:t>
          </w:r>
          <w:r>
            <w:fldChar w:fldCharType="end"/>
          </w:r>
          <w:r>
            <w:rPr>
              <w:rFonts w:hint="eastAsia" w:ascii="宋体" w:hAnsi="宋体" w:eastAsia="宋体" w:cs="宋体"/>
              <w:kern w:val="2"/>
              <w:szCs w:val="32"/>
              <w:lang w:val="en-US" w:eastAsia="zh-CN" w:bidi="ar-SA"/>
            </w:rPr>
            <w:fldChar w:fldCharType="end"/>
          </w:r>
        </w:p>
        <w:p w14:paraId="6009387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_Toc6190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（3）模型的三层结构及实施要点</w:t>
          </w:r>
          <w:r>
            <w:tab/>
          </w:r>
          <w:r>
            <w:fldChar w:fldCharType="begin"/>
          </w:r>
          <w:r>
            <w:instrText xml:space="preserve"> PAGEREF _Toc6190 \h </w:instrText>
          </w:r>
          <w:r>
            <w:fldChar w:fldCharType="separate"/>
          </w:r>
          <w:r>
            <w:t>72</w:t>
          </w:r>
          <w:r>
            <w:fldChar w:fldCharType="end"/>
          </w:r>
          <w:r>
            <w:rPr>
              <w:rFonts w:hint="eastAsia" w:ascii="宋体" w:hAnsi="宋体" w:eastAsia="宋体" w:cs="宋体"/>
              <w:kern w:val="2"/>
              <w:szCs w:val="32"/>
              <w:lang w:val="en-US" w:eastAsia="zh-CN" w:bidi="ar-SA"/>
            </w:rPr>
            <w:fldChar w:fldCharType="end"/>
          </w:r>
        </w:p>
        <w:p w14:paraId="35AFF15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val="0"/>
              <w:szCs w:val="24"/>
            </w:rPr>
            <w:t xml:space="preserve">2. </w:t>
          </w:r>
          <w:r>
            <w:rPr>
              <w:rFonts w:hint="eastAsia" w:ascii="宋体" w:hAnsi="宋体" w:eastAsia="宋体" w:cs="宋体"/>
              <w:bCs w:val="0"/>
              <w:szCs w:val="24"/>
              <w:lang w:val="en-US" w:eastAsia="zh-CN"/>
            </w:rPr>
            <w:t>指向高阶能力发展的</w:t>
          </w:r>
          <w:r>
            <w:rPr>
              <w:rFonts w:hint="eastAsia" w:ascii="宋体" w:hAnsi="宋体" w:eastAsia="宋体" w:cs="宋体"/>
              <w:bCs w:val="0"/>
              <w:szCs w:val="24"/>
            </w:rPr>
            <w:t>学习模型初设计</w:t>
          </w:r>
          <w:r>
            <w:tab/>
          </w:r>
          <w:r>
            <w:fldChar w:fldCharType="begin"/>
          </w:r>
          <w:r>
            <w:instrText xml:space="preserve"> PAGEREF _Toc8273 \h </w:instrText>
          </w:r>
          <w:r>
            <w:fldChar w:fldCharType="separate"/>
          </w:r>
          <w:r>
            <w:t>74</w:t>
          </w:r>
          <w:r>
            <w:fldChar w:fldCharType="end"/>
          </w:r>
          <w:r>
            <w:rPr>
              <w:rFonts w:hint="eastAsia" w:ascii="宋体" w:hAnsi="宋体" w:eastAsia="宋体" w:cs="宋体"/>
              <w:kern w:val="2"/>
              <w:szCs w:val="32"/>
              <w:lang w:val="en-US" w:eastAsia="zh-CN" w:bidi="ar-SA"/>
            </w:rPr>
            <w:fldChar w:fldCharType="end"/>
          </w:r>
        </w:p>
        <w:p w14:paraId="328259A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_Toc20084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1）学习模型的基本逻辑</w:t>
          </w:r>
          <w:r>
            <w:tab/>
          </w:r>
          <w:r>
            <w:fldChar w:fldCharType="begin"/>
          </w:r>
          <w:r>
            <w:instrText xml:space="preserve"> PAGEREF _Toc20084 \h </w:instrText>
          </w:r>
          <w:r>
            <w:fldChar w:fldCharType="separate"/>
          </w:r>
          <w:r>
            <w:t>74</w:t>
          </w:r>
          <w:r>
            <w:fldChar w:fldCharType="end"/>
          </w:r>
          <w:r>
            <w:rPr>
              <w:rFonts w:hint="eastAsia" w:ascii="宋体" w:hAnsi="宋体" w:eastAsia="宋体" w:cs="宋体"/>
              <w:kern w:val="2"/>
              <w:szCs w:val="32"/>
              <w:lang w:val="en-US" w:eastAsia="zh-CN" w:bidi="ar-SA"/>
            </w:rPr>
            <w:fldChar w:fldCharType="end"/>
          </w:r>
        </w:p>
        <w:p w14:paraId="568575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_Toc28372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（2）模型的基本结构</w:t>
          </w:r>
          <w:r>
            <w:tab/>
          </w:r>
          <w:r>
            <w:fldChar w:fldCharType="begin"/>
          </w:r>
          <w:r>
            <w:instrText xml:space="preserve"> PAGEREF _Toc28372 \h </w:instrText>
          </w:r>
          <w:r>
            <w:fldChar w:fldCharType="separate"/>
          </w:r>
          <w:r>
            <w:t>75</w:t>
          </w:r>
          <w:r>
            <w:fldChar w:fldCharType="end"/>
          </w:r>
          <w:r>
            <w:rPr>
              <w:rFonts w:hint="eastAsia" w:ascii="宋体" w:hAnsi="宋体" w:eastAsia="宋体" w:cs="宋体"/>
              <w:kern w:val="2"/>
              <w:szCs w:val="32"/>
              <w:lang w:val="en-US" w:eastAsia="zh-CN" w:bidi="ar-SA"/>
            </w:rPr>
            <w:fldChar w:fldCharType="end"/>
          </w:r>
        </w:p>
        <w:p w14:paraId="14A7683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_Toc21002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val="en-US" w:eastAsia="zh-CN"/>
            </w:rPr>
            <w:t>（3）学习模型的三部分结构及实施要点</w:t>
          </w:r>
          <w:r>
            <w:tab/>
          </w:r>
          <w:r>
            <w:fldChar w:fldCharType="begin"/>
          </w:r>
          <w:r>
            <w:instrText xml:space="preserve"> PAGEREF _Toc21002 \h </w:instrText>
          </w:r>
          <w:r>
            <w:fldChar w:fldCharType="separate"/>
          </w:r>
          <w:r>
            <w:t>75</w:t>
          </w:r>
          <w:r>
            <w:fldChar w:fldCharType="end"/>
          </w:r>
          <w:r>
            <w:rPr>
              <w:rFonts w:hint="eastAsia" w:ascii="宋体" w:hAnsi="宋体" w:eastAsia="宋体" w:cs="宋体"/>
              <w:kern w:val="2"/>
              <w:szCs w:val="32"/>
              <w:lang w:val="en-US" w:eastAsia="zh-CN" w:bidi="ar-SA"/>
            </w:rPr>
            <w:fldChar w:fldCharType="end"/>
          </w:r>
        </w:p>
        <w:p w14:paraId="3C092C36">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_Toc19804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lang w:val="en-US" w:eastAsia="zh-CN"/>
            </w:rPr>
            <w:t>（三）“可见的学习”视域下中学生高阶能力培育的两域实施</w:t>
          </w:r>
          <w:r>
            <w:tab/>
          </w:r>
          <w:r>
            <w:fldChar w:fldCharType="begin"/>
          </w:r>
          <w:r>
            <w:instrText xml:space="preserve"> PAGEREF _Toc19804 \h </w:instrText>
          </w:r>
          <w:r>
            <w:fldChar w:fldCharType="separate"/>
          </w:r>
          <w:r>
            <w:t>77</w:t>
          </w:r>
          <w:r>
            <w:fldChar w:fldCharType="end"/>
          </w:r>
          <w:r>
            <w:rPr>
              <w:rFonts w:hint="eastAsia" w:ascii="宋体" w:hAnsi="宋体" w:eastAsia="宋体" w:cs="宋体"/>
              <w:kern w:val="2"/>
              <w:szCs w:val="32"/>
              <w:lang w:val="en-US" w:eastAsia="zh-CN" w:bidi="ar-SA"/>
            </w:rPr>
            <w:fldChar w:fldCharType="end"/>
          </w:r>
        </w:p>
        <w:p w14:paraId="4D9EAEC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_Toc22199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lang w:val="en-US" w:eastAsia="zh-CN"/>
            </w:rPr>
            <w:t>1.学科教学场域的实施</w:t>
          </w:r>
          <w:r>
            <w:tab/>
          </w:r>
          <w:r>
            <w:fldChar w:fldCharType="begin"/>
          </w:r>
          <w:r>
            <w:instrText xml:space="preserve"> PAGEREF _Toc22199 \h </w:instrText>
          </w:r>
          <w:r>
            <w:fldChar w:fldCharType="separate"/>
          </w:r>
          <w:r>
            <w:t>77</w:t>
          </w:r>
          <w:r>
            <w:fldChar w:fldCharType="end"/>
          </w:r>
          <w:r>
            <w:rPr>
              <w:rFonts w:hint="eastAsia" w:ascii="宋体" w:hAnsi="宋体" w:eastAsia="宋体" w:cs="宋体"/>
              <w:kern w:val="2"/>
              <w:szCs w:val="32"/>
              <w:lang w:val="en-US" w:eastAsia="zh-CN" w:bidi="ar-SA"/>
            </w:rPr>
            <w:fldChar w:fldCharType="end"/>
          </w:r>
        </w:p>
        <w:p w14:paraId="65623F61">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_Toc18976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（1）可见的学习四要素分析框架</w:t>
          </w:r>
          <w:r>
            <w:tab/>
          </w:r>
          <w:r>
            <w:fldChar w:fldCharType="begin"/>
          </w:r>
          <w:r>
            <w:instrText xml:space="preserve"> PAGEREF _Toc18976 \h </w:instrText>
          </w:r>
          <w:r>
            <w:fldChar w:fldCharType="separate"/>
          </w:r>
          <w:r>
            <w:t>78</w:t>
          </w:r>
          <w:r>
            <w:fldChar w:fldCharType="end"/>
          </w:r>
          <w:r>
            <w:rPr>
              <w:rFonts w:hint="eastAsia" w:ascii="宋体" w:hAnsi="宋体" w:eastAsia="宋体" w:cs="宋体"/>
              <w:kern w:val="2"/>
              <w:szCs w:val="32"/>
              <w:lang w:val="en-US" w:eastAsia="zh-CN" w:bidi="ar-SA"/>
            </w:rPr>
            <w:fldChar w:fldCharType="end"/>
          </w:r>
        </w:p>
        <w:p w14:paraId="5A335AD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_Toc32036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（2）可见的学习目标分析框架</w:t>
          </w:r>
          <w:r>
            <w:tab/>
          </w:r>
          <w:r>
            <w:fldChar w:fldCharType="begin"/>
          </w:r>
          <w:r>
            <w:instrText xml:space="preserve"> PAGEREF _Toc32036 \h </w:instrText>
          </w:r>
          <w:r>
            <w:fldChar w:fldCharType="separate"/>
          </w:r>
          <w:r>
            <w:t>80</w:t>
          </w:r>
          <w:r>
            <w:fldChar w:fldCharType="end"/>
          </w:r>
          <w:r>
            <w:rPr>
              <w:rFonts w:hint="eastAsia" w:ascii="宋体" w:hAnsi="宋体" w:eastAsia="宋体" w:cs="宋体"/>
              <w:kern w:val="2"/>
              <w:szCs w:val="32"/>
              <w:lang w:val="en-US" w:eastAsia="zh-CN" w:bidi="ar-SA"/>
            </w:rPr>
            <w:fldChar w:fldCharType="end"/>
          </w:r>
        </w:p>
        <w:p w14:paraId="57223F95">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_Toc18765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（3）可见的学习内容分析框架</w:t>
          </w:r>
          <w:r>
            <w:tab/>
          </w:r>
          <w:r>
            <w:fldChar w:fldCharType="begin"/>
          </w:r>
          <w:r>
            <w:instrText xml:space="preserve"> PAGEREF _Toc18765 \h </w:instrText>
          </w:r>
          <w:r>
            <w:fldChar w:fldCharType="separate"/>
          </w:r>
          <w:r>
            <w:t>83</w:t>
          </w:r>
          <w:r>
            <w:fldChar w:fldCharType="end"/>
          </w:r>
          <w:r>
            <w:rPr>
              <w:rFonts w:hint="eastAsia" w:ascii="宋体" w:hAnsi="宋体" w:eastAsia="宋体" w:cs="宋体"/>
              <w:kern w:val="2"/>
              <w:szCs w:val="32"/>
              <w:lang w:val="en-US" w:eastAsia="zh-CN" w:bidi="ar-SA"/>
            </w:rPr>
            <w:fldChar w:fldCharType="end"/>
          </w:r>
        </w:p>
        <w:p w14:paraId="055959D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_Toc20068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（4）可见的学习过程分析框架</w:t>
          </w:r>
          <w:r>
            <w:tab/>
          </w:r>
          <w:r>
            <w:fldChar w:fldCharType="begin"/>
          </w:r>
          <w:r>
            <w:instrText xml:space="preserve"> PAGEREF _Toc20068 \h </w:instrText>
          </w:r>
          <w:r>
            <w:fldChar w:fldCharType="separate"/>
          </w:r>
          <w:r>
            <w:t>86</w:t>
          </w:r>
          <w:r>
            <w:fldChar w:fldCharType="end"/>
          </w:r>
          <w:r>
            <w:rPr>
              <w:rFonts w:hint="eastAsia" w:ascii="宋体" w:hAnsi="宋体" w:eastAsia="宋体" w:cs="宋体"/>
              <w:kern w:val="2"/>
              <w:szCs w:val="32"/>
              <w:lang w:val="en-US" w:eastAsia="zh-CN" w:bidi="ar-SA"/>
            </w:rPr>
            <w:fldChar w:fldCharType="end"/>
          </w:r>
        </w:p>
        <w:p w14:paraId="031788A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（5）可见的学习多元评价样态</w:t>
          </w:r>
          <w:r>
            <w:tab/>
          </w:r>
          <w:r>
            <w:fldChar w:fldCharType="begin"/>
          </w:r>
          <w:r>
            <w:instrText xml:space="preserve"> PAGEREF _Toc30424 \h </w:instrText>
          </w:r>
          <w:r>
            <w:fldChar w:fldCharType="separate"/>
          </w:r>
          <w:r>
            <w:t>90</w:t>
          </w:r>
          <w:r>
            <w:fldChar w:fldCharType="end"/>
          </w:r>
          <w:r>
            <w:rPr>
              <w:rFonts w:hint="eastAsia" w:ascii="宋体" w:hAnsi="宋体" w:eastAsia="宋体" w:cs="宋体"/>
              <w:kern w:val="2"/>
              <w:szCs w:val="32"/>
              <w:lang w:val="en-US" w:eastAsia="zh-CN" w:bidi="ar-SA"/>
            </w:rPr>
            <w:fldChar w:fldCharType="end"/>
          </w:r>
        </w:p>
        <w:p w14:paraId="5A546A3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lang w:eastAsia="zh-CN"/>
            </w:rPr>
            <w:t>（</w:t>
          </w:r>
          <w:r>
            <w:rPr>
              <w:rFonts w:hint="eastAsia" w:ascii="宋体" w:hAnsi="宋体" w:eastAsia="宋体" w:cs="宋体"/>
              <w:bCs/>
              <w:szCs w:val="24"/>
              <w:lang w:val="en-US" w:eastAsia="zh-CN"/>
            </w:rPr>
            <w:t>6）</w:t>
          </w:r>
          <w:r>
            <w:rPr>
              <w:rFonts w:hint="eastAsia" w:ascii="宋体" w:hAnsi="宋体" w:eastAsia="宋体" w:cs="宋体"/>
              <w:bCs/>
              <w:szCs w:val="24"/>
            </w:rPr>
            <w:t>五个框架的实践联系</w:t>
          </w:r>
          <w:r>
            <w:tab/>
          </w:r>
          <w:r>
            <w:fldChar w:fldCharType="begin"/>
          </w:r>
          <w:r>
            <w:instrText xml:space="preserve"> PAGEREF _Toc14593 \h </w:instrText>
          </w:r>
          <w:r>
            <w:fldChar w:fldCharType="separate"/>
          </w:r>
          <w:r>
            <w:t>94</w:t>
          </w:r>
          <w:r>
            <w:fldChar w:fldCharType="end"/>
          </w:r>
          <w:r>
            <w:rPr>
              <w:rFonts w:hint="eastAsia" w:ascii="宋体" w:hAnsi="宋体" w:eastAsia="宋体" w:cs="宋体"/>
              <w:kern w:val="2"/>
              <w:szCs w:val="32"/>
              <w:lang w:val="en-US" w:eastAsia="zh-CN" w:bidi="ar-SA"/>
            </w:rPr>
            <w:fldChar w:fldCharType="end"/>
          </w:r>
        </w:p>
        <w:p w14:paraId="24FDE590">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_Toc22504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2.科创教育场域的实施</w:t>
          </w:r>
          <w:r>
            <w:tab/>
          </w:r>
          <w:r>
            <w:fldChar w:fldCharType="begin"/>
          </w:r>
          <w:r>
            <w:instrText xml:space="preserve"> PAGEREF _Toc22504 \h </w:instrText>
          </w:r>
          <w:r>
            <w:fldChar w:fldCharType="separate"/>
          </w:r>
          <w:r>
            <w:t>94</w:t>
          </w:r>
          <w:r>
            <w:fldChar w:fldCharType="end"/>
          </w:r>
          <w:r>
            <w:rPr>
              <w:rFonts w:hint="eastAsia" w:ascii="宋体" w:hAnsi="宋体" w:eastAsia="宋体" w:cs="宋体"/>
              <w:kern w:val="2"/>
              <w:szCs w:val="32"/>
              <w:lang w:val="en-US" w:eastAsia="zh-CN" w:bidi="ar-SA"/>
            </w:rPr>
            <w:fldChar w:fldCharType="end"/>
          </w:r>
        </w:p>
        <w:p w14:paraId="328B80D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_Toc17218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（1）可见的学习五要素分析框架</w:t>
          </w:r>
          <w:r>
            <w:tab/>
          </w:r>
          <w:r>
            <w:fldChar w:fldCharType="begin"/>
          </w:r>
          <w:r>
            <w:instrText xml:space="preserve"> PAGEREF _Toc17218 \h </w:instrText>
          </w:r>
          <w:r>
            <w:fldChar w:fldCharType="separate"/>
          </w:r>
          <w:r>
            <w:t>95</w:t>
          </w:r>
          <w:r>
            <w:fldChar w:fldCharType="end"/>
          </w:r>
          <w:r>
            <w:rPr>
              <w:rFonts w:hint="eastAsia" w:ascii="宋体" w:hAnsi="宋体" w:eastAsia="宋体" w:cs="宋体"/>
              <w:kern w:val="2"/>
              <w:szCs w:val="32"/>
              <w:lang w:val="en-US" w:eastAsia="zh-CN" w:bidi="ar-SA"/>
            </w:rPr>
            <w:fldChar w:fldCharType="end"/>
          </w:r>
        </w:p>
        <w:p w14:paraId="1274893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（2）可见的学习目标分析框架</w:t>
          </w:r>
          <w:r>
            <w:tab/>
          </w:r>
          <w:r>
            <w:fldChar w:fldCharType="begin"/>
          </w:r>
          <w:r>
            <w:instrText xml:space="preserve"> PAGEREF _Toc119 \h </w:instrText>
          </w:r>
          <w:r>
            <w:fldChar w:fldCharType="separate"/>
          </w:r>
          <w:r>
            <w:t>98</w:t>
          </w:r>
          <w:r>
            <w:fldChar w:fldCharType="end"/>
          </w:r>
          <w:r>
            <w:rPr>
              <w:rFonts w:hint="eastAsia" w:ascii="宋体" w:hAnsi="宋体" w:eastAsia="宋体" w:cs="宋体"/>
              <w:kern w:val="2"/>
              <w:szCs w:val="32"/>
              <w:lang w:val="en-US" w:eastAsia="zh-CN" w:bidi="ar-SA"/>
            </w:rPr>
            <w:fldChar w:fldCharType="end"/>
          </w:r>
        </w:p>
        <w:p w14:paraId="7688146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（3）可见的学习内容分析框架</w:t>
          </w:r>
          <w:r>
            <w:tab/>
          </w:r>
          <w:r>
            <w:fldChar w:fldCharType="begin"/>
          </w:r>
          <w:r>
            <w:instrText xml:space="preserve"> PAGEREF _Toc1215 \h </w:instrText>
          </w:r>
          <w:r>
            <w:fldChar w:fldCharType="separate"/>
          </w:r>
          <w:r>
            <w:t>99</w:t>
          </w:r>
          <w:r>
            <w:fldChar w:fldCharType="end"/>
          </w:r>
          <w:r>
            <w:rPr>
              <w:rFonts w:hint="eastAsia" w:ascii="宋体" w:hAnsi="宋体" w:eastAsia="宋体" w:cs="宋体"/>
              <w:kern w:val="2"/>
              <w:szCs w:val="32"/>
              <w:lang w:val="en-US" w:eastAsia="zh-CN" w:bidi="ar-SA"/>
            </w:rPr>
            <w:fldChar w:fldCharType="end"/>
          </w:r>
        </w:p>
        <w:p w14:paraId="01E43E3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_Toc22304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（4）可见的学习过程分析框架</w:t>
          </w:r>
          <w:r>
            <w:tab/>
          </w:r>
          <w:r>
            <w:fldChar w:fldCharType="begin"/>
          </w:r>
          <w:r>
            <w:instrText xml:space="preserve"> PAGEREF _Toc22304 \h </w:instrText>
          </w:r>
          <w:r>
            <w:fldChar w:fldCharType="separate"/>
          </w:r>
          <w:r>
            <w:t>101</w:t>
          </w:r>
          <w:r>
            <w:fldChar w:fldCharType="end"/>
          </w:r>
          <w:r>
            <w:rPr>
              <w:rFonts w:hint="eastAsia" w:ascii="宋体" w:hAnsi="宋体" w:eastAsia="宋体" w:cs="宋体"/>
              <w:kern w:val="2"/>
              <w:szCs w:val="32"/>
              <w:lang w:val="en-US" w:eastAsia="zh-CN" w:bidi="ar-SA"/>
            </w:rPr>
            <w:fldChar w:fldCharType="end"/>
          </w:r>
        </w:p>
        <w:p w14:paraId="05C6821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4"/>
            </w:rPr>
            <w:t>（5）可见的学习多元评价样态</w:t>
          </w:r>
          <w:r>
            <w:tab/>
          </w:r>
          <w:r>
            <w:fldChar w:fldCharType="begin"/>
          </w:r>
          <w:r>
            <w:instrText xml:space="preserve"> PAGEREF _Toc18819 \h </w:instrText>
          </w:r>
          <w:r>
            <w:fldChar w:fldCharType="separate"/>
          </w:r>
          <w:r>
            <w:t>107</w:t>
          </w:r>
          <w:r>
            <w:fldChar w:fldCharType="end"/>
          </w:r>
          <w:r>
            <w:rPr>
              <w:rFonts w:hint="eastAsia" w:ascii="宋体" w:hAnsi="宋体" w:eastAsia="宋体" w:cs="宋体"/>
              <w:kern w:val="2"/>
              <w:szCs w:val="32"/>
              <w:lang w:val="en-US" w:eastAsia="zh-CN" w:bidi="ar-SA"/>
            </w:rPr>
            <w:fldChar w:fldCharType="end"/>
          </w:r>
        </w:p>
        <w:p w14:paraId="255320FE">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_Toc24627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6）</w:t>
          </w:r>
          <w:r>
            <w:rPr>
              <w:rFonts w:hint="eastAsia" w:ascii="宋体" w:hAnsi="宋体" w:eastAsia="宋体" w:cs="宋体"/>
            </w:rPr>
            <w:t>科创场域的实践特点</w:t>
          </w:r>
          <w:r>
            <w:tab/>
          </w:r>
          <w:r>
            <w:fldChar w:fldCharType="begin"/>
          </w:r>
          <w:r>
            <w:instrText xml:space="preserve"> PAGEREF _Toc24627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4E40A89A">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_Toc4938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rPr>
            <w:t>（</w:t>
          </w:r>
          <w:r>
            <w:rPr>
              <w:rFonts w:hint="eastAsia" w:ascii="宋体" w:hAnsi="宋体" w:eastAsia="宋体" w:cs="宋体"/>
              <w:bCs/>
              <w:lang w:val="en-US" w:eastAsia="zh-CN"/>
            </w:rPr>
            <w:t>四</w:t>
          </w:r>
          <w:r>
            <w:rPr>
              <w:rFonts w:hint="eastAsia" w:ascii="宋体" w:hAnsi="宋体" w:eastAsia="宋体" w:cs="宋体"/>
              <w:bCs/>
            </w:rPr>
            <w:t>）评价体系与多源证据</w:t>
          </w:r>
          <w:r>
            <w:tab/>
          </w:r>
          <w:r>
            <w:fldChar w:fldCharType="begin"/>
          </w:r>
          <w:r>
            <w:instrText xml:space="preserve"> PAGEREF _Toc4938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6CBFEB1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_Toc4736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1.评价依据、维度与指标</w:t>
          </w:r>
          <w:r>
            <w:tab/>
          </w:r>
          <w:r>
            <w:fldChar w:fldCharType="begin"/>
          </w:r>
          <w:r>
            <w:instrText xml:space="preserve"> PAGEREF _Toc4736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040055C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_Toc4508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（1）评价体系的设计依据</w:t>
          </w:r>
          <w:r>
            <w:tab/>
          </w:r>
          <w:r>
            <w:fldChar w:fldCharType="begin"/>
          </w:r>
          <w:r>
            <w:instrText xml:space="preserve"> PAGEREF _Toc4508 \h </w:instrText>
          </w:r>
          <w:r>
            <w:fldChar w:fldCharType="separate"/>
          </w:r>
          <w:r>
            <w:t>110</w:t>
          </w:r>
          <w:r>
            <w:fldChar w:fldCharType="end"/>
          </w:r>
          <w:r>
            <w:rPr>
              <w:rFonts w:hint="eastAsia" w:ascii="宋体" w:hAnsi="宋体" w:eastAsia="宋体" w:cs="宋体"/>
              <w:kern w:val="2"/>
              <w:szCs w:val="32"/>
              <w:lang w:val="en-US" w:eastAsia="zh-CN" w:bidi="ar-SA"/>
            </w:rPr>
            <w:fldChar w:fldCharType="end"/>
          </w:r>
        </w:p>
        <w:p w14:paraId="754DF64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（2）评价维度</w:t>
          </w:r>
          <w:r>
            <w:tab/>
          </w:r>
          <w:r>
            <w:fldChar w:fldCharType="begin"/>
          </w:r>
          <w:r>
            <w:instrText xml:space="preserve"> PAGEREF _Toc2945 \h </w:instrText>
          </w:r>
          <w:r>
            <w:fldChar w:fldCharType="separate"/>
          </w:r>
          <w:r>
            <w:t>111</w:t>
          </w:r>
          <w:r>
            <w:fldChar w:fldCharType="end"/>
          </w:r>
          <w:r>
            <w:rPr>
              <w:rFonts w:hint="eastAsia" w:ascii="宋体" w:hAnsi="宋体" w:eastAsia="宋体" w:cs="宋体"/>
              <w:kern w:val="2"/>
              <w:szCs w:val="32"/>
              <w:lang w:val="en-US" w:eastAsia="zh-CN" w:bidi="ar-SA"/>
            </w:rPr>
            <w:fldChar w:fldCharType="end"/>
          </w:r>
        </w:p>
        <w:p w14:paraId="1021B29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_Toc12243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（3）评价指标</w:t>
          </w:r>
          <w:r>
            <w:tab/>
          </w:r>
          <w:r>
            <w:fldChar w:fldCharType="begin"/>
          </w:r>
          <w:r>
            <w:instrText xml:space="preserve"> PAGEREF _Toc12243 \h </w:instrText>
          </w:r>
          <w:r>
            <w:fldChar w:fldCharType="separate"/>
          </w:r>
          <w:r>
            <w:t>112</w:t>
          </w:r>
          <w:r>
            <w:fldChar w:fldCharType="end"/>
          </w:r>
          <w:r>
            <w:rPr>
              <w:rFonts w:hint="eastAsia" w:ascii="宋体" w:hAnsi="宋体" w:eastAsia="宋体" w:cs="宋体"/>
              <w:kern w:val="2"/>
              <w:szCs w:val="32"/>
              <w:lang w:val="en-US" w:eastAsia="zh-CN" w:bidi="ar-SA"/>
            </w:rPr>
            <w:fldChar w:fldCharType="end"/>
          </w:r>
        </w:p>
        <w:p w14:paraId="1835848C">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_Toc26057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2.数据采集系统</w:t>
          </w:r>
          <w:r>
            <w:tab/>
          </w:r>
          <w:r>
            <w:fldChar w:fldCharType="begin"/>
          </w:r>
          <w:r>
            <w:instrText xml:space="preserve"> PAGEREF _Toc26057 \h </w:instrText>
          </w:r>
          <w:r>
            <w:fldChar w:fldCharType="separate"/>
          </w:r>
          <w:r>
            <w:t>112</w:t>
          </w:r>
          <w:r>
            <w:fldChar w:fldCharType="end"/>
          </w:r>
          <w:r>
            <w:rPr>
              <w:rFonts w:hint="eastAsia" w:ascii="宋体" w:hAnsi="宋体" w:eastAsia="宋体" w:cs="宋体"/>
              <w:kern w:val="2"/>
              <w:szCs w:val="32"/>
              <w:lang w:val="en-US" w:eastAsia="zh-CN" w:bidi="ar-SA"/>
            </w:rPr>
            <w:fldChar w:fldCharType="end"/>
          </w:r>
        </w:p>
        <w:p w14:paraId="646A170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_Toc4180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3.多源证据链</w:t>
          </w:r>
          <w:r>
            <w:tab/>
          </w:r>
          <w:r>
            <w:fldChar w:fldCharType="begin"/>
          </w:r>
          <w:r>
            <w:instrText xml:space="preserve"> PAGEREF _Toc4180 \h </w:instrText>
          </w:r>
          <w:r>
            <w:fldChar w:fldCharType="separate"/>
          </w:r>
          <w:r>
            <w:t>113</w:t>
          </w:r>
          <w:r>
            <w:fldChar w:fldCharType="end"/>
          </w:r>
          <w:r>
            <w:rPr>
              <w:rFonts w:hint="eastAsia" w:ascii="宋体" w:hAnsi="宋体" w:eastAsia="宋体" w:cs="宋体"/>
              <w:kern w:val="2"/>
              <w:szCs w:val="32"/>
              <w:lang w:val="en-US" w:eastAsia="zh-CN" w:bidi="ar-SA"/>
            </w:rPr>
            <w:fldChar w:fldCharType="end"/>
          </w:r>
        </w:p>
        <w:p w14:paraId="0FAA4636">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_Toc19419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（1）前测、过程与后测的纵向证据</w:t>
          </w:r>
          <w:r>
            <w:tab/>
          </w:r>
          <w:r>
            <w:fldChar w:fldCharType="begin"/>
          </w:r>
          <w:r>
            <w:instrText xml:space="preserve"> PAGEREF _Toc19419 \h </w:instrText>
          </w:r>
          <w:r>
            <w:fldChar w:fldCharType="separate"/>
          </w:r>
          <w:r>
            <w:t>113</w:t>
          </w:r>
          <w:r>
            <w:fldChar w:fldCharType="end"/>
          </w:r>
          <w:r>
            <w:rPr>
              <w:rFonts w:hint="eastAsia" w:ascii="宋体" w:hAnsi="宋体" w:eastAsia="宋体" w:cs="宋体"/>
              <w:kern w:val="2"/>
              <w:szCs w:val="32"/>
              <w:lang w:val="en-US" w:eastAsia="zh-CN" w:bidi="ar-SA"/>
            </w:rPr>
            <w:fldChar w:fldCharType="end"/>
          </w:r>
        </w:p>
        <w:p w14:paraId="0C2537D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_Toc18046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（2）起点、过程、变化与迁移的横向证据</w:t>
          </w:r>
          <w:r>
            <w:tab/>
          </w:r>
          <w:r>
            <w:fldChar w:fldCharType="begin"/>
          </w:r>
          <w:r>
            <w:instrText xml:space="preserve"> PAGEREF _Toc18046 \h </w:instrText>
          </w:r>
          <w:r>
            <w:fldChar w:fldCharType="separate"/>
          </w:r>
          <w:r>
            <w:t>114</w:t>
          </w:r>
          <w:r>
            <w:fldChar w:fldCharType="end"/>
          </w:r>
          <w:r>
            <w:rPr>
              <w:rFonts w:hint="eastAsia" w:ascii="宋体" w:hAnsi="宋体" w:eastAsia="宋体" w:cs="宋体"/>
              <w:kern w:val="2"/>
              <w:szCs w:val="32"/>
              <w:lang w:val="en-US" w:eastAsia="zh-CN" w:bidi="ar-SA"/>
            </w:rPr>
            <w:fldChar w:fldCharType="end"/>
          </w:r>
        </w:p>
        <w:p w14:paraId="403AA6B2">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_Toc29405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（3）自评、互评、师评与智评的多元互证</w:t>
          </w:r>
          <w:r>
            <w:tab/>
          </w:r>
          <w:r>
            <w:fldChar w:fldCharType="begin"/>
          </w:r>
          <w:r>
            <w:instrText xml:space="preserve"> PAGEREF _Toc29405 \h </w:instrText>
          </w:r>
          <w:r>
            <w:fldChar w:fldCharType="separate"/>
          </w:r>
          <w:r>
            <w:t>114</w:t>
          </w:r>
          <w:r>
            <w:fldChar w:fldCharType="end"/>
          </w:r>
          <w:r>
            <w:rPr>
              <w:rFonts w:hint="eastAsia" w:ascii="宋体" w:hAnsi="宋体" w:eastAsia="宋体" w:cs="宋体"/>
              <w:kern w:val="2"/>
              <w:szCs w:val="32"/>
              <w:lang w:val="en-US" w:eastAsia="zh-CN" w:bidi="ar-SA"/>
            </w:rPr>
            <w:fldChar w:fldCharType="end"/>
          </w:r>
        </w:p>
        <w:p w14:paraId="34B44BFE">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_Toc27931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五</w:t>
          </w:r>
          <w:r>
            <w:rPr>
              <w:rFonts w:hint="eastAsia" w:ascii="宋体" w:hAnsi="宋体" w:eastAsia="宋体" w:cs="宋体"/>
            </w:rPr>
            <w:t>）模型实施成效分析</w:t>
          </w:r>
          <w:r>
            <w:tab/>
          </w:r>
          <w:r>
            <w:fldChar w:fldCharType="begin"/>
          </w:r>
          <w:r>
            <w:instrText xml:space="preserve"> PAGEREF _Toc27931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12D25B56">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_Toc17345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rPr>
            <w:t>1.学生问卷前后测结果</w:t>
          </w:r>
          <w:r>
            <w:rPr>
              <w:rFonts w:hint="eastAsia" w:ascii="宋体" w:hAnsi="宋体" w:eastAsia="宋体" w:cs="宋体"/>
              <w:bCs/>
              <w:lang w:val="en-US" w:eastAsia="zh-CN"/>
            </w:rPr>
            <w:t>分析</w:t>
          </w:r>
          <w:r>
            <w:tab/>
          </w:r>
          <w:r>
            <w:fldChar w:fldCharType="begin"/>
          </w:r>
          <w:r>
            <w:instrText xml:space="preserve"> PAGEREF _Toc17345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7B92CC4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_Toc25947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（1）分析样本与方法</w:t>
          </w:r>
          <w:r>
            <w:tab/>
          </w:r>
          <w:r>
            <w:fldChar w:fldCharType="begin"/>
          </w:r>
          <w:r>
            <w:instrText xml:space="preserve"> PAGEREF _Toc25947 \h </w:instrText>
          </w:r>
          <w:r>
            <w:fldChar w:fldCharType="separate"/>
          </w:r>
          <w:r>
            <w:t>115</w:t>
          </w:r>
          <w:r>
            <w:fldChar w:fldCharType="end"/>
          </w:r>
          <w:r>
            <w:rPr>
              <w:rFonts w:hint="eastAsia" w:ascii="宋体" w:hAnsi="宋体" w:eastAsia="宋体" w:cs="宋体"/>
              <w:kern w:val="2"/>
              <w:szCs w:val="32"/>
              <w:lang w:val="en-US" w:eastAsia="zh-CN" w:bidi="ar-SA"/>
            </w:rPr>
            <w:fldChar w:fldCharType="end"/>
          </w:r>
        </w:p>
        <w:p w14:paraId="1CC347BC">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_Toc28379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2）总体情况比较</w:t>
          </w:r>
          <w:r>
            <w:tab/>
          </w:r>
          <w:r>
            <w:fldChar w:fldCharType="begin"/>
          </w:r>
          <w:r>
            <w:instrText xml:space="preserve"> PAGEREF _Toc28379 \h </w:instrText>
          </w:r>
          <w:r>
            <w:fldChar w:fldCharType="separate"/>
          </w:r>
          <w:r>
            <w:t>116</w:t>
          </w:r>
          <w:r>
            <w:fldChar w:fldCharType="end"/>
          </w:r>
          <w:r>
            <w:rPr>
              <w:rFonts w:hint="eastAsia" w:ascii="宋体" w:hAnsi="宋体" w:eastAsia="宋体" w:cs="宋体"/>
              <w:kern w:val="2"/>
              <w:szCs w:val="32"/>
              <w:lang w:val="en-US" w:eastAsia="zh-CN" w:bidi="ar-SA"/>
            </w:rPr>
            <w:fldChar w:fldCharType="end"/>
          </w:r>
        </w:p>
        <w:p w14:paraId="1A1886B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_Toc10910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rPr>
            <w:t>3</w:t>
          </w:r>
          <w:r>
            <w:rPr>
              <w:rFonts w:hint="eastAsia" w:ascii="宋体" w:hAnsi="宋体" w:eastAsia="宋体" w:cs="宋体"/>
              <w:lang w:eastAsia="zh-CN"/>
            </w:rPr>
            <w:t>）</w:t>
          </w:r>
          <w:r>
            <w:rPr>
              <w:rFonts w:hint="eastAsia" w:ascii="宋体" w:hAnsi="宋体" w:eastAsia="宋体" w:cs="宋体"/>
            </w:rPr>
            <w:t>七个维度分别比较</w:t>
          </w:r>
          <w:r>
            <w:tab/>
          </w:r>
          <w:r>
            <w:fldChar w:fldCharType="begin"/>
          </w:r>
          <w:r>
            <w:instrText xml:space="preserve"> PAGEREF _Toc10910 \h </w:instrText>
          </w:r>
          <w:r>
            <w:fldChar w:fldCharType="separate"/>
          </w:r>
          <w:r>
            <w:t>117</w:t>
          </w:r>
          <w:r>
            <w:fldChar w:fldCharType="end"/>
          </w:r>
          <w:r>
            <w:rPr>
              <w:rFonts w:hint="eastAsia" w:ascii="宋体" w:hAnsi="宋体" w:eastAsia="宋体" w:cs="宋体"/>
              <w:kern w:val="2"/>
              <w:szCs w:val="32"/>
              <w:lang w:val="en-US" w:eastAsia="zh-CN" w:bidi="ar-SA"/>
            </w:rPr>
            <w:fldChar w:fldCharType="end"/>
          </w:r>
        </w:p>
        <w:p w14:paraId="2BA0E5B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_Toc17662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）开放性回答的质性分析</w:t>
          </w:r>
          <w:r>
            <w:tab/>
          </w:r>
          <w:r>
            <w:fldChar w:fldCharType="begin"/>
          </w:r>
          <w:r>
            <w:instrText xml:space="preserve"> PAGEREF _Toc17662 \h </w:instrText>
          </w:r>
          <w:r>
            <w:fldChar w:fldCharType="separate"/>
          </w:r>
          <w:r>
            <w:t>120</w:t>
          </w:r>
          <w:r>
            <w:fldChar w:fldCharType="end"/>
          </w:r>
          <w:r>
            <w:rPr>
              <w:rFonts w:hint="eastAsia" w:ascii="宋体" w:hAnsi="宋体" w:eastAsia="宋体" w:cs="宋体"/>
              <w:kern w:val="2"/>
              <w:szCs w:val="32"/>
              <w:lang w:val="en-US" w:eastAsia="zh-CN" w:bidi="ar-SA"/>
            </w:rPr>
            <w:fldChar w:fldCharType="end"/>
          </w:r>
        </w:p>
        <w:p w14:paraId="675FB48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_Toc18840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2.教师问卷前后测结果</w:t>
          </w:r>
          <w:r>
            <w:rPr>
              <w:rFonts w:hint="eastAsia" w:ascii="宋体" w:hAnsi="宋体" w:eastAsia="宋体" w:cs="宋体"/>
              <w:lang w:val="en-US" w:eastAsia="zh-CN"/>
            </w:rPr>
            <w:t>分析</w:t>
          </w:r>
          <w:r>
            <w:tab/>
          </w:r>
          <w:r>
            <w:fldChar w:fldCharType="begin"/>
          </w:r>
          <w:r>
            <w:instrText xml:space="preserve"> PAGEREF _Toc18840 \h </w:instrText>
          </w:r>
          <w:r>
            <w:fldChar w:fldCharType="separate"/>
          </w:r>
          <w:r>
            <w:t>122</w:t>
          </w:r>
          <w:r>
            <w:fldChar w:fldCharType="end"/>
          </w:r>
          <w:r>
            <w:rPr>
              <w:rFonts w:hint="eastAsia" w:ascii="宋体" w:hAnsi="宋体" w:eastAsia="宋体" w:cs="宋体"/>
              <w:kern w:val="2"/>
              <w:szCs w:val="32"/>
              <w:lang w:val="en-US" w:eastAsia="zh-CN" w:bidi="ar-SA"/>
            </w:rPr>
            <w:fldChar w:fldCharType="end"/>
          </w:r>
        </w:p>
        <w:p w14:paraId="44EF88B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_Toc19084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（1）数据来源与样本</w:t>
          </w:r>
          <w:r>
            <w:tab/>
          </w:r>
          <w:r>
            <w:fldChar w:fldCharType="begin"/>
          </w:r>
          <w:r>
            <w:instrText xml:space="preserve"> PAGEREF _Toc19084 \h </w:instrText>
          </w:r>
          <w:r>
            <w:fldChar w:fldCharType="separate"/>
          </w:r>
          <w:r>
            <w:t>122</w:t>
          </w:r>
          <w:r>
            <w:fldChar w:fldCharType="end"/>
          </w:r>
          <w:r>
            <w:rPr>
              <w:rFonts w:hint="eastAsia" w:ascii="宋体" w:hAnsi="宋体" w:eastAsia="宋体" w:cs="宋体"/>
              <w:kern w:val="2"/>
              <w:szCs w:val="32"/>
              <w:lang w:val="en-US" w:eastAsia="zh-CN" w:bidi="ar-SA"/>
            </w:rPr>
            <w:fldChar w:fldCharType="end"/>
          </w:r>
        </w:p>
        <w:p w14:paraId="3B8D5B3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_Toc15768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（1）教师背景分布</w:t>
          </w:r>
          <w:r>
            <w:tab/>
          </w:r>
          <w:r>
            <w:fldChar w:fldCharType="begin"/>
          </w:r>
          <w:r>
            <w:instrText xml:space="preserve"> PAGEREF _Toc15768 \h </w:instrText>
          </w:r>
          <w:r>
            <w:fldChar w:fldCharType="separate"/>
          </w:r>
          <w:r>
            <w:t>123</w:t>
          </w:r>
          <w:r>
            <w:fldChar w:fldCharType="end"/>
          </w:r>
          <w:r>
            <w:rPr>
              <w:rFonts w:hint="eastAsia" w:ascii="宋体" w:hAnsi="宋体" w:eastAsia="宋体" w:cs="宋体"/>
              <w:kern w:val="2"/>
              <w:szCs w:val="32"/>
              <w:lang w:val="en-US" w:eastAsia="zh-CN" w:bidi="ar-SA"/>
            </w:rPr>
            <w:fldChar w:fldCharType="end"/>
          </w:r>
        </w:p>
        <w:p w14:paraId="22DF319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_Toc23596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（2）学科分布与维度计分</w:t>
          </w:r>
          <w:r>
            <w:tab/>
          </w:r>
          <w:r>
            <w:fldChar w:fldCharType="begin"/>
          </w:r>
          <w:r>
            <w:instrText xml:space="preserve"> PAGEREF _Toc23596 \h </w:instrText>
          </w:r>
          <w:r>
            <w:fldChar w:fldCharType="separate"/>
          </w:r>
          <w:r>
            <w:t>123</w:t>
          </w:r>
          <w:r>
            <w:fldChar w:fldCharType="end"/>
          </w:r>
          <w:r>
            <w:rPr>
              <w:rFonts w:hint="eastAsia" w:ascii="宋体" w:hAnsi="宋体" w:eastAsia="宋体" w:cs="宋体"/>
              <w:kern w:val="2"/>
              <w:szCs w:val="32"/>
              <w:lang w:val="en-US" w:eastAsia="zh-CN" w:bidi="ar-SA"/>
            </w:rPr>
            <w:fldChar w:fldCharType="end"/>
          </w:r>
        </w:p>
        <w:p w14:paraId="225B4C5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_Toc19701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rPr>
            <w:t>总体与各维度比较</w:t>
          </w:r>
          <w:r>
            <w:tab/>
          </w:r>
          <w:r>
            <w:fldChar w:fldCharType="begin"/>
          </w:r>
          <w:r>
            <w:instrText xml:space="preserve"> PAGEREF _Toc19701 \h </w:instrText>
          </w:r>
          <w:r>
            <w:fldChar w:fldCharType="separate"/>
          </w:r>
          <w:r>
            <w:t>124</w:t>
          </w:r>
          <w:r>
            <w:fldChar w:fldCharType="end"/>
          </w:r>
          <w:r>
            <w:rPr>
              <w:rFonts w:hint="eastAsia" w:ascii="宋体" w:hAnsi="宋体" w:eastAsia="宋体" w:cs="宋体"/>
              <w:kern w:val="2"/>
              <w:szCs w:val="32"/>
              <w:lang w:val="en-US" w:eastAsia="zh-CN" w:bidi="ar-SA"/>
            </w:rPr>
            <w:fldChar w:fldCharType="end"/>
          </w:r>
        </w:p>
        <w:p w14:paraId="1263B7A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_Toc14846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2）各维度比较分析</w:t>
          </w:r>
          <w:r>
            <w:tab/>
          </w:r>
          <w:r>
            <w:fldChar w:fldCharType="begin"/>
          </w:r>
          <w:r>
            <w:instrText xml:space="preserve"> PAGEREF _Toc14846 \h </w:instrText>
          </w:r>
          <w:r>
            <w:fldChar w:fldCharType="separate"/>
          </w:r>
          <w:r>
            <w:t>125</w:t>
          </w:r>
          <w:r>
            <w:fldChar w:fldCharType="end"/>
          </w:r>
          <w:r>
            <w:rPr>
              <w:rFonts w:hint="eastAsia" w:ascii="宋体" w:hAnsi="宋体" w:eastAsia="宋体" w:cs="宋体"/>
              <w:kern w:val="2"/>
              <w:szCs w:val="32"/>
              <w:lang w:val="en-US" w:eastAsia="zh-CN" w:bidi="ar-SA"/>
            </w:rPr>
            <w:fldChar w:fldCharType="end"/>
          </w:r>
        </w:p>
        <w:p w14:paraId="5CE6D1F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rPr>
            <w:t>后测新增题目的补充分析</w:t>
          </w:r>
          <w:r>
            <w:tab/>
          </w:r>
          <w:r>
            <w:fldChar w:fldCharType="begin"/>
          </w:r>
          <w:r>
            <w:instrText xml:space="preserve"> PAGEREF _Toc1515 \h </w:instrText>
          </w:r>
          <w:r>
            <w:fldChar w:fldCharType="separate"/>
          </w:r>
          <w:r>
            <w:t>127</w:t>
          </w:r>
          <w:r>
            <w:fldChar w:fldCharType="end"/>
          </w:r>
          <w:r>
            <w:rPr>
              <w:rFonts w:hint="eastAsia" w:ascii="宋体" w:hAnsi="宋体" w:eastAsia="宋体" w:cs="宋体"/>
              <w:kern w:val="2"/>
              <w:szCs w:val="32"/>
              <w:lang w:val="en-US" w:eastAsia="zh-CN" w:bidi="ar-SA"/>
            </w:rPr>
            <w:fldChar w:fldCharType="end"/>
          </w:r>
        </w:p>
        <w:p w14:paraId="6290B1C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_Toc13690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rPr>
            <w:t>教师开放性回答的质性分析</w:t>
          </w:r>
          <w:r>
            <w:tab/>
          </w:r>
          <w:r>
            <w:fldChar w:fldCharType="begin"/>
          </w:r>
          <w:r>
            <w:instrText xml:space="preserve"> PAGEREF _Toc13690 \h </w:instrText>
          </w:r>
          <w:r>
            <w:fldChar w:fldCharType="separate"/>
          </w:r>
          <w:r>
            <w:t>128</w:t>
          </w:r>
          <w:r>
            <w:fldChar w:fldCharType="end"/>
          </w:r>
          <w:r>
            <w:rPr>
              <w:rFonts w:hint="eastAsia" w:ascii="宋体" w:hAnsi="宋体" w:eastAsia="宋体" w:cs="宋体"/>
              <w:kern w:val="2"/>
              <w:szCs w:val="32"/>
              <w:lang w:val="en-US" w:eastAsia="zh-CN" w:bidi="ar-SA"/>
            </w:rPr>
            <w:fldChar w:fldCharType="end"/>
          </w:r>
        </w:p>
        <w:p w14:paraId="4C6FE4E5">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_Toc18295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bCs/>
              <w:szCs w:val="28"/>
            </w:rPr>
            <w:t>4.教师</w:t>
          </w:r>
          <w:r>
            <w:rPr>
              <w:rFonts w:hint="eastAsia" w:ascii="宋体" w:hAnsi="宋体" w:eastAsia="宋体" w:cs="宋体"/>
              <w:bCs/>
              <w:szCs w:val="28"/>
              <w:lang w:val="en-US" w:eastAsia="zh-CN"/>
            </w:rPr>
            <w:t>课题观察</w:t>
          </w:r>
          <w:r>
            <w:rPr>
              <w:rFonts w:hint="eastAsia" w:ascii="宋体" w:hAnsi="宋体" w:eastAsia="宋体" w:cs="宋体"/>
              <w:bCs/>
              <w:szCs w:val="28"/>
            </w:rPr>
            <w:t>结果</w:t>
          </w:r>
          <w:r>
            <w:rPr>
              <w:rFonts w:hint="eastAsia" w:ascii="宋体" w:hAnsi="宋体" w:eastAsia="宋体" w:cs="宋体"/>
              <w:bCs/>
              <w:szCs w:val="28"/>
              <w:lang w:val="en-US" w:eastAsia="zh-CN"/>
            </w:rPr>
            <w:t>对比分析</w:t>
          </w:r>
          <w:r>
            <w:tab/>
          </w:r>
          <w:r>
            <w:fldChar w:fldCharType="begin"/>
          </w:r>
          <w:r>
            <w:instrText xml:space="preserve"> PAGEREF _Toc18295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69A5B31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_Toc24430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lang w:val="en-US" w:eastAsia="zh-CN"/>
            </w:rPr>
            <w:t>5.</w:t>
          </w:r>
          <w:r>
            <w:rPr>
              <w:rFonts w:hint="eastAsia" w:ascii="宋体" w:hAnsi="宋体" w:eastAsia="宋体" w:cs="宋体"/>
              <w:szCs w:val="24"/>
            </w:rPr>
            <w:t>基于实践证据的模型迭代与形成</w:t>
          </w:r>
          <w:r>
            <w:tab/>
          </w:r>
          <w:r>
            <w:fldChar w:fldCharType="begin"/>
          </w:r>
          <w:r>
            <w:instrText xml:space="preserve"> PAGEREF _Toc24430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17D438E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_Toc16045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（1）实践检验与模型调整的依据</w:t>
          </w:r>
          <w:r>
            <w:tab/>
          </w:r>
          <w:r>
            <w:fldChar w:fldCharType="begin"/>
          </w:r>
          <w:r>
            <w:instrText xml:space="preserve"> PAGEREF _Toc16045 \h </w:instrText>
          </w:r>
          <w:r>
            <w:fldChar w:fldCharType="separate"/>
          </w:r>
          <w:r>
            <w:t>131</w:t>
          </w:r>
          <w:r>
            <w:fldChar w:fldCharType="end"/>
          </w:r>
          <w:r>
            <w:rPr>
              <w:rFonts w:hint="eastAsia" w:ascii="宋体" w:hAnsi="宋体" w:eastAsia="宋体" w:cs="宋体"/>
              <w:kern w:val="2"/>
              <w:szCs w:val="32"/>
              <w:lang w:val="en-US" w:eastAsia="zh-CN" w:bidi="ar-SA"/>
            </w:rPr>
            <w:fldChar w:fldCharType="end"/>
          </w:r>
        </w:p>
        <w:p w14:paraId="2DF383BD">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_Toc14689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（2）总模型的结构性迭代</w:t>
          </w:r>
          <w:r>
            <w:tab/>
          </w:r>
          <w:r>
            <w:fldChar w:fldCharType="begin"/>
          </w:r>
          <w:r>
            <w:instrText xml:space="preserve"> PAGEREF _Toc14689 \h </w:instrText>
          </w:r>
          <w:r>
            <w:fldChar w:fldCharType="separate"/>
          </w:r>
          <w:r>
            <w:t>132</w:t>
          </w:r>
          <w:r>
            <w:fldChar w:fldCharType="end"/>
          </w:r>
          <w:r>
            <w:rPr>
              <w:rFonts w:hint="eastAsia" w:ascii="宋体" w:hAnsi="宋体" w:eastAsia="宋体" w:cs="宋体"/>
              <w:kern w:val="2"/>
              <w:szCs w:val="32"/>
              <w:lang w:val="en-US" w:eastAsia="zh-CN" w:bidi="ar-SA"/>
            </w:rPr>
            <w:fldChar w:fldCharType="end"/>
          </w:r>
        </w:p>
        <w:p w14:paraId="68BEEAF3">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_Toc7531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（3）五环学习模型的内涵深化</w:t>
          </w:r>
          <w:r>
            <w:tab/>
          </w:r>
          <w:r>
            <w:fldChar w:fldCharType="begin"/>
          </w:r>
          <w:r>
            <w:instrText xml:space="preserve"> PAGEREF _Toc7531 \h </w:instrText>
          </w:r>
          <w:r>
            <w:fldChar w:fldCharType="separate"/>
          </w:r>
          <w:r>
            <w:t>132</w:t>
          </w:r>
          <w:r>
            <w:fldChar w:fldCharType="end"/>
          </w:r>
          <w:r>
            <w:rPr>
              <w:rFonts w:hint="eastAsia" w:ascii="宋体" w:hAnsi="宋体" w:eastAsia="宋体" w:cs="宋体"/>
              <w:kern w:val="2"/>
              <w:szCs w:val="32"/>
              <w:lang w:val="en-US" w:eastAsia="zh-CN" w:bidi="ar-SA"/>
            </w:rPr>
            <w:fldChar w:fldCharType="end"/>
          </w:r>
        </w:p>
        <w:p w14:paraId="4643EE9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_Toc13322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（4）教师四步调节的循证优化</w:t>
          </w:r>
          <w:r>
            <w:tab/>
          </w:r>
          <w:r>
            <w:fldChar w:fldCharType="begin"/>
          </w:r>
          <w:r>
            <w:instrText xml:space="preserve"> PAGEREF _Toc13322 \h </w:instrText>
          </w:r>
          <w:r>
            <w:fldChar w:fldCharType="separate"/>
          </w:r>
          <w:r>
            <w:t>133</w:t>
          </w:r>
          <w:r>
            <w:fldChar w:fldCharType="end"/>
          </w:r>
          <w:r>
            <w:rPr>
              <w:rFonts w:hint="eastAsia" w:ascii="宋体" w:hAnsi="宋体" w:eastAsia="宋体" w:cs="宋体"/>
              <w:kern w:val="2"/>
              <w:szCs w:val="32"/>
              <w:lang w:val="en-US" w:eastAsia="zh-CN" w:bidi="ar-SA"/>
            </w:rPr>
            <w:fldChar w:fldCharType="end"/>
          </w:r>
        </w:p>
        <w:p w14:paraId="061BB0F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_Toc10853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（5）教与学协同运行及五见贯穿</w:t>
          </w:r>
          <w:r>
            <w:tab/>
          </w:r>
          <w:r>
            <w:fldChar w:fldCharType="begin"/>
          </w:r>
          <w:r>
            <w:instrText xml:space="preserve"> PAGEREF _Toc10853 \h </w:instrText>
          </w:r>
          <w:r>
            <w:fldChar w:fldCharType="separate"/>
          </w:r>
          <w:r>
            <w:t>133</w:t>
          </w:r>
          <w:r>
            <w:fldChar w:fldCharType="end"/>
          </w:r>
          <w:r>
            <w:rPr>
              <w:rFonts w:hint="eastAsia" w:ascii="宋体" w:hAnsi="宋体" w:eastAsia="宋体" w:cs="宋体"/>
              <w:kern w:val="2"/>
              <w:szCs w:val="32"/>
              <w:lang w:val="en-US" w:eastAsia="zh-CN" w:bidi="ar-SA"/>
            </w:rPr>
            <w:fldChar w:fldCharType="end"/>
          </w:r>
        </w:p>
        <w:p w14:paraId="6E2921F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_Toc20832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（6）学科奠基与科创拓展的场域转化</w:t>
          </w:r>
          <w:r>
            <w:tab/>
          </w:r>
          <w:r>
            <w:fldChar w:fldCharType="begin"/>
          </w:r>
          <w:r>
            <w:instrText xml:space="preserve"> PAGEREF _Toc20832 \h </w:instrText>
          </w:r>
          <w:r>
            <w:fldChar w:fldCharType="separate"/>
          </w:r>
          <w:r>
            <w:t>134</w:t>
          </w:r>
          <w:r>
            <w:fldChar w:fldCharType="end"/>
          </w:r>
          <w:r>
            <w:rPr>
              <w:rFonts w:hint="eastAsia" w:ascii="宋体" w:hAnsi="宋体" w:eastAsia="宋体" w:cs="宋体"/>
              <w:kern w:val="2"/>
              <w:szCs w:val="32"/>
              <w:lang w:val="en-US" w:eastAsia="zh-CN" w:bidi="ar-SA"/>
            </w:rPr>
            <w:fldChar w:fldCharType="end"/>
          </w:r>
        </w:p>
        <w:p w14:paraId="4941B78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_Toc21561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szCs w:val="24"/>
            </w:rPr>
            <w:t>（7）模型2.0版的形成及持续完善</w:t>
          </w:r>
          <w:r>
            <w:tab/>
          </w:r>
          <w:r>
            <w:fldChar w:fldCharType="begin"/>
          </w:r>
          <w:r>
            <w:instrText xml:space="preserve"> PAGEREF _Toc21561 \h </w:instrText>
          </w:r>
          <w:r>
            <w:fldChar w:fldCharType="separate"/>
          </w:r>
          <w:r>
            <w:t>135</w:t>
          </w:r>
          <w:r>
            <w:fldChar w:fldCharType="end"/>
          </w:r>
          <w:r>
            <w:rPr>
              <w:rFonts w:hint="eastAsia" w:ascii="宋体" w:hAnsi="宋体" w:eastAsia="宋体" w:cs="宋体"/>
              <w:kern w:val="2"/>
              <w:szCs w:val="32"/>
              <w:lang w:val="en-US" w:eastAsia="zh-CN" w:bidi="ar-SA"/>
            </w:rPr>
            <w:fldChar w:fldCharType="end"/>
          </w:r>
        </w:p>
        <w:p w14:paraId="68010FF8">
          <w:pPr>
            <w:pStyle w:val="8"/>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_Toc25217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四、研究成果与实践成效</w:t>
          </w:r>
          <w:r>
            <w:tab/>
          </w:r>
          <w:r>
            <w:fldChar w:fldCharType="begin"/>
          </w:r>
          <w:r>
            <w:instrText xml:space="preserve"> PAGEREF _Toc25217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533A23C0">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_Toc14498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（一）主要研究成果</w:t>
          </w:r>
          <w:r>
            <w:tab/>
          </w:r>
          <w:r>
            <w:fldChar w:fldCharType="begin"/>
          </w:r>
          <w:r>
            <w:instrText xml:space="preserve"> PAGEREF _Toc14498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79BA118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_Toc8966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三层学习贯穿的五环学习模型</w:t>
          </w:r>
          <w:r>
            <w:tab/>
          </w:r>
          <w:r>
            <w:fldChar w:fldCharType="begin"/>
          </w:r>
          <w:r>
            <w:instrText xml:space="preserve"> PAGEREF _Toc8966 \h </w:instrText>
          </w:r>
          <w:r>
            <w:fldChar w:fldCharType="separate"/>
          </w:r>
          <w:r>
            <w:t>137</w:t>
          </w:r>
          <w:r>
            <w:fldChar w:fldCharType="end"/>
          </w:r>
          <w:r>
            <w:rPr>
              <w:rFonts w:hint="eastAsia" w:ascii="宋体" w:hAnsi="宋体" w:eastAsia="宋体" w:cs="宋体"/>
              <w:kern w:val="2"/>
              <w:szCs w:val="32"/>
              <w:lang w:val="en-US" w:eastAsia="zh-CN" w:bidi="ar-SA"/>
            </w:rPr>
            <w:fldChar w:fldCharType="end"/>
          </w:r>
        </w:p>
        <w:p w14:paraId="544223B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_Toc3700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嵌入学习全过程的教师四步调节</w:t>
          </w:r>
          <w:r>
            <w:tab/>
          </w:r>
          <w:r>
            <w:fldChar w:fldCharType="begin"/>
          </w:r>
          <w:r>
            <w:instrText xml:space="preserve"> PAGEREF _Toc3700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5329F40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_Toc14733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以教与学协同为运行核心的总模型2.0</w:t>
          </w:r>
          <w:r>
            <w:tab/>
          </w:r>
          <w:r>
            <w:fldChar w:fldCharType="begin"/>
          </w:r>
          <w:r>
            <w:instrText xml:space="preserve"> PAGEREF _Toc14733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2EF760A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_Toc26758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学科四要素向科创五要素拓展的实践路径</w:t>
          </w:r>
          <w:r>
            <w:tab/>
          </w:r>
          <w:r>
            <w:fldChar w:fldCharType="begin"/>
          </w:r>
          <w:r>
            <w:instrText xml:space="preserve"> PAGEREF _Toc26758 \h </w:instrText>
          </w:r>
          <w:r>
            <w:fldChar w:fldCharType="separate"/>
          </w:r>
          <w:r>
            <w:t>138</w:t>
          </w:r>
          <w:r>
            <w:fldChar w:fldCharType="end"/>
          </w:r>
          <w:r>
            <w:rPr>
              <w:rFonts w:hint="eastAsia" w:ascii="宋体" w:hAnsi="宋体" w:eastAsia="宋体" w:cs="宋体"/>
              <w:kern w:val="2"/>
              <w:szCs w:val="32"/>
              <w:lang w:val="en-US" w:eastAsia="zh-CN" w:bidi="ar-SA"/>
            </w:rPr>
            <w:fldChar w:fldCharType="end"/>
          </w:r>
        </w:p>
        <w:p w14:paraId="4331952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_Toc8569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连接能力目标与任务表现的五种典型样态</w:t>
          </w:r>
          <w:r>
            <w:tab/>
          </w:r>
          <w:r>
            <w:fldChar w:fldCharType="begin"/>
          </w:r>
          <w:r>
            <w:instrText xml:space="preserve"> PAGEREF _Toc8569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1F77821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_Toc24821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 支持学习判断与教学调节的多源证据体系</w:t>
          </w:r>
          <w:r>
            <w:tab/>
          </w:r>
          <w:r>
            <w:fldChar w:fldCharType="begin"/>
          </w:r>
          <w:r>
            <w:instrText xml:space="preserve"> PAGEREF _Toc24821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0BAD249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_Toc28594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7 可供复盘与持续改进的校本资源</w:t>
          </w:r>
          <w:r>
            <w:tab/>
          </w:r>
          <w:r>
            <w:fldChar w:fldCharType="begin"/>
          </w:r>
          <w:r>
            <w:instrText xml:space="preserve"> PAGEREF _Toc28594 \h </w:instrText>
          </w:r>
          <w:r>
            <w:fldChar w:fldCharType="separate"/>
          </w:r>
          <w:r>
            <w:t>139</w:t>
          </w:r>
          <w:r>
            <w:fldChar w:fldCharType="end"/>
          </w:r>
          <w:r>
            <w:rPr>
              <w:rFonts w:hint="eastAsia" w:ascii="宋体" w:hAnsi="宋体" w:eastAsia="宋体" w:cs="宋体"/>
              <w:kern w:val="2"/>
              <w:szCs w:val="32"/>
              <w:lang w:val="en-US" w:eastAsia="zh-CN" w:bidi="ar-SA"/>
            </w:rPr>
            <w:fldChar w:fldCharType="end"/>
          </w:r>
        </w:p>
        <w:p w14:paraId="461F2A6C">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_Toc30557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（二）学生七维高阶能力与学习方式的积极变化</w:t>
          </w:r>
          <w:r>
            <w:tab/>
          </w:r>
          <w:r>
            <w:fldChar w:fldCharType="begin"/>
          </w:r>
          <w:r>
            <w:instrText xml:space="preserve"> PAGEREF _Toc30557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2213BE1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_Toc12909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数据来源与成效判断口径</w:t>
          </w:r>
          <w:r>
            <w:tab/>
          </w:r>
          <w:r>
            <w:fldChar w:fldCharType="begin"/>
          </w:r>
          <w:r>
            <w:instrText xml:space="preserve"> PAGEREF _Toc12909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6FC4CDF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_Toc506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学生高阶能力总体变化</w:t>
          </w:r>
          <w:r>
            <w:tab/>
          </w:r>
          <w:r>
            <w:fldChar w:fldCharType="begin"/>
          </w:r>
          <w:r>
            <w:instrText xml:space="preserve"> PAGEREF _Toc506 \h </w:instrText>
          </w:r>
          <w:r>
            <w:fldChar w:fldCharType="separate"/>
          </w:r>
          <w:r>
            <w:t>140</w:t>
          </w:r>
          <w:r>
            <w:fldChar w:fldCharType="end"/>
          </w:r>
          <w:r>
            <w:rPr>
              <w:rFonts w:hint="eastAsia" w:ascii="宋体" w:hAnsi="宋体" w:eastAsia="宋体" w:cs="宋体"/>
              <w:kern w:val="2"/>
              <w:szCs w:val="32"/>
              <w:lang w:val="en-US" w:eastAsia="zh-CN" w:bidi="ar-SA"/>
            </w:rPr>
            <w:fldChar w:fldCharType="end"/>
          </w:r>
        </w:p>
        <w:p w14:paraId="261186CE">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_Toc27724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七个维度的分别检验与教育意义</w:t>
          </w:r>
          <w:r>
            <w:tab/>
          </w:r>
          <w:r>
            <w:fldChar w:fldCharType="begin"/>
          </w:r>
          <w:r>
            <w:instrText xml:space="preserve"> PAGEREF _Toc27724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6161B37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_Toc20698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1）分析</w:t>
          </w:r>
          <w:r>
            <w:tab/>
          </w:r>
          <w:r>
            <w:fldChar w:fldCharType="begin"/>
          </w:r>
          <w:r>
            <w:instrText xml:space="preserve"> PAGEREF _Toc20698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25615C9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_Toc27983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2）评价</w:t>
          </w:r>
          <w:r>
            <w:tab/>
          </w:r>
          <w:r>
            <w:fldChar w:fldCharType="begin"/>
          </w:r>
          <w:r>
            <w:instrText xml:space="preserve"> PAGEREF _Toc27983 \h </w:instrText>
          </w:r>
          <w:r>
            <w:fldChar w:fldCharType="separate"/>
          </w:r>
          <w:r>
            <w:t>141</w:t>
          </w:r>
          <w:r>
            <w:fldChar w:fldCharType="end"/>
          </w:r>
          <w:r>
            <w:rPr>
              <w:rFonts w:hint="eastAsia" w:ascii="宋体" w:hAnsi="宋体" w:eastAsia="宋体" w:cs="宋体"/>
              <w:kern w:val="2"/>
              <w:szCs w:val="32"/>
              <w:lang w:val="en-US" w:eastAsia="zh-CN" w:bidi="ar-SA"/>
            </w:rPr>
            <w:fldChar w:fldCharType="end"/>
          </w:r>
        </w:p>
        <w:p w14:paraId="15844138">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_Toc23424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3）创造</w:t>
          </w:r>
          <w:r>
            <w:tab/>
          </w:r>
          <w:r>
            <w:fldChar w:fldCharType="begin"/>
          </w:r>
          <w:r>
            <w:instrText xml:space="preserve"> PAGEREF _Toc23424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2B4DA4F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_Toc8299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4）责任担当</w:t>
          </w:r>
          <w:r>
            <w:tab/>
          </w:r>
          <w:r>
            <w:fldChar w:fldCharType="begin"/>
          </w:r>
          <w:r>
            <w:instrText xml:space="preserve"> PAGEREF _Toc8299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124577B4">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_Toc21667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5）情绪调节</w:t>
          </w:r>
          <w:r>
            <w:tab/>
          </w:r>
          <w:r>
            <w:fldChar w:fldCharType="begin"/>
          </w:r>
          <w:r>
            <w:instrText xml:space="preserve"> PAGEREF _Toc21667 \h </w:instrText>
          </w:r>
          <w:r>
            <w:fldChar w:fldCharType="separate"/>
          </w:r>
          <w:r>
            <w:t>142</w:t>
          </w:r>
          <w:r>
            <w:fldChar w:fldCharType="end"/>
          </w:r>
          <w:r>
            <w:rPr>
              <w:rFonts w:hint="eastAsia" w:ascii="宋体" w:hAnsi="宋体" w:eastAsia="宋体" w:cs="宋体"/>
              <w:kern w:val="2"/>
              <w:szCs w:val="32"/>
              <w:lang w:val="en-US" w:eastAsia="zh-CN" w:bidi="ar-SA"/>
            </w:rPr>
            <w:fldChar w:fldCharType="end"/>
          </w:r>
        </w:p>
        <w:p w14:paraId="0495369F">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_Toc23235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6）合作共情</w:t>
          </w:r>
          <w:r>
            <w:tab/>
          </w:r>
          <w:r>
            <w:fldChar w:fldCharType="begin"/>
          </w:r>
          <w:r>
            <w:instrText xml:space="preserve"> PAGEREF _Toc23235 \h </w:instrText>
          </w:r>
          <w:r>
            <w:fldChar w:fldCharType="separate"/>
          </w:r>
          <w:r>
            <w:t>143</w:t>
          </w:r>
          <w:r>
            <w:fldChar w:fldCharType="end"/>
          </w:r>
          <w:r>
            <w:rPr>
              <w:rFonts w:hint="eastAsia" w:ascii="宋体" w:hAnsi="宋体" w:eastAsia="宋体" w:cs="宋体"/>
              <w:kern w:val="2"/>
              <w:szCs w:val="32"/>
              <w:lang w:val="en-US" w:eastAsia="zh-CN" w:bidi="ar-SA"/>
            </w:rPr>
            <w:fldChar w:fldCharType="end"/>
          </w:r>
        </w:p>
        <w:p w14:paraId="6529AC5A">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_Toc7412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7）包容创新</w:t>
          </w:r>
          <w:r>
            <w:tab/>
          </w:r>
          <w:r>
            <w:fldChar w:fldCharType="begin"/>
          </w:r>
          <w:r>
            <w:instrText xml:space="preserve"> PAGEREF _Toc7412 \h </w:instrText>
          </w:r>
          <w:r>
            <w:fldChar w:fldCharType="separate"/>
          </w:r>
          <w:r>
            <w:t>143</w:t>
          </w:r>
          <w:r>
            <w:fldChar w:fldCharType="end"/>
          </w:r>
          <w:r>
            <w:rPr>
              <w:rFonts w:hint="eastAsia" w:ascii="宋体" w:hAnsi="宋体" w:eastAsia="宋体" w:cs="宋体"/>
              <w:kern w:val="2"/>
              <w:szCs w:val="32"/>
              <w:lang w:val="en-US" w:eastAsia="zh-CN" w:bidi="ar-SA"/>
            </w:rPr>
            <w:fldChar w:fldCharType="end"/>
          </w:r>
        </w:p>
        <w:p w14:paraId="2727191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_Toc25056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开放性回答与学习方式的变化线索</w:t>
          </w:r>
          <w:r>
            <w:tab/>
          </w:r>
          <w:r>
            <w:fldChar w:fldCharType="begin"/>
          </w:r>
          <w:r>
            <w:instrText xml:space="preserve"> PAGEREF _Toc25056 \h </w:instrText>
          </w:r>
          <w:r>
            <w:fldChar w:fldCharType="separate"/>
          </w:r>
          <w:r>
            <w:t>144</w:t>
          </w:r>
          <w:r>
            <w:fldChar w:fldCharType="end"/>
          </w:r>
          <w:r>
            <w:rPr>
              <w:rFonts w:hint="eastAsia" w:ascii="宋体" w:hAnsi="宋体" w:eastAsia="宋体" w:cs="宋体"/>
              <w:kern w:val="2"/>
              <w:szCs w:val="32"/>
              <w:lang w:val="en-US" w:eastAsia="zh-CN" w:bidi="ar-SA"/>
            </w:rPr>
            <w:fldChar w:fldCharType="end"/>
          </w:r>
        </w:p>
        <w:p w14:paraId="40D03C4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_Toc5393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从任务参与走向理解深化与迁移运用</w:t>
          </w:r>
          <w:r>
            <w:tab/>
          </w:r>
          <w:r>
            <w:fldChar w:fldCharType="begin"/>
          </w:r>
          <w:r>
            <w:instrText xml:space="preserve"> PAGEREF _Toc5393 \h </w:instrText>
          </w:r>
          <w:r>
            <w:fldChar w:fldCharType="separate"/>
          </w:r>
          <w:r>
            <w:t>144</w:t>
          </w:r>
          <w:r>
            <w:fldChar w:fldCharType="end"/>
          </w:r>
          <w:r>
            <w:rPr>
              <w:rFonts w:hint="eastAsia" w:ascii="宋体" w:hAnsi="宋体" w:eastAsia="宋体" w:cs="宋体"/>
              <w:kern w:val="2"/>
              <w:szCs w:val="32"/>
              <w:lang w:val="en-US" w:eastAsia="zh-CN" w:bidi="ar-SA"/>
            </w:rPr>
            <w:fldChar w:fldCharType="end"/>
          </w:r>
        </w:p>
        <w:p w14:paraId="47BA16E5">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_Toc18513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（三）教师高阶能力培育实践的持续改进</w:t>
          </w:r>
          <w:r>
            <w:tab/>
          </w:r>
          <w:r>
            <w:fldChar w:fldCharType="begin"/>
          </w:r>
          <w:r>
            <w:instrText xml:space="preserve"> PAGEREF _Toc18513 \h </w:instrText>
          </w:r>
          <w:r>
            <w:fldChar w:fldCharType="separate"/>
          </w:r>
          <w:r>
            <w:t>145</w:t>
          </w:r>
          <w:r>
            <w:fldChar w:fldCharType="end"/>
          </w:r>
          <w:r>
            <w:rPr>
              <w:rFonts w:hint="eastAsia" w:ascii="宋体" w:hAnsi="宋体" w:eastAsia="宋体" w:cs="宋体"/>
              <w:kern w:val="2"/>
              <w:szCs w:val="32"/>
              <w:lang w:val="en-US" w:eastAsia="zh-CN" w:bidi="ar-SA"/>
            </w:rPr>
            <w:fldChar w:fldCharType="end"/>
          </w:r>
        </w:p>
        <w:p w14:paraId="5E1165D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_Toc4107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样本构成与比较方法</w:t>
          </w:r>
          <w:r>
            <w:tab/>
          </w:r>
          <w:r>
            <w:fldChar w:fldCharType="begin"/>
          </w:r>
          <w:r>
            <w:instrText xml:space="preserve"> PAGEREF _Toc4107 \h </w:instrText>
          </w:r>
          <w:r>
            <w:fldChar w:fldCharType="separate"/>
          </w:r>
          <w:r>
            <w:t>145</w:t>
          </w:r>
          <w:r>
            <w:fldChar w:fldCharType="end"/>
          </w:r>
          <w:r>
            <w:rPr>
              <w:rFonts w:hint="eastAsia" w:ascii="宋体" w:hAnsi="宋体" w:eastAsia="宋体" w:cs="宋体"/>
              <w:kern w:val="2"/>
              <w:szCs w:val="32"/>
              <w:lang w:val="en-US" w:eastAsia="zh-CN" w:bidi="ar-SA"/>
            </w:rPr>
            <w:fldChar w:fldCharType="end"/>
          </w:r>
        </w:p>
        <w:p w14:paraId="59CB209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_Toc31896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四个维度的分别检验与实践意义</w:t>
          </w:r>
          <w:r>
            <w:tab/>
          </w:r>
          <w:r>
            <w:fldChar w:fldCharType="begin"/>
          </w:r>
          <w:r>
            <w:instrText xml:space="preserve"> PAGEREF _Toc31896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7CDF0117">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_Toc29488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1）认知与价值认同</w:t>
          </w:r>
          <w:r>
            <w:tab/>
          </w:r>
          <w:r>
            <w:fldChar w:fldCharType="begin"/>
          </w:r>
          <w:r>
            <w:instrText xml:space="preserve"> PAGEREF _Toc29488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647C2B40">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2）课堂教学实践</w:t>
          </w:r>
          <w:r>
            <w:tab/>
          </w:r>
          <w:r>
            <w:fldChar w:fldCharType="begin"/>
          </w:r>
          <w:r>
            <w:instrText xml:space="preserve"> PAGEREF _Toc1115 \h </w:instrText>
          </w:r>
          <w:r>
            <w:fldChar w:fldCharType="separate"/>
          </w:r>
          <w:r>
            <w:t>146</w:t>
          </w:r>
          <w:r>
            <w:fldChar w:fldCharType="end"/>
          </w:r>
          <w:r>
            <w:rPr>
              <w:rFonts w:hint="eastAsia" w:ascii="宋体" w:hAnsi="宋体" w:eastAsia="宋体" w:cs="宋体"/>
              <w:kern w:val="2"/>
              <w:szCs w:val="32"/>
              <w:lang w:val="en-US" w:eastAsia="zh-CN" w:bidi="ar-SA"/>
            </w:rPr>
            <w:fldChar w:fldCharType="end"/>
          </w:r>
        </w:p>
        <w:p w14:paraId="4F08CE4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_Toc13551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3）教学自我效能</w:t>
          </w:r>
          <w:r>
            <w:tab/>
          </w:r>
          <w:r>
            <w:fldChar w:fldCharType="begin"/>
          </w:r>
          <w:r>
            <w:instrText xml:space="preserve"> PAGEREF _Toc13551 \h </w:instrText>
          </w:r>
          <w:r>
            <w:fldChar w:fldCharType="separate"/>
          </w:r>
          <w:r>
            <w:t>147</w:t>
          </w:r>
          <w:r>
            <w:fldChar w:fldCharType="end"/>
          </w:r>
          <w:r>
            <w:rPr>
              <w:rFonts w:hint="eastAsia" w:ascii="宋体" w:hAnsi="宋体" w:eastAsia="宋体" w:cs="宋体"/>
              <w:kern w:val="2"/>
              <w:szCs w:val="32"/>
              <w:lang w:val="en-US" w:eastAsia="zh-CN" w:bidi="ar-SA"/>
            </w:rPr>
            <w:fldChar w:fldCharType="end"/>
          </w:r>
        </w:p>
        <w:p w14:paraId="7A759CF9">
          <w:pPr>
            <w:pStyle w:val="9"/>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_Toc28201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4）现实开展阻碍</w:t>
          </w:r>
          <w:r>
            <w:tab/>
          </w:r>
          <w:r>
            <w:fldChar w:fldCharType="begin"/>
          </w:r>
          <w:r>
            <w:instrText xml:space="preserve"> PAGEREF _Toc28201 \h </w:instrText>
          </w:r>
          <w:r>
            <w:fldChar w:fldCharType="separate"/>
          </w:r>
          <w:r>
            <w:t>147</w:t>
          </w:r>
          <w:r>
            <w:fldChar w:fldCharType="end"/>
          </w:r>
          <w:r>
            <w:rPr>
              <w:rFonts w:hint="eastAsia" w:ascii="宋体" w:hAnsi="宋体" w:eastAsia="宋体" w:cs="宋体"/>
              <w:kern w:val="2"/>
              <w:szCs w:val="32"/>
              <w:lang w:val="en-US" w:eastAsia="zh-CN" w:bidi="ar-SA"/>
            </w:rPr>
            <w:fldChar w:fldCharType="end"/>
          </w:r>
        </w:p>
        <w:p w14:paraId="6A8A901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_Toc15374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后测新增题目的补充分析</w:t>
          </w:r>
          <w:r>
            <w:tab/>
          </w:r>
          <w:r>
            <w:fldChar w:fldCharType="begin"/>
          </w:r>
          <w:r>
            <w:instrText xml:space="preserve"> PAGEREF _Toc15374 \h </w:instrText>
          </w:r>
          <w:r>
            <w:fldChar w:fldCharType="separate"/>
          </w:r>
          <w:r>
            <w:t>148</w:t>
          </w:r>
          <w:r>
            <w:fldChar w:fldCharType="end"/>
          </w:r>
          <w:r>
            <w:rPr>
              <w:rFonts w:hint="eastAsia" w:ascii="宋体" w:hAnsi="宋体" w:eastAsia="宋体" w:cs="宋体"/>
              <w:kern w:val="2"/>
              <w:szCs w:val="32"/>
              <w:lang w:val="en-US" w:eastAsia="zh-CN" w:bidi="ar-SA"/>
            </w:rPr>
            <w:fldChar w:fldCharType="end"/>
          </w:r>
        </w:p>
        <w:p w14:paraId="440DC84A">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_Toc5715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开放性回答中的专业关注变化</w:t>
          </w:r>
          <w:r>
            <w:tab/>
          </w:r>
          <w:r>
            <w:fldChar w:fldCharType="begin"/>
          </w:r>
          <w:r>
            <w:instrText xml:space="preserve"> PAGEREF _Toc5715 \h </w:instrText>
          </w:r>
          <w:r>
            <w:fldChar w:fldCharType="separate"/>
          </w:r>
          <w:r>
            <w:t>149</w:t>
          </w:r>
          <w:r>
            <w:fldChar w:fldCharType="end"/>
          </w:r>
          <w:r>
            <w:rPr>
              <w:rFonts w:hint="eastAsia" w:ascii="宋体" w:hAnsi="宋体" w:eastAsia="宋体" w:cs="宋体"/>
              <w:kern w:val="2"/>
              <w:szCs w:val="32"/>
              <w:lang w:val="en-US" w:eastAsia="zh-CN" w:bidi="ar-SA"/>
            </w:rPr>
            <w:fldChar w:fldCharType="end"/>
          </w:r>
        </w:p>
        <w:p w14:paraId="2823455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_Toc27035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5 研究课专业评价与AI课堂过程证据</w:t>
          </w:r>
          <w:r>
            <w:tab/>
          </w:r>
          <w:r>
            <w:fldChar w:fldCharType="begin"/>
          </w:r>
          <w:r>
            <w:instrText xml:space="preserve"> PAGEREF _Toc27035 \h </w:instrText>
          </w:r>
          <w:r>
            <w:fldChar w:fldCharType="separate"/>
          </w:r>
          <w:r>
            <w:t>149</w:t>
          </w:r>
          <w:r>
            <w:fldChar w:fldCharType="end"/>
          </w:r>
          <w:r>
            <w:rPr>
              <w:rFonts w:hint="eastAsia" w:ascii="宋体" w:hAnsi="宋体" w:eastAsia="宋体" w:cs="宋体"/>
              <w:kern w:val="2"/>
              <w:szCs w:val="32"/>
              <w:lang w:val="en-US" w:eastAsia="zh-CN" w:bidi="ar-SA"/>
            </w:rPr>
            <w:fldChar w:fldCharType="end"/>
          </w:r>
        </w:p>
        <w:p w14:paraId="5CCC8E61">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_Toc32683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6 教师专业行动中的循证调节</w:t>
          </w:r>
          <w:r>
            <w:tab/>
          </w:r>
          <w:r>
            <w:fldChar w:fldCharType="begin"/>
          </w:r>
          <w:r>
            <w:instrText xml:space="preserve"> PAGEREF _Toc32683 \h </w:instrText>
          </w:r>
          <w:r>
            <w:fldChar w:fldCharType="separate"/>
          </w:r>
          <w:r>
            <w:t>150</w:t>
          </w:r>
          <w:r>
            <w:fldChar w:fldCharType="end"/>
          </w:r>
          <w:r>
            <w:rPr>
              <w:rFonts w:hint="eastAsia" w:ascii="宋体" w:hAnsi="宋体" w:eastAsia="宋体" w:cs="宋体"/>
              <w:kern w:val="2"/>
              <w:szCs w:val="32"/>
              <w:lang w:val="en-US" w:eastAsia="zh-CN" w:bidi="ar-SA"/>
            </w:rPr>
            <w:fldChar w:fldCharType="end"/>
          </w:r>
        </w:p>
        <w:p w14:paraId="6C50A63F">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_Toc11058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（四）学科奠基与科创拓展的实践成效</w:t>
          </w:r>
          <w:r>
            <w:tab/>
          </w:r>
          <w:r>
            <w:fldChar w:fldCharType="begin"/>
          </w:r>
          <w:r>
            <w:instrText xml:space="preserve"> PAGEREF _Toc11058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29B6984D">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_Toc18219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学科四要素促进任务与评价相互衔接</w:t>
          </w:r>
          <w:r>
            <w:tab/>
          </w:r>
          <w:r>
            <w:fldChar w:fldCharType="begin"/>
          </w:r>
          <w:r>
            <w:instrText xml:space="preserve"> PAGEREF _Toc18219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50CB67B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_Toc8328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方案要素推动科创从活动参与走向设计与验证</w:t>
          </w:r>
          <w:r>
            <w:tab/>
          </w:r>
          <w:r>
            <w:fldChar w:fldCharType="begin"/>
          </w:r>
          <w:r>
            <w:instrText xml:space="preserve"> PAGEREF _Toc8328 \h </w:instrText>
          </w:r>
          <w:r>
            <w:fldChar w:fldCharType="separate"/>
          </w:r>
          <w:r>
            <w:t>151</w:t>
          </w:r>
          <w:r>
            <w:fldChar w:fldCharType="end"/>
          </w:r>
          <w:r>
            <w:rPr>
              <w:rFonts w:hint="eastAsia" w:ascii="宋体" w:hAnsi="宋体" w:eastAsia="宋体" w:cs="宋体"/>
              <w:kern w:val="2"/>
              <w:szCs w:val="32"/>
              <w:lang w:val="en-US" w:eastAsia="zh-CN" w:bidi="ar-SA"/>
            </w:rPr>
            <w:fldChar w:fldCharType="end"/>
          </w:r>
        </w:p>
        <w:p w14:paraId="5A89ECF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_Toc12745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项目经验反馈学科理解与方法深化</w:t>
          </w:r>
          <w:r>
            <w:tab/>
          </w:r>
          <w:r>
            <w:fldChar w:fldCharType="begin"/>
          </w:r>
          <w:r>
            <w:instrText xml:space="preserve"> PAGEREF _Toc12745 \h </w:instrText>
          </w:r>
          <w:r>
            <w:fldChar w:fldCharType="separate"/>
          </w:r>
          <w:r>
            <w:t>152</w:t>
          </w:r>
          <w:r>
            <w:fldChar w:fldCharType="end"/>
          </w:r>
          <w:r>
            <w:rPr>
              <w:rFonts w:hint="eastAsia" w:ascii="宋体" w:hAnsi="宋体" w:eastAsia="宋体" w:cs="宋体"/>
              <w:kern w:val="2"/>
              <w:szCs w:val="32"/>
              <w:lang w:val="en-US" w:eastAsia="zh-CN" w:bidi="ar-SA"/>
            </w:rPr>
            <w:fldChar w:fldCharType="end"/>
          </w:r>
        </w:p>
        <w:p w14:paraId="533ACE92">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_Toc30314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 学生科创获奖呈现多领域实践与高层级成果</w:t>
          </w:r>
          <w:r>
            <w:tab/>
          </w:r>
          <w:r>
            <w:fldChar w:fldCharType="begin"/>
          </w:r>
          <w:r>
            <w:instrText xml:space="preserve"> PAGEREF _Toc30314 \h </w:instrText>
          </w:r>
          <w:r>
            <w:fldChar w:fldCharType="separate"/>
          </w:r>
          <w:r>
            <w:t>152</w:t>
          </w:r>
          <w:r>
            <w:fldChar w:fldCharType="end"/>
          </w:r>
          <w:r>
            <w:rPr>
              <w:rFonts w:hint="eastAsia" w:ascii="宋体" w:hAnsi="宋体" w:eastAsia="宋体" w:cs="宋体"/>
              <w:kern w:val="2"/>
              <w:szCs w:val="32"/>
              <w:lang w:val="en-US" w:eastAsia="zh-CN" w:bidi="ar-SA"/>
            </w:rPr>
            <w:fldChar w:fldCharType="end"/>
          </w:r>
        </w:p>
        <w:p w14:paraId="70AA81AC">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_Toc3596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（五）学校高阶能力培育实践体系的初步形成</w:t>
          </w:r>
          <w:r>
            <w:tab/>
          </w:r>
          <w:r>
            <w:fldChar w:fldCharType="begin"/>
          </w:r>
          <w:r>
            <w:instrText xml:space="preserve"> PAGEREF _Toc3596 \h </w:instrText>
          </w:r>
          <w:r>
            <w:fldChar w:fldCharType="separate"/>
          </w:r>
          <w:r>
            <w:t>153</w:t>
          </w:r>
          <w:r>
            <w:fldChar w:fldCharType="end"/>
          </w:r>
          <w:r>
            <w:rPr>
              <w:rFonts w:hint="eastAsia" w:ascii="宋体" w:hAnsi="宋体" w:eastAsia="宋体" w:cs="宋体"/>
              <w:kern w:val="2"/>
              <w:szCs w:val="32"/>
              <w:lang w:val="en-US" w:eastAsia="zh-CN" w:bidi="ar-SA"/>
            </w:rPr>
            <w:fldChar w:fldCharType="end"/>
          </w:r>
        </w:p>
        <w:p w14:paraId="7D0C9097">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_Toc27273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1.以高阶能力培育为共同议题的校本研修机制</w:t>
          </w:r>
          <w:r>
            <w:tab/>
          </w:r>
          <w:r>
            <w:fldChar w:fldCharType="begin"/>
          </w:r>
          <w:r>
            <w:instrText xml:space="preserve"> PAGEREF _Toc27273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1F2F2FD8">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_Toc12055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2.由经验判断走向证据支持的校本教研</w:t>
          </w:r>
          <w:r>
            <w:tab/>
          </w:r>
          <w:r>
            <w:fldChar w:fldCharType="begin"/>
          </w:r>
          <w:r>
            <w:instrText xml:space="preserve"> PAGEREF _Toc12055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355F2144">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_Toc18122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3.学科教学与科创教育协同推进的实践格局</w:t>
          </w:r>
          <w:r>
            <w:tab/>
          </w:r>
          <w:r>
            <w:fldChar w:fldCharType="begin"/>
          </w:r>
          <w:r>
            <w:instrText xml:space="preserve"> PAGEREF _Toc18122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08457EFB">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_Toc13642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4.可持续使用的校本研究资源</w:t>
          </w:r>
          <w:r>
            <w:tab/>
          </w:r>
          <w:r>
            <w:fldChar w:fldCharType="begin"/>
          </w:r>
          <w:r>
            <w:instrText xml:space="preserve"> PAGEREF _Toc13642 \h </w:instrText>
          </w:r>
          <w:r>
            <w:fldChar w:fldCharType="separate"/>
          </w:r>
          <w:r>
            <w:t>154</w:t>
          </w:r>
          <w:r>
            <w:fldChar w:fldCharType="end"/>
          </w:r>
          <w:r>
            <w:rPr>
              <w:rFonts w:hint="eastAsia" w:ascii="宋体" w:hAnsi="宋体" w:eastAsia="宋体" w:cs="宋体"/>
              <w:kern w:val="2"/>
              <w:szCs w:val="32"/>
              <w:lang w:val="en-US" w:eastAsia="zh-CN" w:bidi="ar-SA"/>
            </w:rPr>
            <w:fldChar w:fldCharType="end"/>
          </w:r>
        </w:p>
        <w:p w14:paraId="2F228104">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_Toc22515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（六）综合成效与模型完善的证据支持</w:t>
          </w:r>
          <w:r>
            <w:tab/>
          </w:r>
          <w:r>
            <w:fldChar w:fldCharType="begin"/>
          </w:r>
          <w:r>
            <w:instrText xml:space="preserve"> PAGEREF _Toc22515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0131E47F">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_Toc14503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1 多源证据的相互支持</w:t>
          </w:r>
          <w:r>
            <w:tab/>
          </w:r>
          <w:r>
            <w:fldChar w:fldCharType="begin"/>
          </w:r>
          <w:r>
            <w:instrText xml:space="preserve"> PAGEREF _Toc14503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0595AF79">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_Toc17137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2 对研究问题的回应</w:t>
          </w:r>
          <w:r>
            <w:tab/>
          </w:r>
          <w:r>
            <w:fldChar w:fldCharType="begin"/>
          </w:r>
          <w:r>
            <w:instrText xml:space="preserve"> PAGEREF _Toc17137 \h </w:instrText>
          </w:r>
          <w:r>
            <w:fldChar w:fldCharType="separate"/>
          </w:r>
          <w:r>
            <w:t>155</w:t>
          </w:r>
          <w:r>
            <w:fldChar w:fldCharType="end"/>
          </w:r>
          <w:r>
            <w:rPr>
              <w:rFonts w:hint="eastAsia" w:ascii="宋体" w:hAnsi="宋体" w:eastAsia="宋体" w:cs="宋体"/>
              <w:kern w:val="2"/>
              <w:szCs w:val="32"/>
              <w:lang w:val="en-US" w:eastAsia="zh-CN" w:bidi="ar-SA"/>
            </w:rPr>
            <w:fldChar w:fldCharType="end"/>
          </w:r>
        </w:p>
        <w:p w14:paraId="4817A7C3">
          <w:pPr>
            <w:pStyle w:val="5"/>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_Toc19352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rPr>
            <w:t>3 成效结论的适用范围与持续验证</w:t>
          </w:r>
          <w:r>
            <w:tab/>
          </w:r>
          <w:r>
            <w:fldChar w:fldCharType="begin"/>
          </w:r>
          <w:r>
            <w:instrText xml:space="preserve"> PAGEREF _Toc19352 \h </w:instrText>
          </w:r>
          <w:r>
            <w:fldChar w:fldCharType="separate"/>
          </w:r>
          <w:r>
            <w:t>156</w:t>
          </w:r>
          <w:r>
            <w:fldChar w:fldCharType="end"/>
          </w:r>
          <w:r>
            <w:rPr>
              <w:rFonts w:hint="eastAsia" w:ascii="宋体" w:hAnsi="宋体" w:eastAsia="宋体" w:cs="宋体"/>
              <w:kern w:val="2"/>
              <w:szCs w:val="32"/>
              <w:lang w:val="en-US" w:eastAsia="zh-CN" w:bidi="ar-SA"/>
            </w:rPr>
            <w:fldChar w:fldCharType="end"/>
          </w:r>
        </w:p>
        <w:p w14:paraId="5EC89CEB">
          <w:pPr>
            <w:pStyle w:val="10"/>
            <w:tabs>
              <w:tab w:val="right" w:leader="dot" w:pos="8306"/>
            </w:tabs>
          </w:pP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_Toc29954 </w:instrText>
          </w:r>
          <w:r>
            <w:rPr>
              <w:rFonts w:hint="eastAsia" w:ascii="宋体" w:hAnsi="宋体" w:eastAsia="宋体" w:cs="宋体"/>
              <w:kern w:val="2"/>
              <w:szCs w:val="32"/>
              <w:lang w:val="en-US" w:eastAsia="zh-CN" w:bidi="ar-SA"/>
            </w:rPr>
            <w:fldChar w:fldCharType="separate"/>
          </w:r>
          <w:r>
            <w:rPr>
              <w:rFonts w:hint="eastAsia" w:ascii="宋体" w:hAnsi="宋体" w:eastAsia="宋体" w:cs="宋体"/>
              <w:kern w:val="0"/>
            </w:rPr>
            <w:t>参考</w:t>
          </w:r>
          <w:r>
            <w:rPr>
              <w:rFonts w:hint="eastAsia" w:ascii="宋体" w:hAnsi="宋体" w:eastAsia="宋体" w:cs="宋体"/>
              <w:kern w:val="0"/>
              <w:highlight w:val="none"/>
            </w:rPr>
            <w:t>文献</w:t>
          </w:r>
          <w:r>
            <w:tab/>
          </w:r>
          <w:r>
            <w:fldChar w:fldCharType="begin"/>
          </w:r>
          <w:r>
            <w:instrText xml:space="preserve"> PAGEREF _Toc29954 \h </w:instrText>
          </w:r>
          <w:r>
            <w:fldChar w:fldCharType="separate"/>
          </w:r>
          <w:r>
            <w:t>156</w:t>
          </w:r>
          <w:r>
            <w:fldChar w:fldCharType="end"/>
          </w:r>
          <w:r>
            <w:rPr>
              <w:rFonts w:hint="eastAsia" w:ascii="宋体" w:hAnsi="宋体" w:eastAsia="宋体" w:cs="宋体"/>
              <w:kern w:val="2"/>
              <w:szCs w:val="32"/>
              <w:lang w:val="en-US" w:eastAsia="zh-CN" w:bidi="ar-SA"/>
            </w:rPr>
            <w:fldChar w:fldCharType="end"/>
          </w:r>
        </w:p>
        <w:p w14:paraId="3725C15E">
          <w:pPr>
            <w:pageBreakBefore w:val="0"/>
            <w:overflowPunct w:val="0"/>
            <w:bidi w:val="0"/>
            <w:spacing w:line="360" w:lineRule="auto"/>
            <w:ind w:firstLineChars="200"/>
            <w:textAlignment w:val="auto"/>
            <w:rPr>
              <w:rFonts w:hint="eastAsia" w:ascii="宋体" w:hAnsi="宋体" w:eastAsia="宋体" w:cs="宋体"/>
              <w:kern w:val="2"/>
              <w:sz w:val="21"/>
              <w:szCs w:val="32"/>
              <w:lang w:val="en-US" w:eastAsia="zh-CN" w:bidi="ar-SA"/>
            </w:rPr>
          </w:pPr>
          <w:r>
            <w:rPr>
              <w:rFonts w:hint="eastAsia" w:ascii="宋体" w:hAnsi="宋体" w:eastAsia="宋体" w:cs="宋体"/>
              <w:kern w:val="2"/>
              <w:szCs w:val="32"/>
              <w:lang w:val="en-US" w:eastAsia="zh-CN" w:bidi="ar-SA"/>
            </w:rPr>
            <w:fldChar w:fldCharType="end"/>
          </w:r>
        </w:p>
      </w:sdtContent>
    </w:sdt>
    <w:p w14:paraId="72A00AAA">
      <w:pPr>
        <w:pStyle w:val="2"/>
        <w:keepNext/>
        <w:numPr>
          <w:ilvl w:val="0"/>
          <w:numId w:val="0"/>
        </w:numPr>
        <w:overflowPunct w:val="0"/>
        <w:bidi w:val="0"/>
        <w:spacing w:before="360" w:after="240" w:line="360" w:lineRule="auto"/>
        <w:ind w:left="0" w:firstLine="0"/>
        <w:jc w:val="left"/>
        <w:textAlignment w:val="auto"/>
        <w:rPr>
          <w:rFonts w:hint="eastAsia" w:ascii="宋体" w:hAnsi="宋体" w:eastAsia="宋体" w:cs="宋体"/>
          <w:b/>
          <w:bCs/>
          <w:sz w:val="30"/>
          <w:szCs w:val="30"/>
        </w:rPr>
      </w:pPr>
      <w:bookmarkStart w:id="0" w:name="_Toc20183"/>
      <w:r>
        <w:rPr>
          <w:rFonts w:hint="eastAsia" w:ascii="宋体" w:hAnsi="宋体" w:eastAsia="宋体" w:cs="宋体"/>
          <w:b/>
          <w:bCs/>
          <w:sz w:val="28"/>
          <w:lang w:val="en-US" w:eastAsia="zh-CN"/>
        </w:rPr>
        <w:t>一、</w:t>
      </w:r>
      <w:r>
        <w:rPr>
          <w:rFonts w:hint="eastAsia" w:ascii="宋体" w:hAnsi="宋体" w:eastAsia="宋体" w:cs="宋体"/>
          <w:b/>
          <w:bCs/>
          <w:sz w:val="28"/>
        </w:rPr>
        <w:t>背景与意义</w:t>
      </w:r>
      <w:bookmarkEnd w:id="0"/>
    </w:p>
    <w:p w14:paraId="4DEE4528">
      <w:pPr>
        <w:pStyle w:val="2"/>
        <w:keepNext/>
        <w:pageBreakBefore w:val="0"/>
        <w:numPr>
          <w:ilvl w:val="0"/>
          <w:numId w:val="1"/>
        </w:numPr>
        <w:overflowPunct w:val="0"/>
        <w:bidi w:val="0"/>
        <w:spacing w:before="240" w:after="120" w:line="360" w:lineRule="auto"/>
        <w:ind w:left="0" w:leftChars="0" w:firstLine="562" w:firstLineChars="200"/>
        <w:jc w:val="left"/>
        <w:textAlignment w:val="auto"/>
        <w:outlineLvl w:val="1"/>
        <w:rPr>
          <w:rFonts w:hint="eastAsia" w:ascii="宋体" w:hAnsi="宋体" w:eastAsia="宋体" w:cs="宋体"/>
          <w:b/>
          <w:bCs/>
          <w:sz w:val="28"/>
          <w:szCs w:val="28"/>
        </w:rPr>
      </w:pPr>
      <w:bookmarkStart w:id="1" w:name="_Toc11125"/>
      <w:r>
        <w:rPr>
          <w:rFonts w:hint="eastAsia" w:ascii="宋体" w:hAnsi="宋体" w:eastAsia="宋体" w:cs="宋体"/>
          <w:b/>
          <w:bCs/>
          <w:sz w:val="28"/>
        </w:rPr>
        <w:t>研究背景</w:t>
      </w:r>
      <w:bookmarkEnd w:id="1"/>
    </w:p>
    <w:p w14:paraId="72BF054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 w:name="_Toc22824"/>
      <w:r>
        <w:rPr>
          <w:rFonts w:hint="eastAsia" w:ascii="宋体" w:hAnsi="宋体" w:eastAsia="宋体" w:cs="宋体"/>
          <w:b/>
          <w:kern w:val="0"/>
          <w:sz w:val="28"/>
        </w:rPr>
        <w:t>1.国家课程改革要求学生在真实情境中综合运用知识解决问题</w:t>
      </w:r>
      <w:bookmarkEnd w:id="2"/>
    </w:p>
    <w:p w14:paraId="4AB31F0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w:t>
      </w:r>
      <w:r>
        <w:rPr>
          <w:rStyle w:val="16"/>
          <w:rFonts w:hint="eastAsia" w:ascii="宋体" w:hAnsi="宋体" w:eastAsia="宋体" w:cs="宋体"/>
          <w:b w:val="0"/>
          <w:color w:val="000000"/>
          <w:kern w:val="0"/>
          <w:sz w:val="24"/>
          <w:vertAlign w:val="superscript"/>
        </w:rPr>
        <w:footnoteReference w:id="0"/>
      </w:r>
      <w:r>
        <w:rPr>
          <w:rFonts w:hint="eastAsia" w:ascii="宋体" w:hAnsi="宋体" w:eastAsia="宋体" w:cs="宋体"/>
          <w:b w:val="0"/>
          <w:color w:val="000000"/>
          <w:kern w:val="0"/>
          <w:sz w:val="24"/>
        </w:rPr>
        <w:t>。这一要求意味着，学生不仅要掌握分科知识，还要学会在复杂问题面前调动不同学科的知识。</w:t>
      </w:r>
    </w:p>
    <w:p w14:paraId="2BB491A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w:t>
      </w:r>
      <w:r>
        <w:rPr>
          <w:rStyle w:val="16"/>
          <w:rFonts w:hint="eastAsia" w:ascii="宋体" w:hAnsi="宋体" w:eastAsia="宋体" w:cs="宋体"/>
          <w:b w:val="0"/>
          <w:color w:val="000000"/>
          <w:kern w:val="0"/>
          <w:sz w:val="24"/>
          <w:vertAlign w:val="superscript"/>
        </w:rPr>
        <w:footnoteReference w:id="1"/>
      </w:r>
      <w:r>
        <w:rPr>
          <w:rFonts w:hint="eastAsia" w:ascii="宋体" w:hAnsi="宋体" w:eastAsia="宋体" w:cs="宋体"/>
          <w:b w:val="0"/>
          <w:color w:val="000000"/>
          <w:kern w:val="0"/>
          <w:sz w:val="24"/>
        </w:rPr>
        <w:t>。《深化新时代教育评价改革总体方案》此前也提出改进结果评价、强化过程评价、探索增值评价、健全综合评价</w:t>
      </w:r>
      <w:r>
        <w:rPr>
          <w:rStyle w:val="16"/>
          <w:rFonts w:hint="eastAsia" w:ascii="宋体" w:hAnsi="宋体" w:eastAsia="宋体" w:cs="宋体"/>
          <w:b w:val="0"/>
          <w:color w:val="000000"/>
          <w:kern w:val="0"/>
          <w:sz w:val="24"/>
          <w:vertAlign w:val="superscript"/>
        </w:rPr>
        <w:footnoteReference w:id="2"/>
      </w:r>
      <w:r>
        <w:rPr>
          <w:rFonts w:hint="eastAsia" w:ascii="宋体" w:hAnsi="宋体" w:eastAsia="宋体" w:cs="宋体"/>
          <w:b w:val="0"/>
          <w:color w:val="000000"/>
          <w:kern w:val="0"/>
          <w:sz w:val="24"/>
        </w:rPr>
        <w:t>。</w:t>
      </w:r>
    </w:p>
    <w:p w14:paraId="4723E44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62DBD9F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 w:name="_Toc7644"/>
      <w:r>
        <w:rPr>
          <w:rFonts w:hint="eastAsia" w:ascii="宋体" w:hAnsi="宋体" w:eastAsia="宋体" w:cs="宋体"/>
          <w:b/>
          <w:kern w:val="0"/>
          <w:sz w:val="28"/>
        </w:rPr>
        <w:t>2.上海基础教育改革为高阶能力培育提供了制度环境和实践要求</w:t>
      </w:r>
      <w:bookmarkEnd w:id="3"/>
    </w:p>
    <w:p w14:paraId="2AD58F2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上海在推进新课程新教材实施方面起步较早。上海市教育委员会印发了普通高中和义务教育阶段的课程实施方案</w:t>
      </w:r>
      <w:r>
        <w:rPr>
          <w:rStyle w:val="16"/>
          <w:rFonts w:hint="eastAsia" w:ascii="宋体" w:hAnsi="宋体" w:eastAsia="宋体" w:cs="宋体"/>
          <w:b w:val="0"/>
          <w:color w:val="000000"/>
          <w:kern w:val="0"/>
          <w:sz w:val="24"/>
          <w:vertAlign w:val="superscript"/>
        </w:rPr>
        <w:footnoteReference w:id="3"/>
      </w:r>
      <w:r>
        <w:rPr>
          <w:rFonts w:hint="eastAsia" w:ascii="宋体" w:hAnsi="宋体" w:eastAsia="宋体" w:cs="宋体"/>
          <w:b w:val="0"/>
          <w:color w:val="000000"/>
          <w:kern w:val="0"/>
          <w:sz w:val="24"/>
        </w:rPr>
        <w:t>，研制新课程新教材实施研究与实践项目指南，通过项目招标推动各区和学校开展行动研究，并在市、区两级建立了520多个监测点；科创教育方面，已研发近40门小学、初中、高中贯通的科创课程，在200余所中小学实施</w:t>
      </w:r>
      <w:r>
        <w:rPr>
          <w:rStyle w:val="16"/>
          <w:rFonts w:hint="eastAsia" w:ascii="宋体" w:hAnsi="宋体" w:eastAsia="宋体" w:cs="宋体"/>
          <w:b w:val="0"/>
          <w:color w:val="000000"/>
          <w:kern w:val="0"/>
          <w:sz w:val="24"/>
          <w:vertAlign w:val="superscript"/>
        </w:rPr>
        <w:footnoteReference w:id="4"/>
      </w:r>
      <w:r>
        <w:rPr>
          <w:rFonts w:hint="eastAsia" w:ascii="宋体" w:hAnsi="宋体" w:eastAsia="宋体" w:cs="宋体"/>
          <w:b w:val="0"/>
          <w:color w:val="000000"/>
          <w:kern w:val="0"/>
          <w:sz w:val="24"/>
        </w:rPr>
        <w:t>。上海的课程改革已经从文件层面进入学校日常教学和持续研究的层面。</w:t>
      </w:r>
    </w:p>
    <w:p w14:paraId="3469CF7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Pr>
          <w:rStyle w:val="16"/>
          <w:rFonts w:hint="eastAsia" w:ascii="宋体" w:hAnsi="宋体" w:eastAsia="宋体" w:cs="宋体"/>
          <w:b w:val="0"/>
          <w:color w:val="000000"/>
          <w:kern w:val="0"/>
          <w:sz w:val="24"/>
          <w:vertAlign w:val="superscript"/>
        </w:rPr>
        <w:footnoteReference w:id="5"/>
      </w:r>
      <w:r>
        <w:rPr>
          <w:rFonts w:hint="eastAsia" w:ascii="宋体" w:hAnsi="宋体" w:eastAsia="宋体" w:cs="宋体"/>
          <w:b w:val="0"/>
          <w:color w:val="000000"/>
          <w:kern w:val="0"/>
          <w:sz w:val="24"/>
        </w:rPr>
        <w:t>。</w:t>
      </w:r>
    </w:p>
    <w:p w14:paraId="138A6A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6D9C63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上海的考试评价改革同样引导学校关注学生综合运用知识的能力。初中学业水平考试的综合测试包括物理试题、化学试题和满分15分的跨学科案例分析题</w:t>
      </w:r>
      <w:r>
        <w:rPr>
          <w:rStyle w:val="16"/>
          <w:rFonts w:hint="eastAsia" w:ascii="宋体" w:hAnsi="宋体" w:eastAsia="宋体" w:cs="宋体"/>
          <w:b w:val="0"/>
          <w:color w:val="000000"/>
          <w:kern w:val="0"/>
          <w:sz w:val="24"/>
          <w:vertAlign w:val="superscript"/>
        </w:rPr>
        <w:footnoteReference w:id="6"/>
      </w:r>
      <w:r>
        <w:rPr>
          <w:rFonts w:hint="eastAsia" w:ascii="宋体" w:hAnsi="宋体" w:eastAsia="宋体" w:cs="宋体"/>
          <w:b w:val="0"/>
          <w:color w:val="000000"/>
          <w:kern w:val="0"/>
          <w:sz w:val="24"/>
        </w:rPr>
        <w:t>；初中学生综合素质评价设有创新精神与实践能力板块，重点记录学生参加探究学习、科技活动等方面的过程和成果</w:t>
      </w:r>
      <w:r>
        <w:rPr>
          <w:rStyle w:val="16"/>
          <w:rFonts w:hint="eastAsia" w:ascii="宋体" w:hAnsi="宋体" w:eastAsia="宋体" w:cs="宋体"/>
          <w:b w:val="0"/>
          <w:color w:val="000000"/>
          <w:kern w:val="0"/>
          <w:sz w:val="24"/>
          <w:vertAlign w:val="superscript"/>
        </w:rPr>
        <w:footnoteReference w:id="7"/>
      </w:r>
      <w:r>
        <w:rPr>
          <w:rFonts w:hint="eastAsia" w:ascii="宋体" w:hAnsi="宋体" w:eastAsia="宋体" w:cs="宋体"/>
          <w:b w:val="0"/>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63326DC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 w:name="_Toc23815"/>
      <w:r>
        <w:rPr>
          <w:rFonts w:hint="eastAsia" w:ascii="宋体" w:hAnsi="宋体" w:eastAsia="宋体" w:cs="宋体"/>
          <w:b/>
          <w:kern w:val="0"/>
          <w:sz w:val="28"/>
        </w:rPr>
        <w:t>3.人工智能的普及使独立思考和判断变得更加重要</w:t>
      </w:r>
      <w:bookmarkEnd w:id="4"/>
    </w:p>
    <w:p w14:paraId="2E185E3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w:t>
      </w:r>
      <w:r>
        <w:rPr>
          <w:rStyle w:val="16"/>
          <w:rFonts w:hint="eastAsia" w:ascii="宋体" w:hAnsi="宋体" w:eastAsia="宋体" w:cs="宋体"/>
          <w:b w:val="0"/>
          <w:color w:val="000000"/>
          <w:kern w:val="0"/>
          <w:sz w:val="24"/>
          <w:vertAlign w:val="superscript"/>
        </w:rPr>
        <w:footnoteReference w:id="8"/>
      </w:r>
      <w:r>
        <w:rPr>
          <w:rFonts w:hint="eastAsia" w:ascii="宋体" w:hAnsi="宋体" w:eastAsia="宋体" w:cs="宋体"/>
          <w:b w:val="0"/>
          <w:color w:val="000000"/>
          <w:kern w:val="0"/>
          <w:sz w:val="24"/>
        </w:rPr>
        <w:t>。</w:t>
      </w:r>
    </w:p>
    <w:p w14:paraId="4636CA5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Style w:val="16"/>
          <w:rFonts w:hint="eastAsia" w:ascii="宋体" w:hAnsi="宋体" w:eastAsia="宋体" w:cs="宋体"/>
          <w:b w:val="0"/>
          <w:color w:val="000000"/>
          <w:kern w:val="0"/>
          <w:sz w:val="24"/>
          <w:vertAlign w:val="superscript"/>
        </w:rPr>
        <w:footnoteReference w:id="9"/>
      </w:r>
      <w:r>
        <w:rPr>
          <w:rFonts w:hint="eastAsia" w:ascii="宋体" w:hAnsi="宋体" w:eastAsia="宋体" w:cs="宋体"/>
          <w:b w:val="0"/>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Style w:val="16"/>
          <w:rFonts w:hint="eastAsia" w:ascii="宋体" w:hAnsi="宋体" w:eastAsia="宋体" w:cs="宋体"/>
          <w:b w:val="0"/>
          <w:color w:val="000000"/>
          <w:kern w:val="0"/>
          <w:sz w:val="24"/>
          <w:vertAlign w:val="superscript"/>
        </w:rPr>
        <w:footnoteReference w:id="10"/>
      </w:r>
      <w:r>
        <w:rPr>
          <w:rFonts w:hint="eastAsia" w:ascii="宋体" w:hAnsi="宋体" w:eastAsia="宋体" w:cs="宋体"/>
          <w:b w:val="0"/>
          <w:color w:val="000000"/>
          <w:kern w:val="0"/>
          <w:sz w:val="24"/>
        </w:rPr>
        <w:t>。技术越普及，学校越需要通过任务设计、追问引导和反馈，帮助学生在使用技术时保持独立判断</w:t>
      </w:r>
      <w:r>
        <w:rPr>
          <w:rStyle w:val="16"/>
          <w:rFonts w:hint="eastAsia" w:ascii="宋体" w:hAnsi="宋体" w:eastAsia="宋体" w:cs="宋体"/>
          <w:b w:val="0"/>
          <w:color w:val="000000"/>
          <w:kern w:val="0"/>
          <w:sz w:val="24"/>
          <w:vertAlign w:val="superscript"/>
        </w:rPr>
        <w:footnoteReference w:id="11"/>
      </w:r>
      <w:r>
        <w:rPr>
          <w:rFonts w:hint="eastAsia" w:ascii="宋体" w:hAnsi="宋体" w:eastAsia="宋体" w:cs="宋体"/>
          <w:b w:val="0"/>
          <w:color w:val="000000"/>
          <w:kern w:val="0"/>
          <w:sz w:val="24"/>
        </w:rPr>
        <w:t>。</w:t>
      </w:r>
    </w:p>
    <w:p w14:paraId="23B9631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5" w:name="_Toc21411"/>
      <w:r>
        <w:rPr>
          <w:rFonts w:hint="eastAsia" w:ascii="宋体" w:hAnsi="宋体" w:eastAsia="宋体" w:cs="宋体"/>
          <w:b/>
          <w:kern w:val="0"/>
          <w:sz w:val="28"/>
        </w:rPr>
        <w:t>4.课堂中高阶学习是否真正发生难以仅凭活动和考试结果判断</w:t>
      </w:r>
      <w:bookmarkEnd w:id="5"/>
    </w:p>
    <w:p w14:paraId="296216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456ACE5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Style w:val="16"/>
          <w:rFonts w:hint="eastAsia" w:ascii="宋体" w:hAnsi="宋体" w:eastAsia="宋体" w:cs="宋体"/>
          <w:b w:val="0"/>
          <w:color w:val="000000"/>
          <w:kern w:val="0"/>
          <w:sz w:val="24"/>
          <w:vertAlign w:val="superscript"/>
        </w:rPr>
        <w:footnoteReference w:id="12"/>
      </w:r>
      <w:r>
        <w:rPr>
          <w:rFonts w:hint="eastAsia" w:ascii="宋体" w:hAnsi="宋体" w:eastAsia="宋体" w:cs="宋体"/>
          <w:b w:val="0"/>
          <w:color w:val="000000"/>
          <w:kern w:val="0"/>
          <w:sz w:val="24"/>
        </w:rPr>
        <w:t>。合作学习之所以能够促进高阶思维，在于学生需要向同伴解释概念、回应质疑并整合不同意见</w:t>
      </w:r>
      <w:r>
        <w:rPr>
          <w:rStyle w:val="16"/>
          <w:rFonts w:hint="eastAsia" w:ascii="宋体" w:hAnsi="宋体" w:eastAsia="宋体" w:cs="宋体"/>
          <w:b w:val="0"/>
          <w:color w:val="000000"/>
          <w:kern w:val="0"/>
          <w:sz w:val="24"/>
          <w:vertAlign w:val="superscript"/>
        </w:rPr>
        <w:footnoteReference w:id="13"/>
      </w:r>
      <w:r>
        <w:rPr>
          <w:rFonts w:hint="eastAsia" w:ascii="宋体" w:hAnsi="宋体" w:eastAsia="宋体" w:cs="宋体"/>
          <w:b w:val="0"/>
          <w:color w:val="000000"/>
          <w:kern w:val="0"/>
          <w:sz w:val="24"/>
        </w:rPr>
        <w:t>；如果小组任务没有分工、不要求说明理由，也没有反思环节，讨论就容易沦为简单的信息交换，甚至只是少数学生发言、多数学生旁听。</w:t>
      </w:r>
    </w:p>
    <w:p w14:paraId="5A7E924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Style w:val="16"/>
          <w:rFonts w:hint="eastAsia" w:ascii="宋体" w:hAnsi="宋体" w:eastAsia="宋体" w:cs="宋体"/>
          <w:b w:val="0"/>
          <w:color w:val="000000"/>
          <w:kern w:val="0"/>
          <w:sz w:val="24"/>
          <w:vertAlign w:val="superscript"/>
        </w:rPr>
        <w:footnoteReference w:id="14"/>
      </w:r>
      <w:r>
        <w:rPr>
          <w:rFonts w:hint="eastAsia" w:ascii="宋体" w:hAnsi="宋体" w:eastAsia="宋体" w:cs="宋体"/>
          <w:b w:val="0"/>
          <w:color w:val="000000"/>
          <w:kern w:val="0"/>
          <w:sz w:val="24"/>
        </w:rPr>
        <w:t>。如果只看考试结果，可能会低估学生在学习过程中已经发生的变化，也难以判断教学究竟在哪个环节起了作用。</w:t>
      </w:r>
    </w:p>
    <w:p w14:paraId="1C52990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Style w:val="16"/>
          <w:rFonts w:hint="eastAsia" w:ascii="宋体" w:hAnsi="宋体" w:eastAsia="宋体" w:cs="宋体"/>
          <w:b w:val="0"/>
          <w:color w:val="000000"/>
          <w:kern w:val="0"/>
          <w:sz w:val="24"/>
          <w:vertAlign w:val="superscript"/>
        </w:rPr>
        <w:footnoteReference w:id="15"/>
      </w:r>
      <w:r>
        <w:rPr>
          <w:rFonts w:hint="eastAsia" w:ascii="宋体" w:hAnsi="宋体" w:eastAsia="宋体" w:cs="宋体"/>
          <w:b w:val="0"/>
          <w:color w:val="000000"/>
          <w:kern w:val="0"/>
          <w:sz w:val="24"/>
        </w:rPr>
        <w:t>。如何把这一主张转化为能够识别和支持高阶能力的具体课堂做法，是当前课堂教学改革需要解决的现实问题。</w:t>
      </w:r>
    </w:p>
    <w:p w14:paraId="2B77EE8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6" w:name="_Toc32678"/>
      <w:r>
        <w:rPr>
          <w:rFonts w:hint="eastAsia" w:ascii="宋体" w:hAnsi="宋体" w:eastAsia="宋体" w:cs="宋体"/>
          <w:b/>
          <w:kern w:val="0"/>
          <w:sz w:val="28"/>
        </w:rPr>
        <w:t>5.学校已有实践需要由零散探索走向系统推进</w:t>
      </w:r>
      <w:bookmarkEnd w:id="6"/>
    </w:p>
    <w:p w14:paraId="19697E2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359B7F8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33467DE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08F53F74">
      <w:pPr>
        <w:pStyle w:val="2"/>
        <w:keepNext/>
        <w:pageBreakBefore w:val="0"/>
        <w:numPr>
          <w:ilvl w:val="0"/>
          <w:numId w:val="1"/>
        </w:numPr>
        <w:overflowPunct w:val="0"/>
        <w:bidi w:val="0"/>
        <w:spacing w:before="240" w:after="120" w:line="360" w:lineRule="auto"/>
        <w:ind w:left="0" w:leftChars="0" w:firstLine="562" w:firstLineChars="200"/>
        <w:jc w:val="left"/>
        <w:textAlignment w:val="auto"/>
        <w:outlineLvl w:val="1"/>
        <w:rPr>
          <w:rFonts w:hint="eastAsia" w:ascii="宋体" w:hAnsi="宋体" w:eastAsia="宋体" w:cs="宋体"/>
          <w:b/>
          <w:bCs/>
          <w:sz w:val="28"/>
          <w:szCs w:val="28"/>
        </w:rPr>
      </w:pPr>
      <w:bookmarkStart w:id="7" w:name="_Toc1926"/>
      <w:r>
        <w:rPr>
          <w:rFonts w:hint="eastAsia" w:ascii="宋体" w:hAnsi="宋体" w:eastAsia="宋体" w:cs="宋体"/>
          <w:b/>
          <w:bCs/>
          <w:sz w:val="28"/>
        </w:rPr>
        <w:t>文献综述</w:t>
      </w:r>
      <w:bookmarkEnd w:id="7"/>
    </w:p>
    <w:p w14:paraId="0FE2E66B">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8" w:name="_Toc23007"/>
      <w:r>
        <w:rPr>
          <w:rFonts w:hint="eastAsia" w:ascii="宋体" w:hAnsi="宋体" w:eastAsia="宋体" w:cs="宋体"/>
          <w:b w:val="0"/>
          <w:sz w:val="24"/>
        </w:rPr>
        <w:t>关于高阶能力的研究</w:t>
      </w:r>
      <w:bookmarkEnd w:id="8"/>
    </w:p>
    <w:p w14:paraId="0E3C754E">
      <w:pPr>
        <w:keepNext/>
        <w:pageBreakBefore w:val="0"/>
        <w:numPr>
          <w:ilvl w:val="0"/>
          <w:numId w:val="3"/>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sz w:val="24"/>
        </w:rPr>
      </w:pPr>
      <w:bookmarkStart w:id="9" w:name="_Toc15320"/>
      <w:r>
        <w:rPr>
          <w:rFonts w:hint="eastAsia" w:ascii="宋体" w:hAnsi="宋体" w:eastAsia="宋体" w:cs="宋体"/>
          <w:b w:val="0"/>
          <w:sz w:val="24"/>
        </w:rPr>
        <w:t>文献检索与总体情况</w:t>
      </w:r>
      <w:bookmarkEnd w:id="9"/>
    </w:p>
    <w:p w14:paraId="3B11DE2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17C0CB7">
      <w:pPr>
        <w:keepNext/>
        <w:pageBreakBefore w:val="0"/>
        <w:overflowPunct w:val="0"/>
        <w:bidi w:val="0"/>
        <w:spacing w:before="120" w:after="0" w:line="360" w:lineRule="auto"/>
        <w:ind w:firstLineChars="200"/>
        <w:jc w:val="center"/>
        <w:textAlignment w:val="auto"/>
        <w:rPr>
          <w:rFonts w:hint="eastAsia" w:ascii="宋体" w:hAnsi="宋体" w:eastAsia="宋体" w:cs="宋体"/>
          <w:sz w:val="24"/>
        </w:rPr>
      </w:pPr>
      <w:r>
        <w:rPr>
          <w:rFonts w:hint="eastAsia" w:ascii="宋体" w:hAnsi="宋体" w:eastAsia="宋体" w:cs="宋体"/>
        </w:rPr>
        <w:drawing>
          <wp:inline distT="0" distB="0" distL="0" distR="0">
            <wp:extent cx="4072255" cy="1598930"/>
            <wp:effectExtent l="0" t="0" r="4445" b="1270"/>
            <wp:docPr id="1"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43ddf2507d1318037878df48f214cc6"/>
                    <pic:cNvPicPr>
                      <a:picLocks noChangeAspect="1" noChangeArrowheads="1"/>
                    </pic:cNvPicPr>
                  </pic:nvPicPr>
                  <pic:blipFill>
                    <a:blip r:embed="rId5"/>
                    <a:stretch>
                      <a:fillRect/>
                    </a:stretch>
                  </pic:blipFill>
                  <pic:spPr>
                    <a:xfrm>
                      <a:off x="0" y="0"/>
                      <a:ext cx="4072255" cy="1598930"/>
                    </a:xfrm>
                    <a:prstGeom prst="rect">
                      <a:avLst/>
                    </a:prstGeom>
                    <a:noFill/>
                  </pic:spPr>
                </pic:pic>
              </a:graphicData>
            </a:graphic>
          </wp:inline>
        </w:drawing>
      </w:r>
    </w:p>
    <w:p w14:paraId="1103ED88">
      <w:pPr>
        <w:pageBreakBefore w:val="0"/>
        <w:overflowPunct w:val="0"/>
        <w:bidi w:val="0"/>
        <w:spacing w:before="60" w:after="180" w:line="240" w:lineRule="auto"/>
        <w:ind w:firstLineChars="200"/>
        <w:jc w:val="center"/>
        <w:textAlignment w:val="auto"/>
        <w:rPr>
          <w:rFonts w:hint="eastAsia" w:ascii="宋体" w:hAnsi="宋体" w:eastAsia="宋体" w:cs="宋体"/>
          <w:b/>
          <w:bCs/>
          <w:szCs w:val="21"/>
        </w:rPr>
      </w:pPr>
      <w:r>
        <w:rPr>
          <w:rFonts w:hint="eastAsia" w:ascii="宋体" w:hAnsi="宋体" w:eastAsia="宋体" w:cs="宋体"/>
          <w:b w:val="0"/>
          <w:sz w:val="21"/>
        </w:rPr>
        <w:t>图1-1  高阶能力（主题）发文量变化趋势图</w:t>
      </w:r>
    </w:p>
    <w:p w14:paraId="53405A9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年度数据尚不完整。</w:t>
      </w:r>
    </w:p>
    <w:p w14:paraId="3A7758C9">
      <w:pPr>
        <w:keepNext/>
        <w:pageBreakBefore w:val="0"/>
        <w:numPr>
          <w:ilvl w:val="0"/>
          <w:numId w:val="3"/>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sz w:val="24"/>
        </w:rPr>
      </w:pPr>
      <w:bookmarkStart w:id="10" w:name="_Toc1551"/>
      <w:r>
        <w:rPr>
          <w:rFonts w:hint="eastAsia" w:ascii="宋体" w:hAnsi="宋体" w:eastAsia="宋体" w:cs="宋体"/>
          <w:b w:val="0"/>
          <w:sz w:val="24"/>
        </w:rPr>
        <w:t>主要研究主题</w:t>
      </w:r>
      <w:bookmarkEnd w:id="10"/>
    </w:p>
    <w:p w14:paraId="65386F0E">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1）高阶能力的内涵与结构</w:t>
      </w:r>
    </w:p>
    <w:p w14:paraId="0C5F44A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Style w:val="16"/>
          <w:rFonts w:hint="eastAsia" w:ascii="宋体" w:hAnsi="宋体" w:eastAsia="宋体" w:cs="宋体"/>
          <w:b w:val="0"/>
          <w:color w:val="000000"/>
          <w:kern w:val="0"/>
          <w:sz w:val="24"/>
          <w:vertAlign w:val="superscript"/>
        </w:rPr>
        <w:footnoteReference w:id="16"/>
      </w:r>
      <w:r>
        <w:rPr>
          <w:rFonts w:hint="eastAsia" w:ascii="宋体" w:hAnsi="宋体" w:eastAsia="宋体" w:cs="宋体"/>
          <w:b w:val="0"/>
          <w:color w:val="000000"/>
          <w:kern w:val="0"/>
          <w:sz w:val="24"/>
        </w:rPr>
        <w:t>。分析、评价和创造通常被视为较高层次的认知活动，构成高阶思维最常见的操作性含义。</w:t>
      </w:r>
    </w:p>
    <w:p w14:paraId="1349F2E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r>
        <w:rPr>
          <w:rStyle w:val="16"/>
          <w:rFonts w:hint="eastAsia" w:ascii="宋体" w:hAnsi="宋体" w:eastAsia="宋体" w:cs="宋体"/>
          <w:b w:val="0"/>
          <w:color w:val="000000"/>
          <w:kern w:val="0"/>
          <w:sz w:val="24"/>
          <w:vertAlign w:val="superscript"/>
        </w:rPr>
        <w:footnoteReference w:id="17"/>
      </w:r>
      <w:r>
        <w:rPr>
          <w:rFonts w:hint="eastAsia" w:ascii="宋体" w:hAnsi="宋体" w:eastAsia="宋体" w:cs="宋体"/>
          <w:b w:val="0"/>
          <w:color w:val="000000"/>
          <w:kern w:val="0"/>
          <w:sz w:val="24"/>
        </w:rPr>
        <w:t>。这一取向把高阶思维从静态的目标层级拓展为在劣构情境中展开的动态加工过程。</w:t>
      </w:r>
    </w:p>
    <w:p w14:paraId="118909D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r>
        <w:rPr>
          <w:rStyle w:val="16"/>
          <w:rFonts w:hint="eastAsia" w:ascii="宋体" w:hAnsi="宋体" w:eastAsia="宋体" w:cs="宋体"/>
          <w:b w:val="0"/>
          <w:color w:val="000000"/>
          <w:kern w:val="0"/>
          <w:sz w:val="24"/>
          <w:vertAlign w:val="superscript"/>
        </w:rPr>
        <w:footnoteReference w:id="18"/>
      </w:r>
      <w:r>
        <w:rPr>
          <w:rFonts w:hint="eastAsia" w:ascii="宋体" w:hAnsi="宋体" w:eastAsia="宋体" w:cs="宋体"/>
          <w:b w:val="0"/>
          <w:color w:val="000000"/>
          <w:kern w:val="0"/>
          <w:sz w:val="24"/>
        </w:rPr>
        <w:t>。创造力被界定为在特定情境中生成兼具新颖性和适切性的观念、方案或产品的能力</w:t>
      </w:r>
      <w:r>
        <w:rPr>
          <w:rStyle w:val="16"/>
          <w:rFonts w:hint="eastAsia" w:ascii="宋体" w:hAnsi="宋体" w:eastAsia="宋体" w:cs="宋体"/>
          <w:b w:val="0"/>
          <w:color w:val="000000"/>
          <w:kern w:val="0"/>
          <w:sz w:val="24"/>
          <w:vertAlign w:val="superscript"/>
        </w:rPr>
        <w:footnoteReference w:id="19"/>
      </w:r>
      <w:r>
        <w:rPr>
          <w:rFonts w:hint="eastAsia" w:ascii="宋体" w:hAnsi="宋体" w:eastAsia="宋体" w:cs="宋体"/>
          <w:b w:val="0"/>
          <w:color w:val="000000"/>
          <w:kern w:val="0"/>
          <w:sz w:val="24"/>
        </w:rPr>
        <w:t>，针对大学生的多层元分析表明，创造力能够通过系统训练得到显著提升</w:t>
      </w:r>
      <w:r>
        <w:rPr>
          <w:rStyle w:val="16"/>
          <w:rFonts w:hint="eastAsia" w:ascii="宋体" w:hAnsi="宋体" w:eastAsia="宋体" w:cs="宋体"/>
          <w:b w:val="0"/>
          <w:color w:val="000000"/>
          <w:kern w:val="0"/>
          <w:sz w:val="24"/>
          <w:vertAlign w:val="superscript"/>
        </w:rPr>
        <w:footnoteReference w:id="20"/>
      </w:r>
      <w:r>
        <w:rPr>
          <w:rFonts w:hint="eastAsia" w:ascii="宋体" w:hAnsi="宋体" w:eastAsia="宋体" w:cs="宋体"/>
          <w:b w:val="0"/>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w:t>
      </w:r>
      <w:r>
        <w:rPr>
          <w:rStyle w:val="16"/>
          <w:rFonts w:hint="eastAsia" w:ascii="宋体" w:hAnsi="宋体" w:eastAsia="宋体" w:cs="宋体"/>
          <w:b w:val="0"/>
          <w:color w:val="000000"/>
          <w:kern w:val="0"/>
          <w:sz w:val="24"/>
          <w:vertAlign w:val="superscript"/>
        </w:rPr>
        <w:footnoteReference w:id="21"/>
      </w:r>
      <w:r>
        <w:rPr>
          <w:rFonts w:hint="eastAsia" w:ascii="宋体" w:hAnsi="宋体" w:eastAsia="宋体" w:cs="宋体"/>
          <w:b w:val="0"/>
          <w:color w:val="000000"/>
          <w:kern w:val="0"/>
          <w:sz w:val="24"/>
        </w:rPr>
        <w:t>。</w:t>
      </w:r>
    </w:p>
    <w:p w14:paraId="2B4EC70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批判性思维与创造力之间并非彼此独立。元分析显示，学生样本中二者呈中等程度的正相关，两者都涉及评价、判断和自我调节等认知与元认知过程，要求灵活且目标导向的推理，元认知因而构成二者相互关联的共同基础，也为联合培养提供了理论可能</w:t>
      </w:r>
      <w:r>
        <w:rPr>
          <w:rStyle w:val="16"/>
          <w:rFonts w:hint="eastAsia" w:ascii="宋体" w:hAnsi="宋体" w:eastAsia="宋体" w:cs="宋体"/>
          <w:b w:val="0"/>
          <w:color w:val="000000"/>
          <w:kern w:val="0"/>
          <w:sz w:val="24"/>
          <w:vertAlign w:val="superscript"/>
        </w:rPr>
        <w:footnoteReference w:id="22"/>
      </w:r>
      <w:r>
        <w:rPr>
          <w:rFonts w:hint="eastAsia" w:ascii="宋体" w:hAnsi="宋体" w:eastAsia="宋体" w:cs="宋体"/>
          <w:b w:val="0"/>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7BC2433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w:t>
      </w:r>
      <w:r>
        <w:rPr>
          <w:rStyle w:val="16"/>
          <w:rFonts w:hint="eastAsia" w:ascii="宋体" w:hAnsi="宋体" w:eastAsia="宋体" w:cs="宋体"/>
          <w:b w:val="0"/>
          <w:color w:val="000000"/>
          <w:kern w:val="0"/>
          <w:sz w:val="24"/>
          <w:vertAlign w:val="superscript"/>
        </w:rPr>
        <w:footnoteReference w:id="23"/>
      </w:r>
      <w:r>
        <w:rPr>
          <w:rFonts w:hint="eastAsia" w:ascii="宋体" w:hAnsi="宋体" w:eastAsia="宋体" w:cs="宋体"/>
          <w:b w:val="0"/>
          <w:color w:val="000000"/>
          <w:kern w:val="0"/>
          <w:sz w:val="24"/>
        </w:rPr>
        <w:t>；学术、社会与情感学习协作组织（Collaborative for Academic, Social, and Emotional Learning, CASEL）提出自我意识、自我管理、社会意识、人际关系技能和负责任决策五个领域</w:t>
      </w:r>
      <w:r>
        <w:rPr>
          <w:rStyle w:val="16"/>
          <w:rFonts w:hint="eastAsia" w:ascii="宋体" w:hAnsi="宋体" w:eastAsia="宋体" w:cs="宋体"/>
          <w:b w:val="0"/>
          <w:color w:val="000000"/>
          <w:kern w:val="0"/>
          <w:sz w:val="24"/>
          <w:vertAlign w:val="superscript"/>
        </w:rPr>
        <w:footnoteReference w:id="24"/>
      </w:r>
      <w:r>
        <w:rPr>
          <w:rFonts w:hint="eastAsia" w:ascii="宋体" w:hAnsi="宋体" w:eastAsia="宋体" w:cs="宋体"/>
          <w:b w:val="0"/>
          <w:color w:val="000000"/>
          <w:kern w:val="0"/>
          <w:sz w:val="24"/>
        </w:rPr>
        <w:t>。元分析表明，系统实施的校本社会情感学习能够改善学生的社会情感技能、日常行为和学业成绩</w:t>
      </w:r>
      <w:r>
        <w:rPr>
          <w:rStyle w:val="16"/>
          <w:rFonts w:hint="eastAsia" w:ascii="宋体" w:hAnsi="宋体" w:eastAsia="宋体" w:cs="宋体"/>
          <w:b w:val="0"/>
          <w:color w:val="000000"/>
          <w:kern w:val="0"/>
          <w:sz w:val="24"/>
          <w:vertAlign w:val="superscript"/>
        </w:rPr>
        <w:footnoteReference w:id="25"/>
      </w:r>
      <w:r>
        <w:rPr>
          <w:rFonts w:hint="eastAsia" w:ascii="宋体" w:hAnsi="宋体" w:eastAsia="宋体" w:cs="宋体"/>
          <w:b w:val="0"/>
          <w:color w:val="000000"/>
          <w:kern w:val="0"/>
          <w:sz w:val="24"/>
        </w:rPr>
        <w:t>。</w:t>
      </w:r>
    </w:p>
    <w:p w14:paraId="1E3C037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w:t>
      </w:r>
      <w:r>
        <w:rPr>
          <w:rStyle w:val="16"/>
          <w:rFonts w:hint="eastAsia" w:ascii="宋体" w:hAnsi="宋体" w:eastAsia="宋体" w:cs="宋体"/>
          <w:b w:val="0"/>
          <w:color w:val="000000"/>
          <w:kern w:val="0"/>
          <w:sz w:val="24"/>
          <w:vertAlign w:val="superscript"/>
        </w:rPr>
        <w:footnoteReference w:id="26"/>
      </w:r>
      <w:r>
        <w:rPr>
          <w:rFonts w:hint="eastAsia" w:ascii="宋体" w:hAnsi="宋体" w:eastAsia="宋体" w:cs="宋体"/>
          <w:b w:val="0"/>
          <w:color w:val="000000"/>
          <w:kern w:val="0"/>
          <w:sz w:val="24"/>
        </w:rPr>
        <w:t>。基于苏州市数据的研究发现，交往能力与其他社会与情感能力之间存在中等程度的相关，并受同伴关系、家庭背景、教师和学校因素的影响</w:t>
      </w:r>
      <w:r>
        <w:rPr>
          <w:rStyle w:val="16"/>
          <w:rFonts w:hint="eastAsia" w:ascii="宋体" w:hAnsi="宋体" w:eastAsia="宋体" w:cs="宋体"/>
          <w:b w:val="0"/>
          <w:color w:val="000000"/>
          <w:kern w:val="0"/>
          <w:sz w:val="24"/>
          <w:vertAlign w:val="superscript"/>
        </w:rPr>
        <w:footnoteReference w:id="27"/>
      </w:r>
      <w:r>
        <w:rPr>
          <w:rFonts w:hint="eastAsia" w:ascii="宋体" w:hAnsi="宋体" w:eastAsia="宋体" w:cs="宋体"/>
          <w:b w:val="0"/>
          <w:color w:val="000000"/>
          <w:kern w:val="0"/>
          <w:sz w:val="24"/>
        </w:rPr>
        <w:t>。上述结果表明，社会情感能力在中学阶段并不随年龄增长自然提高，学校层面的有意识培养具有必要性。同时，将深受文化影响的共情、情绪等品质转化为统一分数进行跨情境比较，存在标准化和简化的风险</w:t>
      </w:r>
      <w:r>
        <w:rPr>
          <w:rStyle w:val="16"/>
          <w:rFonts w:hint="eastAsia" w:ascii="宋体" w:hAnsi="宋体" w:eastAsia="宋体" w:cs="宋体"/>
          <w:b w:val="0"/>
          <w:color w:val="000000"/>
          <w:kern w:val="0"/>
          <w:sz w:val="24"/>
          <w:vertAlign w:val="superscript"/>
        </w:rPr>
        <w:footnoteReference w:id="28"/>
      </w:r>
      <w:r>
        <w:rPr>
          <w:rFonts w:hint="eastAsia" w:ascii="宋体" w:hAnsi="宋体" w:eastAsia="宋体" w:cs="宋体"/>
          <w:b w:val="0"/>
          <w:color w:val="000000"/>
          <w:kern w:val="0"/>
          <w:sz w:val="24"/>
        </w:rPr>
        <w:t>。</w:t>
      </w:r>
    </w:p>
    <w:p w14:paraId="5A47B9E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1347BA83">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2）高阶能力的发展条件</w:t>
      </w:r>
    </w:p>
    <w:p w14:paraId="6420C39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现有证据较为一致地表明，高阶能力不会随知识难度的提高而自然形成，其发展依赖特定的教学条件。</w:t>
      </w:r>
    </w:p>
    <w:p w14:paraId="2249D23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Style w:val="16"/>
          <w:rFonts w:hint="eastAsia" w:ascii="宋体" w:hAnsi="宋体" w:eastAsia="宋体" w:cs="宋体"/>
          <w:b w:val="0"/>
          <w:color w:val="000000"/>
          <w:kern w:val="0"/>
          <w:sz w:val="24"/>
          <w:vertAlign w:val="superscript"/>
        </w:rPr>
        <w:footnoteReference w:id="29"/>
      </w:r>
      <w:r>
        <w:rPr>
          <w:rFonts w:hint="eastAsia" w:ascii="宋体" w:hAnsi="宋体" w:eastAsia="宋体" w:cs="宋体"/>
          <w:b w:val="0"/>
          <w:color w:val="000000"/>
          <w:kern w:val="0"/>
          <w:sz w:val="24"/>
        </w:rPr>
        <w:t>。</w:t>
      </w:r>
    </w:p>
    <w:p w14:paraId="492FD74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Style w:val="16"/>
          <w:rFonts w:hint="eastAsia" w:ascii="宋体" w:hAnsi="宋体" w:eastAsia="宋体" w:cs="宋体"/>
          <w:b w:val="0"/>
          <w:color w:val="000000"/>
          <w:kern w:val="0"/>
          <w:sz w:val="24"/>
          <w:vertAlign w:val="superscript"/>
        </w:rPr>
        <w:footnoteReference w:id="30"/>
      </w:r>
      <w:r>
        <w:rPr>
          <w:rFonts w:hint="eastAsia" w:ascii="宋体" w:hAnsi="宋体" w:eastAsia="宋体" w:cs="宋体"/>
          <w:b w:val="0"/>
          <w:color w:val="000000"/>
          <w:kern w:val="0"/>
          <w:sz w:val="24"/>
        </w:rPr>
        <w:t>。图形组织器对高阶思维同样具有显著的促进作用，其中思维导图的效果最强，概念图由于结构复杂、绘制负担较重，效果相对较弱</w:t>
      </w:r>
      <w:r>
        <w:rPr>
          <w:rStyle w:val="16"/>
          <w:rFonts w:hint="eastAsia" w:ascii="宋体" w:hAnsi="宋体" w:eastAsia="宋体" w:cs="宋体"/>
          <w:b w:val="0"/>
          <w:color w:val="000000"/>
          <w:kern w:val="0"/>
          <w:sz w:val="24"/>
          <w:vertAlign w:val="superscript"/>
        </w:rPr>
        <w:footnoteReference w:id="31"/>
      </w:r>
      <w:r>
        <w:rPr>
          <w:rFonts w:hint="eastAsia" w:ascii="宋体" w:hAnsi="宋体" w:eastAsia="宋体" w:cs="宋体"/>
          <w:b w:val="0"/>
          <w:color w:val="000000"/>
          <w:kern w:val="0"/>
          <w:sz w:val="24"/>
        </w:rPr>
        <w:t>。</w:t>
      </w:r>
    </w:p>
    <w:p w14:paraId="2BA04BC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w:t>
      </w:r>
      <w:r>
        <w:rPr>
          <w:rStyle w:val="16"/>
          <w:rFonts w:hint="eastAsia" w:ascii="宋体" w:hAnsi="宋体" w:eastAsia="宋体" w:cs="宋体"/>
          <w:b w:val="0"/>
          <w:color w:val="000000"/>
          <w:kern w:val="0"/>
          <w:sz w:val="24"/>
          <w:vertAlign w:val="superscript"/>
        </w:rPr>
        <w:footnoteReference w:id="32"/>
      </w:r>
      <w:r>
        <w:rPr>
          <w:rFonts w:hint="eastAsia" w:ascii="宋体" w:hAnsi="宋体" w:eastAsia="宋体" w:cs="宋体"/>
          <w:b w:val="0"/>
          <w:color w:val="000000"/>
          <w:kern w:val="0"/>
          <w:sz w:val="24"/>
        </w:rPr>
        <w:t>。</w:t>
      </w:r>
    </w:p>
    <w:p w14:paraId="4C5AC50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指导的设计还需要避免过载。同时向学习者提供多种相互重叠的外部支架，并不会产生叠加效应，反而可能分散注意力、增加无关认知负荷而相互抵消</w:t>
      </w:r>
      <w:r>
        <w:rPr>
          <w:rStyle w:val="16"/>
          <w:rFonts w:hint="eastAsia" w:ascii="宋体" w:hAnsi="宋体" w:eastAsia="宋体" w:cs="宋体"/>
          <w:b w:val="0"/>
          <w:color w:val="000000"/>
          <w:kern w:val="0"/>
          <w:sz w:val="24"/>
          <w:vertAlign w:val="superscript"/>
        </w:rPr>
        <w:footnoteReference w:id="33"/>
      </w:r>
      <w:r>
        <w:rPr>
          <w:rFonts w:hint="eastAsia" w:ascii="宋体" w:hAnsi="宋体" w:eastAsia="宋体" w:cs="宋体"/>
          <w:b w:val="0"/>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Style w:val="16"/>
          <w:rFonts w:hint="eastAsia" w:ascii="宋体" w:hAnsi="宋体" w:eastAsia="宋体" w:cs="宋体"/>
          <w:b w:val="0"/>
          <w:color w:val="000000"/>
          <w:kern w:val="0"/>
          <w:sz w:val="24"/>
          <w:vertAlign w:val="superscript"/>
        </w:rPr>
        <w:footnoteReference w:id="34"/>
      </w:r>
      <w:r>
        <w:rPr>
          <w:rFonts w:hint="eastAsia" w:ascii="宋体" w:hAnsi="宋体" w:eastAsia="宋体" w:cs="宋体"/>
          <w:b w:val="0"/>
          <w:color w:val="000000"/>
          <w:kern w:val="0"/>
          <w:sz w:val="24"/>
        </w:rPr>
        <w:t>。</w:t>
      </w:r>
    </w:p>
    <w:p w14:paraId="6564E57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68152582">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3）高阶能力的学科依存性与情境性</w:t>
      </w:r>
    </w:p>
    <w:p w14:paraId="0E7E48C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Style w:val="16"/>
          <w:rFonts w:hint="eastAsia" w:ascii="宋体" w:hAnsi="宋体" w:eastAsia="宋体" w:cs="宋体"/>
          <w:b w:val="0"/>
          <w:color w:val="000000"/>
          <w:kern w:val="0"/>
          <w:sz w:val="24"/>
          <w:vertAlign w:val="superscript"/>
        </w:rPr>
        <w:footnoteReference w:id="35"/>
      </w:r>
      <w:r>
        <w:rPr>
          <w:rFonts w:hint="eastAsia" w:ascii="宋体" w:hAnsi="宋体" w:eastAsia="宋体" w:cs="宋体"/>
          <w:b w:val="0"/>
          <w:color w:val="000000"/>
          <w:kern w:val="0"/>
          <w:sz w:val="24"/>
        </w:rPr>
        <w:t>。</w:t>
      </w:r>
    </w:p>
    <w:p w14:paraId="1E7F64E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Style w:val="16"/>
          <w:rFonts w:hint="eastAsia" w:ascii="宋体" w:hAnsi="宋体" w:eastAsia="宋体" w:cs="宋体"/>
          <w:b w:val="0"/>
          <w:color w:val="000000"/>
          <w:kern w:val="0"/>
          <w:sz w:val="24"/>
          <w:vertAlign w:val="superscript"/>
        </w:rPr>
        <w:footnoteReference w:id="36"/>
      </w:r>
      <w:r>
        <w:rPr>
          <w:rFonts w:hint="eastAsia" w:ascii="宋体" w:hAnsi="宋体" w:eastAsia="宋体" w:cs="宋体"/>
          <w:b w:val="0"/>
          <w:color w:val="000000"/>
          <w:kern w:val="0"/>
          <w:sz w:val="24"/>
        </w:rPr>
        <w:t>。</w:t>
      </w:r>
    </w:p>
    <w:p w14:paraId="3FD5435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w:t>
      </w:r>
      <w:r>
        <w:rPr>
          <w:rStyle w:val="16"/>
          <w:rFonts w:hint="eastAsia" w:ascii="宋体" w:hAnsi="宋体" w:eastAsia="宋体" w:cs="宋体"/>
          <w:b w:val="0"/>
          <w:color w:val="000000"/>
          <w:kern w:val="0"/>
          <w:sz w:val="24"/>
          <w:vertAlign w:val="superscript"/>
        </w:rPr>
        <w:footnoteReference w:id="37"/>
      </w:r>
      <w:r>
        <w:rPr>
          <w:rFonts w:hint="eastAsia" w:ascii="宋体" w:hAnsi="宋体" w:eastAsia="宋体" w:cs="宋体"/>
          <w:b w:val="0"/>
          <w:color w:val="000000"/>
          <w:kern w:val="0"/>
          <w:sz w:val="24"/>
        </w:rPr>
        <w:t>。对本课题而言，高阶能力培育既需要跨学科共享的能力目标，又需要在语文、数学、物理、英语等学科以及科创项目中形成各自的实践方式，不宜以统一流程机械套用于所有课堂。</w:t>
      </w:r>
    </w:p>
    <w:p w14:paraId="356ABFFF">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4）高阶能力的评价</w:t>
      </w:r>
    </w:p>
    <w:p w14:paraId="577DEB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认识论理解的发展研究显示，个体对知识的理解一般由视知识为确定事实的绝对主义，经过视知识为个人意见的多元主义，逐步走向依据证据和标准权衡不同主张的评价主义，后者在青少年阶段往往尚未稳定形成</w:t>
      </w:r>
      <w:r>
        <w:rPr>
          <w:rStyle w:val="16"/>
          <w:rFonts w:hint="eastAsia" w:ascii="宋体" w:hAnsi="宋体" w:eastAsia="宋体" w:cs="宋体"/>
          <w:b w:val="0"/>
          <w:color w:val="000000"/>
          <w:kern w:val="0"/>
          <w:sz w:val="24"/>
          <w:vertAlign w:val="superscript"/>
        </w:rPr>
        <w:footnoteReference w:id="38"/>
      </w:r>
      <w:r>
        <w:rPr>
          <w:rFonts w:hint="eastAsia" w:ascii="宋体" w:hAnsi="宋体" w:eastAsia="宋体" w:cs="宋体"/>
          <w:b w:val="0"/>
          <w:color w:val="000000"/>
          <w:kern w:val="0"/>
          <w:sz w:val="24"/>
        </w:rPr>
        <w:t>。因此，评价设计需要区分术语使用、一般认知发展和真实的批判性判断</w:t>
      </w:r>
      <w:r>
        <w:rPr>
          <w:rStyle w:val="16"/>
          <w:rFonts w:hint="eastAsia" w:ascii="宋体" w:hAnsi="宋体" w:eastAsia="宋体" w:cs="宋体"/>
          <w:b w:val="0"/>
          <w:color w:val="000000"/>
          <w:kern w:val="0"/>
          <w:sz w:val="24"/>
          <w:vertAlign w:val="superscript"/>
        </w:rPr>
        <w:footnoteReference w:id="39"/>
      </w:r>
      <w:r>
        <w:rPr>
          <w:rFonts w:hint="eastAsia" w:ascii="宋体" w:hAnsi="宋体" w:eastAsia="宋体" w:cs="宋体"/>
          <w:b w:val="0"/>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Style w:val="16"/>
          <w:rFonts w:hint="eastAsia" w:ascii="宋体" w:hAnsi="宋体" w:eastAsia="宋体" w:cs="宋体"/>
          <w:b w:val="0"/>
          <w:color w:val="000000"/>
          <w:kern w:val="0"/>
          <w:sz w:val="24"/>
          <w:vertAlign w:val="superscript"/>
        </w:rPr>
        <w:footnoteReference w:id="40"/>
      </w:r>
      <w:r>
        <w:rPr>
          <w:rFonts w:hint="eastAsia" w:ascii="宋体" w:hAnsi="宋体" w:eastAsia="宋体" w:cs="宋体"/>
          <w:b w:val="0"/>
          <w:color w:val="000000"/>
          <w:kern w:val="0"/>
          <w:sz w:val="24"/>
        </w:rPr>
        <w:t>。</w:t>
      </w:r>
    </w:p>
    <w:p w14:paraId="4853DD9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Style w:val="16"/>
          <w:rFonts w:hint="eastAsia" w:ascii="宋体" w:hAnsi="宋体" w:eastAsia="宋体" w:cs="宋体"/>
          <w:b w:val="0"/>
          <w:color w:val="000000"/>
          <w:kern w:val="0"/>
          <w:sz w:val="24"/>
          <w:vertAlign w:val="superscript"/>
        </w:rPr>
        <w:footnoteReference w:id="41"/>
      </w:r>
      <w:r>
        <w:rPr>
          <w:rFonts w:hint="eastAsia" w:ascii="宋体" w:hAnsi="宋体" w:eastAsia="宋体" w:cs="宋体"/>
          <w:b w:val="0"/>
          <w:color w:val="000000"/>
          <w:kern w:val="0"/>
          <w:sz w:val="24"/>
        </w:rPr>
        <w:t>。学习结果结构分类（Structure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w:t>
      </w:r>
      <w:r>
        <w:rPr>
          <w:rStyle w:val="16"/>
          <w:rFonts w:hint="eastAsia" w:ascii="宋体" w:hAnsi="宋体" w:eastAsia="宋体" w:cs="宋体"/>
          <w:b w:val="0"/>
          <w:color w:val="000000"/>
          <w:kern w:val="0"/>
          <w:sz w:val="24"/>
          <w:vertAlign w:val="superscript"/>
        </w:rPr>
        <w:footnoteReference w:id="42"/>
      </w:r>
      <w:r>
        <w:rPr>
          <w:rFonts w:hint="eastAsia" w:ascii="宋体" w:hAnsi="宋体" w:eastAsia="宋体" w:cs="宋体"/>
          <w:b w:val="0"/>
          <w:color w:val="000000"/>
          <w:kern w:val="0"/>
          <w:sz w:val="24"/>
        </w:rPr>
        <w:t>。</w:t>
      </w:r>
    </w:p>
    <w:p w14:paraId="58F1877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Style w:val="16"/>
          <w:rFonts w:hint="eastAsia" w:ascii="宋体" w:hAnsi="宋体" w:eastAsia="宋体" w:cs="宋体"/>
          <w:b w:val="0"/>
          <w:color w:val="000000"/>
          <w:kern w:val="0"/>
          <w:sz w:val="24"/>
          <w:vertAlign w:val="superscript"/>
        </w:rPr>
        <w:footnoteReference w:id="43"/>
      </w:r>
      <w:r>
        <w:rPr>
          <w:rFonts w:hint="eastAsia" w:ascii="宋体" w:hAnsi="宋体" w:eastAsia="宋体" w:cs="宋体"/>
          <w:b w:val="0"/>
          <w:color w:val="000000"/>
          <w:kern w:val="0"/>
          <w:sz w:val="24"/>
        </w:rPr>
        <w:t>。这意味着，高阶能力评价既要关注技能表现，也要关注思维倾向，并把测评结果放回具体的教学情境中理解。</w:t>
      </w:r>
    </w:p>
    <w:p w14:paraId="20E5A78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Style w:val="16"/>
          <w:rFonts w:hint="eastAsia" w:ascii="宋体" w:hAnsi="宋体" w:eastAsia="宋体" w:cs="宋体"/>
          <w:b w:val="0"/>
          <w:color w:val="000000"/>
          <w:kern w:val="0"/>
          <w:sz w:val="24"/>
          <w:vertAlign w:val="superscript"/>
        </w:rPr>
        <w:footnoteReference w:id="44"/>
      </w:r>
      <w:r>
        <w:rPr>
          <w:rFonts w:hint="eastAsia" w:ascii="宋体" w:hAnsi="宋体" w:eastAsia="宋体" w:cs="宋体"/>
          <w:b w:val="0"/>
          <w:color w:val="000000"/>
          <w:kern w:val="0"/>
          <w:sz w:val="24"/>
        </w:rPr>
        <w:t>。学习分析技术扩大了可观察的范围，但仪表盘以颜色、进度条等形式给出的直观判断，可能先于并替代教师对学生学习的专业解释</w:t>
      </w:r>
      <w:r>
        <w:rPr>
          <w:rStyle w:val="16"/>
          <w:rFonts w:hint="eastAsia" w:ascii="宋体" w:hAnsi="宋体" w:eastAsia="宋体" w:cs="宋体"/>
          <w:b w:val="0"/>
          <w:color w:val="000000"/>
          <w:kern w:val="0"/>
          <w:sz w:val="24"/>
          <w:vertAlign w:val="superscript"/>
        </w:rPr>
        <w:footnoteReference w:id="45"/>
      </w:r>
      <w:r>
        <w:rPr>
          <w:rFonts w:hint="eastAsia" w:ascii="宋体" w:hAnsi="宋体" w:eastAsia="宋体" w:cs="宋体"/>
          <w:b w:val="0"/>
          <w:color w:val="000000"/>
          <w:kern w:val="0"/>
          <w:sz w:val="24"/>
        </w:rPr>
        <w:t>。因此，高阶能力评价需要综合问卷、作品、课堂表现和教师判断等多种证据，并明确每类证据所能支持的推断范围。</w:t>
      </w:r>
    </w:p>
    <w:p w14:paraId="453B95EC">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5）数智技术对高阶能力发展的影响</w:t>
      </w:r>
    </w:p>
    <w:p w14:paraId="50E1B05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这可能与模型倾向于输出常规答案、学生直接采用后难以产生新颖构想有关；干预周期呈倒U型，8至16周效果最佳，周期过短学生尚处适应阶段，周期过长则容易产生依赖和倦怠</w:t>
      </w:r>
      <w:r>
        <w:rPr>
          <w:rStyle w:val="16"/>
          <w:rFonts w:hint="eastAsia" w:ascii="宋体" w:hAnsi="宋体" w:eastAsia="宋体" w:cs="宋体"/>
          <w:b w:val="0"/>
          <w:color w:val="000000"/>
          <w:kern w:val="0"/>
          <w:sz w:val="24"/>
          <w:vertAlign w:val="superscript"/>
        </w:rPr>
        <w:footnoteReference w:id="46"/>
      </w:r>
      <w:r>
        <w:rPr>
          <w:rFonts w:hint="eastAsia" w:ascii="宋体" w:hAnsi="宋体" w:eastAsia="宋体" w:cs="宋体"/>
          <w:b w:val="0"/>
          <w:color w:val="000000"/>
          <w:kern w:val="0"/>
          <w:sz w:val="24"/>
        </w:rPr>
        <w:t>。</w:t>
      </w:r>
    </w:p>
    <w:p w14:paraId="4B1BCDA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w:t>
      </w:r>
      <w:r>
        <w:rPr>
          <w:rStyle w:val="16"/>
          <w:rFonts w:hint="eastAsia" w:ascii="宋体" w:hAnsi="宋体" w:eastAsia="宋体" w:cs="宋体"/>
          <w:b w:val="0"/>
          <w:color w:val="000000"/>
          <w:kern w:val="0"/>
          <w:sz w:val="24"/>
          <w:vertAlign w:val="superscript"/>
        </w:rPr>
        <w:footnoteReference w:id="47"/>
      </w:r>
      <w:r>
        <w:rPr>
          <w:rFonts w:hint="eastAsia" w:ascii="宋体" w:hAnsi="宋体" w:eastAsia="宋体" w:cs="宋体"/>
          <w:b w:val="0"/>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Style w:val="16"/>
          <w:rFonts w:hint="eastAsia" w:ascii="宋体" w:hAnsi="宋体" w:eastAsia="宋体" w:cs="宋体"/>
          <w:b w:val="0"/>
          <w:color w:val="000000"/>
          <w:kern w:val="0"/>
          <w:sz w:val="24"/>
          <w:vertAlign w:val="superscript"/>
        </w:rPr>
        <w:footnoteReference w:id="48"/>
      </w:r>
      <w:r>
        <w:rPr>
          <w:rFonts w:hint="eastAsia" w:ascii="宋体" w:hAnsi="宋体" w:eastAsia="宋体" w:cs="宋体"/>
          <w:b w:val="0"/>
          <w:color w:val="000000"/>
          <w:kern w:val="0"/>
          <w:sz w:val="24"/>
        </w:rPr>
        <w:t>。</w:t>
      </w:r>
    </w:p>
    <w:p w14:paraId="621C67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Style w:val="16"/>
          <w:rFonts w:hint="eastAsia" w:ascii="宋体" w:hAnsi="宋体" w:eastAsia="宋体" w:cs="宋体"/>
          <w:b w:val="0"/>
          <w:color w:val="000000"/>
          <w:kern w:val="0"/>
          <w:sz w:val="24"/>
          <w:vertAlign w:val="superscript"/>
        </w:rPr>
        <w:footnoteReference w:id="49"/>
      </w:r>
      <w:r>
        <w:rPr>
          <w:rFonts w:hint="eastAsia" w:ascii="宋体" w:hAnsi="宋体" w:eastAsia="宋体" w:cs="宋体"/>
          <w:b w:val="0"/>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Style w:val="16"/>
          <w:rFonts w:hint="eastAsia" w:ascii="宋体" w:hAnsi="宋体" w:eastAsia="宋体" w:cs="宋体"/>
          <w:b w:val="0"/>
          <w:color w:val="000000"/>
          <w:kern w:val="0"/>
          <w:sz w:val="24"/>
          <w:vertAlign w:val="superscript"/>
        </w:rPr>
        <w:footnoteReference w:id="50"/>
      </w:r>
      <w:r>
        <w:rPr>
          <w:rFonts w:hint="eastAsia" w:ascii="宋体" w:hAnsi="宋体" w:eastAsia="宋体" w:cs="宋体"/>
          <w:b w:val="0"/>
          <w:color w:val="000000"/>
          <w:kern w:val="0"/>
          <w:sz w:val="24"/>
        </w:rPr>
        <w:t>。数智技术并未降低高阶能力的重要性，反而对学习设计以及判断学生是否真正进行思考提出了更高要求。</w:t>
      </w:r>
    </w:p>
    <w:p w14:paraId="40662E44">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1" w:name="_Toc9590"/>
      <w:r>
        <w:rPr>
          <w:rFonts w:hint="eastAsia" w:ascii="宋体" w:hAnsi="宋体" w:eastAsia="宋体" w:cs="宋体"/>
          <w:b w:val="0"/>
          <w:sz w:val="24"/>
        </w:rPr>
        <w:t>关于可见的学习的研究</w:t>
      </w:r>
      <w:bookmarkEnd w:id="11"/>
    </w:p>
    <w:p w14:paraId="2BF5BAF7">
      <w:pPr>
        <w:keepNext/>
        <w:pageBreakBefore w:val="0"/>
        <w:numPr>
          <w:ilvl w:val="0"/>
          <w:numId w:val="4"/>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kern w:val="0"/>
          <w:sz w:val="24"/>
        </w:rPr>
      </w:pPr>
      <w:bookmarkStart w:id="12" w:name="_Toc8649"/>
      <w:r>
        <w:rPr>
          <w:rFonts w:hint="eastAsia" w:ascii="宋体" w:hAnsi="宋体" w:eastAsia="宋体" w:cs="宋体"/>
          <w:b w:val="0"/>
          <w:sz w:val="24"/>
        </w:rPr>
        <w:t>文献检索与总体情况</w:t>
      </w:r>
      <w:bookmarkEnd w:id="12"/>
    </w:p>
    <w:p w14:paraId="7B36658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之中。</w:t>
      </w:r>
    </w:p>
    <w:p w14:paraId="7A9E99DD">
      <w:pPr>
        <w:keepNext/>
        <w:pageBreakBefore w:val="0"/>
        <w:overflowPunct w:val="0"/>
        <w:bidi w:val="0"/>
        <w:spacing w:before="120" w:after="0" w:line="360" w:lineRule="auto"/>
        <w:ind w:firstLineChars="200"/>
        <w:jc w:val="center"/>
        <w:textAlignment w:val="auto"/>
        <w:rPr>
          <w:rFonts w:hint="eastAsia" w:ascii="宋体" w:hAnsi="宋体" w:eastAsia="宋体" w:cs="宋体"/>
          <w:sz w:val="24"/>
        </w:rPr>
      </w:pPr>
      <w:r>
        <w:rPr>
          <w:rFonts w:hint="eastAsia" w:ascii="宋体" w:hAnsi="宋体" w:eastAsia="宋体" w:cs="宋体"/>
        </w:rPr>
        <w:drawing>
          <wp:inline distT="0" distB="0" distL="0" distR="0">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noChangeArrowheads="1"/>
                    </pic:cNvPicPr>
                  </pic:nvPicPr>
                  <pic:blipFill>
                    <a:blip r:embed="rId6"/>
                    <a:stretch>
                      <a:fillRect/>
                    </a:stretch>
                  </pic:blipFill>
                  <pic:spPr>
                    <a:xfrm>
                      <a:off x="0" y="0"/>
                      <a:ext cx="4516755" cy="1852930"/>
                    </a:xfrm>
                    <a:prstGeom prst="rect">
                      <a:avLst/>
                    </a:prstGeom>
                    <a:noFill/>
                  </pic:spPr>
                </pic:pic>
              </a:graphicData>
            </a:graphic>
          </wp:inline>
        </w:drawing>
      </w:r>
    </w:p>
    <w:p w14:paraId="524FE688">
      <w:pPr>
        <w:pageBreakBefore w:val="0"/>
        <w:overflowPunct w:val="0"/>
        <w:bidi w:val="0"/>
        <w:spacing w:before="60" w:after="180" w:line="240" w:lineRule="auto"/>
        <w:ind w:firstLineChars="200"/>
        <w:jc w:val="center"/>
        <w:textAlignment w:val="auto"/>
        <w:rPr>
          <w:rFonts w:hint="eastAsia" w:ascii="宋体" w:hAnsi="宋体" w:eastAsia="宋体" w:cs="宋体"/>
          <w:b/>
          <w:bCs/>
          <w:szCs w:val="21"/>
        </w:rPr>
      </w:pPr>
      <w:r>
        <w:rPr>
          <w:rFonts w:hint="eastAsia" w:ascii="宋体" w:hAnsi="宋体" w:eastAsia="宋体" w:cs="宋体"/>
          <w:b w:val="0"/>
          <w:sz w:val="21"/>
        </w:rPr>
        <w:t>图1-2  可见的学习（主题）发文量变化趋势图</w:t>
      </w:r>
    </w:p>
    <w:p w14:paraId="304687C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4FFB231C">
      <w:pPr>
        <w:keepNext/>
        <w:pageBreakBefore w:val="0"/>
        <w:numPr>
          <w:ilvl w:val="0"/>
          <w:numId w:val="4"/>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kern w:val="0"/>
          <w:sz w:val="24"/>
        </w:rPr>
      </w:pPr>
      <w:bookmarkStart w:id="13" w:name="_Toc24363"/>
      <w:r>
        <w:rPr>
          <w:rFonts w:hint="eastAsia" w:ascii="宋体" w:hAnsi="宋体" w:eastAsia="宋体" w:cs="宋体"/>
          <w:b w:val="0"/>
          <w:sz w:val="24"/>
        </w:rPr>
        <w:t>主要研究主题</w:t>
      </w:r>
      <w:bookmarkEnd w:id="13"/>
    </w:p>
    <w:p w14:paraId="2878B422">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1）基本主张与证据基础</w:t>
      </w:r>
    </w:p>
    <w:p w14:paraId="73D1397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w:t>
      </w:r>
      <w:r>
        <w:rPr>
          <w:rStyle w:val="16"/>
          <w:rFonts w:hint="eastAsia" w:ascii="宋体" w:hAnsi="宋体" w:eastAsia="宋体" w:cs="宋体"/>
          <w:b w:val="0"/>
          <w:color w:val="000000"/>
          <w:kern w:val="0"/>
          <w:sz w:val="24"/>
          <w:vertAlign w:val="superscript"/>
        </w:rPr>
        <w:footnoteReference w:id="51"/>
      </w:r>
      <w:r>
        <w:rPr>
          <w:rFonts w:hint="eastAsia" w:ascii="宋体" w:hAnsi="宋体" w:eastAsia="宋体" w:cs="宋体"/>
          <w:b w:val="0"/>
          <w:color w:val="000000"/>
          <w:kern w:val="0"/>
          <w:sz w:val="24"/>
        </w:rPr>
        <w:t>。由于几乎所有教学干预都能带来一定进步，这一框架主张判断一项干预是否值得推广，应看其能否带来高于平均水平的增益。</w:t>
      </w:r>
    </w:p>
    <w:p w14:paraId="136028C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w:t>
      </w:r>
      <w:r>
        <w:rPr>
          <w:rStyle w:val="16"/>
          <w:rFonts w:hint="eastAsia" w:ascii="宋体" w:hAnsi="宋体" w:eastAsia="宋体" w:cs="宋体"/>
          <w:b w:val="0"/>
          <w:color w:val="000000"/>
          <w:kern w:val="0"/>
          <w:sz w:val="24"/>
          <w:vertAlign w:val="superscript"/>
        </w:rPr>
        <w:footnoteReference w:id="52"/>
      </w:r>
      <w:r>
        <w:rPr>
          <w:rFonts w:hint="eastAsia" w:ascii="宋体" w:hAnsi="宋体" w:eastAsia="宋体" w:cs="宋体"/>
          <w:b w:val="0"/>
          <w:color w:val="000000"/>
          <w:kern w:val="0"/>
          <w:sz w:val="24"/>
        </w:rPr>
        <w:t>。可见的学习的核心含义正在于此，即教师能够看见自身教学对学生学习的影响，学生能够看见自己的学习进展并逐步成为自身学习的主导者。</w:t>
      </w:r>
    </w:p>
    <w:p w14:paraId="5B91B4A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较早从教学论角度解读这一理论。可见的学习具有普通教学论的性质，其价值在于把教师、学生、内容和环境组织为相互联系的整体，因素排名并不能直接决定家庭作业、混龄编班等具体制度的取舍，教师如何组合教学条件并把握教学时机同样重要</w:t>
      </w:r>
      <w:r>
        <w:rPr>
          <w:rStyle w:val="16"/>
          <w:rFonts w:hint="eastAsia" w:ascii="宋体" w:hAnsi="宋体" w:eastAsia="宋体" w:cs="宋体"/>
          <w:b w:val="0"/>
          <w:color w:val="000000"/>
          <w:kern w:val="0"/>
          <w:sz w:val="24"/>
          <w:vertAlign w:val="superscript"/>
        </w:rPr>
        <w:footnoteReference w:id="53"/>
      </w:r>
      <w:r>
        <w:rPr>
          <w:rFonts w:hint="eastAsia" w:ascii="宋体" w:hAnsi="宋体" w:eastAsia="宋体" w:cs="宋体"/>
          <w:b w:val="0"/>
          <w:color w:val="000000"/>
          <w:kern w:val="0"/>
          <w:sz w:val="24"/>
        </w:rPr>
        <w:t>。按照教学三角的解释框架，教学处于学生、教师和课程之间，家庭、学校和班级构成外部条件，教师应着力改善那些能够被教学改变的学习条件</w:t>
      </w:r>
      <w:r>
        <w:rPr>
          <w:rStyle w:val="16"/>
          <w:rFonts w:hint="eastAsia" w:ascii="宋体" w:hAnsi="宋体" w:eastAsia="宋体" w:cs="宋体"/>
          <w:b w:val="0"/>
          <w:color w:val="000000"/>
          <w:kern w:val="0"/>
          <w:sz w:val="24"/>
          <w:vertAlign w:val="superscript"/>
        </w:rPr>
        <w:footnoteReference w:id="54"/>
      </w:r>
      <w:r>
        <w:rPr>
          <w:rFonts w:hint="eastAsia" w:ascii="宋体" w:hAnsi="宋体" w:eastAsia="宋体" w:cs="宋体"/>
          <w:b w:val="0"/>
          <w:color w:val="000000"/>
          <w:kern w:val="0"/>
          <w:sz w:val="24"/>
        </w:rPr>
        <w:t>。Hattie的元分析证据与OECD的PISA-TALIS调查在方法和变量上各不相同，但都凸显了教师可信度、教学热忱、反馈能力和支持性课堂环境的作用，为重新重视教师与教学提供了依据；同时，元分析依赖原始研究的数量与质量，PISA-TALIS受到横截面设计和自我报告的限制，相关结果不能直接解释为确定的因果机制</w:t>
      </w:r>
      <w:r>
        <w:rPr>
          <w:rStyle w:val="16"/>
          <w:rFonts w:hint="eastAsia" w:ascii="宋体" w:hAnsi="宋体" w:eastAsia="宋体" w:cs="宋体"/>
          <w:b w:val="0"/>
          <w:color w:val="000000"/>
          <w:kern w:val="0"/>
          <w:sz w:val="24"/>
          <w:vertAlign w:val="superscript"/>
        </w:rPr>
        <w:footnoteReference w:id="55"/>
      </w:r>
      <w:r>
        <w:rPr>
          <w:rFonts w:hint="eastAsia" w:ascii="宋体" w:hAnsi="宋体" w:eastAsia="宋体" w:cs="宋体"/>
          <w:b w:val="0"/>
          <w:color w:val="000000"/>
          <w:kern w:val="0"/>
          <w:sz w:val="24"/>
        </w:rPr>
        <w:t>。</w:t>
      </w:r>
    </w:p>
    <w:p w14:paraId="640CC39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该理论自身也在不断发展。相关著作经历了由元分析综合到教师版、学习科学、影响循环和学校改进的扩展过程，可见的学习2.0在更新数据的同时，进一步反思了机械使用因素排名的做法，更加重视实施方式、教师判断、公平包容和信任关系，形成了更为均衡的教育视角</w:t>
      </w:r>
      <w:r>
        <w:rPr>
          <w:rStyle w:val="16"/>
          <w:rFonts w:hint="eastAsia" w:ascii="宋体" w:hAnsi="宋体" w:eastAsia="宋体" w:cs="宋体"/>
          <w:b w:val="0"/>
          <w:color w:val="000000"/>
          <w:kern w:val="0"/>
          <w:sz w:val="24"/>
          <w:vertAlign w:val="superscript"/>
        </w:rPr>
        <w:footnoteReference w:id="56"/>
      </w:r>
      <w:r>
        <w:rPr>
          <w:rFonts w:hint="eastAsia" w:ascii="宋体" w:hAnsi="宋体" w:eastAsia="宋体" w:cs="宋体"/>
          <w:b w:val="0"/>
          <w:color w:val="000000"/>
          <w:kern w:val="0"/>
          <w:sz w:val="24"/>
        </w:rPr>
        <w:t>。这一变化意味着，理解可见的学习需要从关注哪些因素的效应量更高，转向关注教师如何在具体情境中依据证据改进教学。</w:t>
      </w:r>
    </w:p>
    <w:p w14:paraId="67A1C41F">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2）学习科学基础与学业进阶</w:t>
      </w:r>
    </w:p>
    <w:p w14:paraId="439CD39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对教学的解释建立在学习科学的基础之上。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学习风格匹配、一心多用以及技术能够自动提升学习等流行观念则缺乏证据支持</w:t>
      </w:r>
      <w:r>
        <w:rPr>
          <w:rStyle w:val="16"/>
          <w:rFonts w:hint="eastAsia" w:ascii="宋体" w:hAnsi="宋体" w:eastAsia="宋体" w:cs="宋体"/>
          <w:b w:val="0"/>
          <w:color w:val="000000"/>
          <w:kern w:val="0"/>
          <w:sz w:val="24"/>
          <w:vertAlign w:val="superscript"/>
        </w:rPr>
        <w:footnoteReference w:id="57"/>
      </w:r>
      <w:r>
        <w:rPr>
          <w:rFonts w:hint="eastAsia" w:ascii="宋体" w:hAnsi="宋体" w:eastAsia="宋体" w:cs="宋体"/>
          <w:b w:val="0"/>
          <w:color w:val="000000"/>
          <w:kern w:val="0"/>
          <w:sz w:val="24"/>
        </w:rPr>
        <w:t>。学习科学内部同时存在强调情境与知识建构、强调神经与认知机制两种话语，神经机制需要经过不同层次证据的转化才能进入课堂。综合元分析、心理学和神经科学的材料，可以提炼出神经可塑性、双系统模型、认知负荷、社会脑、动机调控系统和神经普适性六个共通主题，以跨层次证据支持教师的专业判断，学习风格、左右脑等被简化和商业包装的概念则需要警惕</w:t>
      </w:r>
      <w:r>
        <w:rPr>
          <w:rStyle w:val="16"/>
          <w:rFonts w:hint="eastAsia" w:ascii="宋体" w:hAnsi="宋体" w:eastAsia="宋体" w:cs="宋体"/>
          <w:b w:val="0"/>
          <w:color w:val="000000"/>
          <w:kern w:val="0"/>
          <w:sz w:val="24"/>
          <w:vertAlign w:val="superscript"/>
        </w:rPr>
        <w:footnoteReference w:id="58"/>
      </w:r>
      <w:r>
        <w:rPr>
          <w:rFonts w:hint="eastAsia" w:ascii="宋体" w:hAnsi="宋体" w:eastAsia="宋体" w:cs="宋体"/>
          <w:b w:val="0"/>
          <w:color w:val="000000"/>
          <w:kern w:val="0"/>
          <w:sz w:val="24"/>
        </w:rPr>
        <w:t>。</w:t>
      </w:r>
    </w:p>
    <w:p w14:paraId="5111CC4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Style w:val="16"/>
          <w:rFonts w:hint="eastAsia" w:ascii="宋体" w:hAnsi="宋体" w:eastAsia="宋体" w:cs="宋体"/>
          <w:b w:val="0"/>
          <w:color w:val="000000"/>
          <w:kern w:val="0"/>
          <w:sz w:val="24"/>
          <w:vertAlign w:val="superscript"/>
        </w:rPr>
        <w:footnoteReference w:id="59"/>
      </w:r>
      <w:r>
        <w:rPr>
          <w:rFonts w:hint="eastAsia" w:ascii="宋体" w:hAnsi="宋体" w:eastAsia="宋体" w:cs="宋体"/>
          <w:b w:val="0"/>
          <w:color w:val="000000"/>
          <w:kern w:val="0"/>
          <w:sz w:val="24"/>
        </w:rPr>
        <w:t>。</w:t>
      </w:r>
    </w:p>
    <w:p w14:paraId="2637A68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Style w:val="16"/>
          <w:rFonts w:hint="eastAsia" w:ascii="宋体" w:hAnsi="宋体" w:eastAsia="宋体" w:cs="宋体"/>
          <w:b w:val="0"/>
          <w:color w:val="000000"/>
          <w:kern w:val="0"/>
          <w:sz w:val="24"/>
          <w:vertAlign w:val="superscript"/>
        </w:rPr>
        <w:footnoteReference w:id="60"/>
      </w:r>
      <w:r>
        <w:rPr>
          <w:rFonts w:hint="eastAsia" w:ascii="宋体" w:hAnsi="宋体" w:eastAsia="宋体" w:cs="宋体"/>
          <w:b w:val="0"/>
          <w:color w:val="000000"/>
          <w:kern w:val="0"/>
          <w:sz w:val="24"/>
        </w:rPr>
        <w:t>。这一发现提示，学校自行构建的能力进阶描述同样需要在教学实践中检验和修订。</w:t>
      </w:r>
    </w:p>
    <w:p w14:paraId="5371A188">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3）反馈与学生自评</w:t>
      </w:r>
    </w:p>
    <w:p w14:paraId="03013C1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反馈围绕学习要到达哪里、当前处于什么位置、下一步如何推进三个问题展开，把目标、当前表现和后续行动连接起来，并可指向任务、过程和自我调节等不同层面</w:t>
      </w:r>
      <w:r>
        <w:rPr>
          <w:rStyle w:val="16"/>
          <w:rFonts w:hint="eastAsia" w:ascii="宋体" w:hAnsi="宋体" w:eastAsia="宋体" w:cs="宋体"/>
          <w:b w:val="0"/>
          <w:color w:val="000000"/>
          <w:kern w:val="0"/>
          <w:sz w:val="24"/>
          <w:vertAlign w:val="superscript"/>
        </w:rPr>
        <w:footnoteReference w:id="61"/>
      </w:r>
      <w:r>
        <w:rPr>
          <w:rFonts w:hint="eastAsia" w:ascii="宋体" w:hAnsi="宋体" w:eastAsia="宋体" w:cs="宋体"/>
          <w:b w:val="0"/>
          <w:color w:val="000000"/>
          <w:kern w:val="0"/>
          <w:sz w:val="24"/>
        </w:rPr>
        <w:t>。反馈具有双向性，学生的作业、提问和错误同样是教师判断教学效果的信息来源，学校也可以由此建设为持续追问下一步方向的反馈文化</w:t>
      </w:r>
      <w:r>
        <w:rPr>
          <w:rStyle w:val="16"/>
          <w:rFonts w:hint="eastAsia" w:ascii="宋体" w:hAnsi="宋体" w:eastAsia="宋体" w:cs="宋体"/>
          <w:b w:val="0"/>
          <w:color w:val="000000"/>
          <w:kern w:val="0"/>
          <w:sz w:val="24"/>
          <w:vertAlign w:val="superscript"/>
        </w:rPr>
        <w:footnoteReference w:id="62"/>
      </w:r>
      <w:r>
        <w:rPr>
          <w:rFonts w:hint="eastAsia" w:ascii="宋体" w:hAnsi="宋体" w:eastAsia="宋体" w:cs="宋体"/>
          <w:b w:val="0"/>
          <w:color w:val="000000"/>
          <w:kern w:val="0"/>
          <w:sz w:val="24"/>
        </w:rPr>
        <w:t>。课堂观察研究发现，教师往往难以觉察课堂中正在发生的大部分事情，教师自认为讲授仅占课堂时间的二至三成，实际测量却达到七至八成，这说明教师需要借助证据而非仅凭感觉了解课堂</w:t>
      </w:r>
      <w:r>
        <w:rPr>
          <w:rStyle w:val="16"/>
          <w:rFonts w:hint="eastAsia" w:ascii="宋体" w:hAnsi="宋体" w:eastAsia="宋体" w:cs="宋体"/>
          <w:b w:val="0"/>
          <w:color w:val="000000"/>
          <w:kern w:val="0"/>
          <w:sz w:val="24"/>
          <w:vertAlign w:val="superscript"/>
        </w:rPr>
        <w:footnoteReference w:id="63"/>
      </w:r>
      <w:r>
        <w:rPr>
          <w:rFonts w:hint="eastAsia" w:ascii="宋体" w:hAnsi="宋体" w:eastAsia="宋体" w:cs="宋体"/>
          <w:b w:val="0"/>
          <w:color w:val="000000"/>
          <w:kern w:val="0"/>
          <w:sz w:val="24"/>
        </w:rPr>
        <w:t>。反馈的效果还取决于学习者的反馈素养，即理解反馈、判断其合理性、调节面对批评时的情绪并将建议转化为改进行动的能力</w:t>
      </w:r>
      <w:r>
        <w:rPr>
          <w:rStyle w:val="16"/>
          <w:rFonts w:hint="eastAsia" w:ascii="宋体" w:hAnsi="宋体" w:eastAsia="宋体" w:cs="宋体"/>
          <w:b w:val="0"/>
          <w:color w:val="000000"/>
          <w:kern w:val="0"/>
          <w:sz w:val="24"/>
          <w:vertAlign w:val="superscript"/>
        </w:rPr>
        <w:footnoteReference w:id="64"/>
      </w:r>
      <w:r>
        <w:rPr>
          <w:rFonts w:hint="eastAsia" w:ascii="宋体" w:hAnsi="宋体" w:eastAsia="宋体" w:cs="宋体"/>
          <w:b w:val="0"/>
          <w:color w:val="000000"/>
          <w:kern w:val="0"/>
          <w:sz w:val="24"/>
        </w:rPr>
        <w:t>。</w:t>
      </w:r>
    </w:p>
    <w:p w14:paraId="3C5B2EB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在引介反馈模型的基础上作了扩展和本土诊断。从行为主义、认知主义到建构主义，反馈观逐步把学习者的先前知识、信念、情绪以及师生信任纳入考虑，这些因素影响反馈能否被接受，课堂实施还需要统筹反馈的时机、互动结构和媒介，师生双方的反馈素养都需要发展；不同研究对反馈的界定和功能划分并不一致，影响元分析结果的可比性，创造性任务的质量标准具有开放性，难以完全分解为标准化程序，需要通过协商与对话理解成功标准</w:t>
      </w:r>
      <w:r>
        <w:rPr>
          <w:rStyle w:val="16"/>
          <w:rFonts w:hint="eastAsia" w:ascii="宋体" w:hAnsi="宋体" w:eastAsia="宋体" w:cs="宋体"/>
          <w:b w:val="0"/>
          <w:color w:val="000000"/>
          <w:kern w:val="0"/>
          <w:sz w:val="24"/>
          <w:vertAlign w:val="superscript"/>
        </w:rPr>
        <w:footnoteReference w:id="65"/>
      </w:r>
      <w:r>
        <w:rPr>
          <w:rFonts w:hint="eastAsia" w:ascii="宋体" w:hAnsi="宋体" w:eastAsia="宋体" w:cs="宋体"/>
          <w:b w:val="0"/>
          <w:color w:val="000000"/>
          <w:kern w:val="0"/>
          <w:sz w:val="24"/>
        </w:rPr>
        <w:t>。中小学课堂反馈存在方式僵化、内容窄化、环节固化和效能弱化等困境，表现为频繁判断对错、依赖个人表扬、同伴参与不足以及忽视学生对反馈的运用，针对这些问题可以构建包含情境、干预、机制和结果四个要素的课堂反馈模型</w:t>
      </w:r>
      <w:r>
        <w:rPr>
          <w:rStyle w:val="16"/>
          <w:rFonts w:hint="eastAsia" w:ascii="宋体" w:hAnsi="宋体" w:eastAsia="宋体" w:cs="宋体"/>
          <w:b w:val="0"/>
          <w:color w:val="000000"/>
          <w:kern w:val="0"/>
          <w:sz w:val="24"/>
          <w:vertAlign w:val="superscript"/>
        </w:rPr>
        <w:footnoteReference w:id="66"/>
      </w:r>
      <w:r>
        <w:rPr>
          <w:rFonts w:hint="eastAsia" w:ascii="宋体" w:hAnsi="宋体" w:eastAsia="宋体" w:cs="宋体"/>
          <w:b w:val="0"/>
          <w:color w:val="000000"/>
          <w:kern w:val="0"/>
          <w:sz w:val="24"/>
        </w:rPr>
        <w:t>。反馈的接受与行动同样关键，信任关系、欢迎错误的课堂文化以及围绕优秀作品和成功标准的共同讨论，能够把反馈组织为师生之间的双向对话，使评语真正进入学生的修订行动</w:t>
      </w:r>
      <w:r>
        <w:rPr>
          <w:rStyle w:val="16"/>
          <w:rFonts w:hint="eastAsia" w:ascii="宋体" w:hAnsi="宋体" w:eastAsia="宋体" w:cs="宋体"/>
          <w:b w:val="0"/>
          <w:color w:val="000000"/>
          <w:kern w:val="0"/>
          <w:sz w:val="24"/>
          <w:vertAlign w:val="superscript"/>
        </w:rPr>
        <w:footnoteReference w:id="67"/>
      </w:r>
      <w:r>
        <w:rPr>
          <w:rFonts w:hint="eastAsia" w:ascii="宋体" w:hAnsi="宋体" w:eastAsia="宋体" w:cs="宋体"/>
          <w:b w:val="0"/>
          <w:color w:val="000000"/>
          <w:kern w:val="0"/>
          <w:sz w:val="24"/>
        </w:rPr>
        <w:t>。</w:t>
      </w:r>
    </w:p>
    <w:p w14:paraId="2B0193C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反馈的最终指向是学生能够评价和调整自己的学习。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有效管理自主学习，自评能力因而是开展个性化教学的重要前提</w:t>
      </w:r>
      <w:r>
        <w:rPr>
          <w:rStyle w:val="16"/>
          <w:rFonts w:hint="eastAsia" w:ascii="宋体" w:hAnsi="宋体" w:eastAsia="宋体" w:cs="宋体"/>
          <w:b w:val="0"/>
          <w:color w:val="000000"/>
          <w:kern w:val="0"/>
          <w:sz w:val="24"/>
          <w:vertAlign w:val="superscript"/>
        </w:rPr>
        <w:footnoteReference w:id="68"/>
      </w:r>
      <w:r>
        <w:rPr>
          <w:rFonts w:hint="eastAsia" w:ascii="宋体" w:hAnsi="宋体" w:eastAsia="宋体" w:cs="宋体"/>
          <w:b w:val="0"/>
          <w:color w:val="000000"/>
          <w:kern w:val="0"/>
          <w:sz w:val="24"/>
        </w:rPr>
        <w:t>。杭州闻涛中学的实践表明，成功标准可以通过师生讨论共同制订和优化，生长式评价量表能够成为学生的学习支架，教师的元认知示范与领导者组织的协作式专业对话共同支持学生自评能力的发展</w:t>
      </w:r>
      <w:r>
        <w:rPr>
          <w:rStyle w:val="16"/>
          <w:rFonts w:hint="eastAsia" w:ascii="宋体" w:hAnsi="宋体" w:eastAsia="宋体" w:cs="宋体"/>
          <w:b w:val="0"/>
          <w:color w:val="000000"/>
          <w:kern w:val="0"/>
          <w:sz w:val="24"/>
          <w:vertAlign w:val="superscript"/>
        </w:rPr>
        <w:footnoteReference w:id="69"/>
      </w:r>
      <w:r>
        <w:rPr>
          <w:rFonts w:hint="eastAsia" w:ascii="宋体" w:hAnsi="宋体" w:eastAsia="宋体" w:cs="宋体"/>
          <w:b w:val="0"/>
          <w:color w:val="000000"/>
          <w:kern w:val="0"/>
          <w:sz w:val="24"/>
        </w:rPr>
        <w:t>。</w:t>
      </w:r>
    </w:p>
    <w:p w14:paraId="24388C35">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4）教师心智框架与教学模式</w:t>
      </w:r>
    </w:p>
    <w:p w14:paraId="1237C1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Style w:val="16"/>
          <w:rFonts w:hint="eastAsia" w:ascii="宋体" w:hAnsi="宋体" w:eastAsia="宋体" w:cs="宋体"/>
          <w:b w:val="0"/>
          <w:color w:val="000000"/>
          <w:kern w:val="0"/>
          <w:sz w:val="24"/>
          <w:vertAlign w:val="superscript"/>
        </w:rPr>
        <w:footnoteReference w:id="70"/>
      </w:r>
      <w:r>
        <w:rPr>
          <w:rFonts w:hint="eastAsia" w:ascii="宋体" w:hAnsi="宋体" w:eastAsia="宋体" w:cs="宋体"/>
          <w:b w:val="0"/>
          <w:color w:val="000000"/>
          <w:kern w:val="0"/>
          <w:sz w:val="24"/>
        </w:rPr>
        <w:t>。</w:t>
      </w:r>
    </w:p>
    <w:p w14:paraId="25DED91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研究对教师心智框架的讨论更多结合中国教育传统展开。Hattie和Zierer后来将教师思维框架扩展为十个心智框架，它与《学记》中的教师信条在教师专业责任、合作、教学时机和学生自主发展方面具有共识，前者更突出学习证据与评价反馈，后者更重视社会责任以及学生离开教师后的独立性；根据学生准备程度、任务难度和情境变化选择恰当支持的教育机敏，由此被视为卓越教师的核心</w:t>
      </w:r>
      <w:r>
        <w:rPr>
          <w:rStyle w:val="16"/>
          <w:rFonts w:hint="eastAsia" w:ascii="宋体" w:hAnsi="宋体" w:eastAsia="宋体" w:cs="宋体"/>
          <w:b w:val="0"/>
          <w:color w:val="000000"/>
          <w:kern w:val="0"/>
          <w:sz w:val="24"/>
          <w:vertAlign w:val="superscript"/>
        </w:rPr>
        <w:footnoteReference w:id="71"/>
      </w:r>
      <w:r>
        <w:rPr>
          <w:rFonts w:hint="eastAsia" w:ascii="宋体" w:hAnsi="宋体" w:eastAsia="宋体" w:cs="宋体"/>
          <w:b w:val="0"/>
          <w:color w:val="000000"/>
          <w:kern w:val="0"/>
          <w:sz w:val="24"/>
        </w:rPr>
        <w:t>。心智框架还对应着教师的专业品质，批判性思维使教师能够检验自身方法、理解他者视角并调整决策，教学热忱经过长期反思与实践，会转化为捕捉学生状态、把握教学时机的教育直觉</w:t>
      </w:r>
      <w:r>
        <w:rPr>
          <w:rStyle w:val="16"/>
          <w:rFonts w:hint="eastAsia" w:ascii="宋体" w:hAnsi="宋体" w:eastAsia="宋体" w:cs="宋体"/>
          <w:b w:val="0"/>
          <w:color w:val="000000"/>
          <w:kern w:val="0"/>
          <w:sz w:val="24"/>
          <w:vertAlign w:val="superscript"/>
        </w:rPr>
        <w:footnoteReference w:id="72"/>
      </w:r>
      <w:r>
        <w:rPr>
          <w:rFonts w:hint="eastAsia" w:ascii="宋体" w:hAnsi="宋体" w:eastAsia="宋体" w:cs="宋体"/>
          <w:b w:val="0"/>
          <w:color w:val="000000"/>
          <w:kern w:val="0"/>
          <w:sz w:val="24"/>
        </w:rPr>
        <w:t>。</w:t>
      </w:r>
    </w:p>
    <w:p w14:paraId="6686607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教学过程层面，Hattie及其合作者提出的DIIE模式把教学组织为诊断与发现、干预、实施和评估四个阶段，可以作为教师共享的教学语言。诊断关注学生的先前知识、学习意愿与动力，干预针对当前水平与目标之间的差距选择策略，实施强调明确目标、适当任务和差异化支持，评估依据成功标准收集证据并决定后续方向；支持方式可以区分为补偿性支持与适应性支持，评估应同时考察成就与进步，对高成就但进步有限的学生同样需要重新审视支持方式</w:t>
      </w:r>
      <w:r>
        <w:rPr>
          <w:rStyle w:val="16"/>
          <w:rFonts w:hint="eastAsia" w:ascii="宋体" w:hAnsi="宋体" w:eastAsia="宋体" w:cs="宋体"/>
          <w:b w:val="0"/>
          <w:color w:val="000000"/>
          <w:kern w:val="0"/>
          <w:sz w:val="24"/>
          <w:vertAlign w:val="superscript"/>
        </w:rPr>
        <w:footnoteReference w:id="73"/>
      </w:r>
      <w:r>
        <w:rPr>
          <w:rFonts w:hint="eastAsia" w:ascii="宋体" w:hAnsi="宋体" w:eastAsia="宋体" w:cs="宋体"/>
          <w:b w:val="0"/>
          <w:color w:val="000000"/>
          <w:kern w:val="0"/>
          <w:sz w:val="24"/>
        </w:rPr>
        <w:t>。共享的教学语言使教师能够围绕学生证据讨论和调整教学，这为本课题建构四步调节的教学模型提供了直接参照。</w:t>
      </w:r>
    </w:p>
    <w:p w14:paraId="0FF80D5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5）学校改进、领导力与家校协同</w:t>
      </w:r>
    </w:p>
    <w:p w14:paraId="2FBC684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Style w:val="16"/>
          <w:rFonts w:hint="eastAsia" w:ascii="宋体" w:hAnsi="宋体" w:eastAsia="宋体" w:cs="宋体"/>
          <w:b w:val="0"/>
          <w:color w:val="000000"/>
          <w:kern w:val="0"/>
          <w:sz w:val="24"/>
          <w:vertAlign w:val="superscript"/>
        </w:rPr>
        <w:footnoteReference w:id="74"/>
      </w:r>
      <w:r>
        <w:rPr>
          <w:rFonts w:hint="eastAsia" w:ascii="宋体" w:hAnsi="宋体" w:eastAsia="宋体" w:cs="宋体"/>
          <w:b w:val="0"/>
          <w:color w:val="000000"/>
          <w:kern w:val="0"/>
          <w:sz w:val="24"/>
        </w:rPr>
        <w:t>。有效的专业学习共同体通常具有聚焦学生学习的共同愿景、对学生学业成效的集体责任、反思性的专业探究以及超越一般互助的深度协作等特征</w:t>
      </w:r>
      <w:r>
        <w:rPr>
          <w:rStyle w:val="16"/>
          <w:rFonts w:hint="eastAsia" w:ascii="宋体" w:hAnsi="宋体" w:eastAsia="宋体" w:cs="宋体"/>
          <w:b w:val="0"/>
          <w:color w:val="000000"/>
          <w:kern w:val="0"/>
          <w:sz w:val="24"/>
          <w:vertAlign w:val="superscript"/>
        </w:rPr>
        <w:footnoteReference w:id="75"/>
      </w:r>
      <w:r>
        <w:rPr>
          <w:rFonts w:hint="eastAsia" w:ascii="宋体" w:hAnsi="宋体" w:eastAsia="宋体" w:cs="宋体"/>
          <w:b w:val="0"/>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r>
        <w:rPr>
          <w:rStyle w:val="16"/>
          <w:rFonts w:hint="eastAsia" w:ascii="宋体" w:hAnsi="宋体" w:eastAsia="宋体" w:cs="宋体"/>
          <w:b w:val="0"/>
          <w:color w:val="000000"/>
          <w:kern w:val="0"/>
          <w:sz w:val="24"/>
          <w:vertAlign w:val="superscript"/>
        </w:rPr>
        <w:footnoteReference w:id="76"/>
      </w:r>
      <w:r>
        <w:rPr>
          <w:rFonts w:hint="eastAsia" w:ascii="宋体" w:hAnsi="宋体" w:eastAsia="宋体" w:cs="宋体"/>
          <w:b w:val="0"/>
          <w:color w:val="000000"/>
          <w:kern w:val="0"/>
          <w:sz w:val="24"/>
        </w:rPr>
        <w:t>。</w:t>
      </w:r>
    </w:p>
    <w:p w14:paraId="734587C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r>
        <w:rPr>
          <w:rStyle w:val="16"/>
          <w:rFonts w:hint="eastAsia" w:ascii="宋体" w:hAnsi="宋体" w:eastAsia="宋体" w:cs="宋体"/>
          <w:b w:val="0"/>
          <w:color w:val="000000"/>
          <w:kern w:val="0"/>
          <w:sz w:val="24"/>
          <w:vertAlign w:val="superscript"/>
        </w:rPr>
        <w:footnoteReference w:id="77"/>
      </w:r>
      <w:r>
        <w:rPr>
          <w:rFonts w:hint="eastAsia" w:ascii="宋体" w:hAnsi="宋体" w:eastAsia="宋体" w:cs="宋体"/>
          <w:b w:val="0"/>
          <w:color w:val="000000"/>
          <w:kern w:val="0"/>
          <w:sz w:val="24"/>
        </w:rPr>
        <w:t>。另一方面，把课例研究作为教师共同检验教学方案的正式机制，有助于将教师自身的探究与外部研究证据结合起来</w:t>
      </w:r>
      <w:r>
        <w:rPr>
          <w:rStyle w:val="16"/>
          <w:rFonts w:hint="eastAsia" w:ascii="宋体" w:hAnsi="宋体" w:eastAsia="宋体" w:cs="宋体"/>
          <w:b w:val="0"/>
          <w:color w:val="000000"/>
          <w:kern w:val="0"/>
          <w:sz w:val="24"/>
          <w:vertAlign w:val="superscript"/>
        </w:rPr>
        <w:footnoteReference w:id="78"/>
      </w:r>
      <w:r>
        <w:rPr>
          <w:rFonts w:hint="eastAsia" w:ascii="宋体" w:hAnsi="宋体" w:eastAsia="宋体" w:cs="宋体"/>
          <w:b w:val="0"/>
          <w:color w:val="000000"/>
          <w:kern w:val="0"/>
          <w:sz w:val="24"/>
        </w:rPr>
        <w:t>。教研活动的关键在于是否聚焦学生真实的学习表现，并在多轮实践中检验改进是否有效。</w:t>
      </w:r>
    </w:p>
    <w:p w14:paraId="01668A6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校领导者在其中承担组织证据使用的责任。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w:t>
      </w:r>
      <w:r>
        <w:rPr>
          <w:rStyle w:val="16"/>
          <w:rFonts w:hint="eastAsia" w:ascii="宋体" w:hAnsi="宋体" w:eastAsia="宋体" w:cs="宋体"/>
          <w:b w:val="0"/>
          <w:color w:val="000000"/>
          <w:kern w:val="0"/>
          <w:sz w:val="24"/>
          <w:vertAlign w:val="superscript"/>
        </w:rPr>
        <w:footnoteReference w:id="79"/>
      </w:r>
      <w:r>
        <w:rPr>
          <w:rFonts w:hint="eastAsia" w:ascii="宋体" w:hAnsi="宋体" w:eastAsia="宋体" w:cs="宋体"/>
          <w:b w:val="0"/>
          <w:color w:val="000000"/>
          <w:kern w:val="0"/>
          <w:sz w:val="24"/>
        </w:rPr>
        <w:t>。可见的学习的影响还延伸到家庭。针对中国家庭中常见的作业焦虑和过度干预，父母需要把明确的界限与积极回应、自主空间结合起来，以具体的任务反馈替代笼统表扬，并示范承认错误、分析过程和制定改进计划，使家庭成为支持学生学习的力量</w:t>
      </w:r>
      <w:r>
        <w:rPr>
          <w:rStyle w:val="16"/>
          <w:rFonts w:hint="eastAsia" w:ascii="宋体" w:hAnsi="宋体" w:eastAsia="宋体" w:cs="宋体"/>
          <w:b w:val="0"/>
          <w:color w:val="000000"/>
          <w:kern w:val="0"/>
          <w:sz w:val="24"/>
          <w:vertAlign w:val="superscript"/>
        </w:rPr>
        <w:footnoteReference w:id="80"/>
      </w:r>
      <w:r>
        <w:rPr>
          <w:rFonts w:hint="eastAsia" w:ascii="宋体" w:hAnsi="宋体" w:eastAsia="宋体" w:cs="宋体"/>
          <w:b w:val="0"/>
          <w:color w:val="000000"/>
          <w:kern w:val="0"/>
          <w:sz w:val="24"/>
        </w:rPr>
        <w:t>。</w:t>
      </w:r>
    </w:p>
    <w:p w14:paraId="079D708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6）学科教学与项目化学习中的应用</w:t>
      </w:r>
    </w:p>
    <w:p w14:paraId="75C8305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来，国内研究开始把可见的学习转化为学科教学和项目化学习的具体设计。在语文学科，针对课堂目标模糊和浅层学习等问题，教学重构可以从设计、过程和评价三个维度展开，确立主要目标，通过追问、讨论和教师示范促进学生的认知改变，并运用成就水平检查单考察表层知识、深层理解和概念性思维</w:t>
      </w:r>
      <w:r>
        <w:rPr>
          <w:rStyle w:val="16"/>
          <w:rFonts w:hint="eastAsia" w:ascii="宋体" w:hAnsi="宋体" w:eastAsia="宋体" w:cs="宋体"/>
          <w:b w:val="0"/>
          <w:color w:val="000000"/>
          <w:kern w:val="0"/>
          <w:sz w:val="24"/>
          <w:vertAlign w:val="superscript"/>
        </w:rPr>
        <w:footnoteReference w:id="81"/>
      </w:r>
      <w:r>
        <w:rPr>
          <w:rFonts w:hint="eastAsia" w:ascii="宋体" w:hAnsi="宋体" w:eastAsia="宋体" w:cs="宋体"/>
          <w:b w:val="0"/>
          <w:color w:val="000000"/>
          <w:kern w:val="0"/>
          <w:sz w:val="24"/>
        </w:rPr>
        <w:t>。在化学学科，依据初中化学课程标准构建的学习分析框架由目标、知识、实践和评价四个要素组成，以酸性土壤改良为例，方案设计、实验操作、定量分析和评价量表共同提供学习证据，用以诊断知识理解与实际表现之间的差距</w:t>
      </w:r>
      <w:r>
        <w:rPr>
          <w:rStyle w:val="16"/>
          <w:rFonts w:hint="eastAsia" w:ascii="宋体" w:hAnsi="宋体" w:eastAsia="宋体" w:cs="宋体"/>
          <w:b w:val="0"/>
          <w:color w:val="000000"/>
          <w:kern w:val="0"/>
          <w:sz w:val="24"/>
          <w:vertAlign w:val="superscript"/>
        </w:rPr>
        <w:footnoteReference w:id="82"/>
      </w:r>
      <w:r>
        <w:rPr>
          <w:rFonts w:hint="eastAsia" w:ascii="宋体" w:hAnsi="宋体" w:eastAsia="宋体" w:cs="宋体"/>
          <w:b w:val="0"/>
          <w:color w:val="000000"/>
          <w:kern w:val="0"/>
          <w:sz w:val="24"/>
        </w:rPr>
        <w:t>。表层、深度和迁移学习模型也已被具体化为语文议论文、数学函数和科学生态系统的教学设计，实施的关键在于教师准确判断学生所处的阶段，避免在基础不足时过早提高复杂要求，或在学生已形成深度理解后继续重复表层练习</w:t>
      </w:r>
      <w:r>
        <w:rPr>
          <w:rStyle w:val="16"/>
          <w:rFonts w:hint="eastAsia" w:ascii="宋体" w:hAnsi="宋体" w:eastAsia="宋体" w:cs="宋体"/>
          <w:b w:val="0"/>
          <w:color w:val="000000"/>
          <w:kern w:val="0"/>
          <w:sz w:val="24"/>
          <w:vertAlign w:val="superscript"/>
        </w:rPr>
        <w:footnoteReference w:id="83"/>
      </w:r>
      <w:r>
        <w:rPr>
          <w:rFonts w:hint="eastAsia" w:ascii="宋体" w:hAnsi="宋体" w:eastAsia="宋体" w:cs="宋体"/>
          <w:b w:val="0"/>
          <w:color w:val="000000"/>
          <w:kern w:val="0"/>
          <w:sz w:val="24"/>
        </w:rPr>
        <w:t>。</w:t>
      </w:r>
    </w:p>
    <w:p w14:paraId="79A6989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项目化学习是另一类重要的应用场域。已有研究中项目式学习的效果差异较大，结合巴克教育研究所提出的项目式学习金标准，项目式学习可以被理解为整合多种高影响策略的开放框架，基础知识学习可以采用直接教学，深化理解和方案设计则需要适当的支架与启发，设计中需要明确目标与挑战性问题、分层指导、以评价反馈持续改进并重视学生声音与选择</w:t>
      </w:r>
      <w:r>
        <w:rPr>
          <w:rStyle w:val="16"/>
          <w:rFonts w:hint="eastAsia" w:ascii="宋体" w:hAnsi="宋体" w:eastAsia="宋体" w:cs="宋体"/>
          <w:b w:val="0"/>
          <w:color w:val="000000"/>
          <w:kern w:val="0"/>
          <w:sz w:val="24"/>
          <w:vertAlign w:val="superscript"/>
        </w:rPr>
        <w:footnoteReference w:id="84"/>
      </w:r>
      <w:r>
        <w:rPr>
          <w:rFonts w:hint="eastAsia" w:ascii="宋体" w:hAnsi="宋体" w:eastAsia="宋体" w:cs="宋体"/>
          <w:b w:val="0"/>
          <w:color w:val="000000"/>
          <w:kern w:val="0"/>
          <w:sz w:val="24"/>
        </w:rPr>
        <w:t>。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w:t>
      </w:r>
      <w:r>
        <w:rPr>
          <w:rStyle w:val="16"/>
          <w:rFonts w:hint="eastAsia" w:ascii="宋体" w:hAnsi="宋体" w:eastAsia="宋体" w:cs="宋体"/>
          <w:b w:val="0"/>
          <w:color w:val="000000"/>
          <w:kern w:val="0"/>
          <w:sz w:val="24"/>
          <w:vertAlign w:val="superscript"/>
        </w:rPr>
        <w:footnoteReference w:id="85"/>
      </w:r>
      <w:r>
        <w:rPr>
          <w:rFonts w:hint="eastAsia" w:ascii="宋体" w:hAnsi="宋体" w:eastAsia="宋体" w:cs="宋体"/>
          <w:b w:val="0"/>
          <w:color w:val="000000"/>
          <w:kern w:val="0"/>
          <w:sz w:val="24"/>
        </w:rPr>
        <w:t>。总体来看，这些研究为可见的学习的本土转化提供了丰富案例，但多聚焦于单一学科、单一环节或单个项目，对高阶能力的整体结构及其在多个场域中的持续发展关注不足。</w:t>
      </w:r>
    </w:p>
    <w:p w14:paraId="15F54670">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color w:val="000000"/>
          <w:kern w:val="0"/>
          <w:sz w:val="24"/>
        </w:rPr>
      </w:pPr>
      <w:r>
        <w:rPr>
          <w:rFonts w:hint="eastAsia" w:ascii="宋体" w:hAnsi="宋体" w:eastAsia="宋体" w:cs="宋体"/>
          <w:b w:val="0"/>
          <w:kern w:val="0"/>
          <w:sz w:val="24"/>
        </w:rPr>
        <w:t>7）全球迁移、学术争议与本研究的使用立场</w:t>
      </w:r>
    </w:p>
    <w:p w14:paraId="45777B9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可见的学习在国际上影响广泛，同时也受到持续的学术批评。厘清这些批评，有助于明确本研究应在何种意义上使用该理论。</w:t>
      </w:r>
    </w:p>
    <w:p w14:paraId="3A20BE2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w:t>
      </w:r>
      <w:r>
        <w:rPr>
          <w:rStyle w:val="16"/>
          <w:rFonts w:hint="eastAsia" w:ascii="宋体" w:hAnsi="宋体" w:eastAsia="宋体" w:cs="宋体"/>
          <w:b w:val="0"/>
          <w:color w:val="000000"/>
          <w:kern w:val="0"/>
          <w:sz w:val="24"/>
          <w:vertAlign w:val="superscript"/>
        </w:rPr>
        <w:footnoteReference w:id="86"/>
      </w:r>
      <w:r>
        <w:rPr>
          <w:rFonts w:hint="eastAsia" w:ascii="宋体" w:hAnsi="宋体" w:eastAsia="宋体" w:cs="宋体"/>
          <w:b w:val="0"/>
          <w:color w:val="000000"/>
          <w:kern w:val="0"/>
          <w:sz w:val="24"/>
        </w:rPr>
        <w:t>。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t>
      </w:r>
      <w:r>
        <w:rPr>
          <w:rStyle w:val="16"/>
          <w:rFonts w:hint="eastAsia" w:ascii="宋体" w:hAnsi="宋体" w:eastAsia="宋体" w:cs="宋体"/>
          <w:b w:val="0"/>
          <w:color w:val="000000"/>
          <w:kern w:val="0"/>
          <w:sz w:val="24"/>
          <w:vertAlign w:val="superscript"/>
        </w:rPr>
        <w:footnoteReference w:id="87"/>
      </w:r>
      <w:r>
        <w:rPr>
          <w:rFonts w:hint="eastAsia" w:ascii="宋体" w:hAnsi="宋体" w:eastAsia="宋体" w:cs="宋体"/>
          <w:b w:val="0"/>
          <w:color w:val="000000"/>
          <w:kern w:val="0"/>
          <w:sz w:val="24"/>
        </w:rPr>
        <w:t>。数值示例还表明，同一组数据采用不同公式计算效应量，可能得出完全相反的排序</w:t>
      </w:r>
      <w:r>
        <w:rPr>
          <w:rStyle w:val="16"/>
          <w:rFonts w:hint="eastAsia" w:ascii="宋体" w:hAnsi="宋体" w:eastAsia="宋体" w:cs="宋体"/>
          <w:b w:val="0"/>
          <w:color w:val="000000"/>
          <w:kern w:val="0"/>
          <w:sz w:val="24"/>
          <w:vertAlign w:val="superscript"/>
        </w:rPr>
        <w:footnoteReference w:id="88"/>
      </w:r>
      <w:r>
        <w:rPr>
          <w:rFonts w:hint="eastAsia" w:ascii="宋体" w:hAnsi="宋体" w:eastAsia="宋体" w:cs="宋体"/>
          <w:b w:val="0"/>
          <w:color w:val="000000"/>
          <w:kern w:val="0"/>
          <w:sz w:val="24"/>
        </w:rPr>
        <w:t>；大量元分析的层层汇总也会导致原始研究中的具体信息丢失或被扭曲</w:t>
      </w:r>
      <w:r>
        <w:rPr>
          <w:rStyle w:val="16"/>
          <w:rFonts w:hint="eastAsia" w:ascii="宋体" w:hAnsi="宋体" w:eastAsia="宋体" w:cs="宋体"/>
          <w:b w:val="0"/>
          <w:color w:val="000000"/>
          <w:kern w:val="0"/>
          <w:sz w:val="24"/>
          <w:vertAlign w:val="superscript"/>
        </w:rPr>
        <w:footnoteReference w:id="89"/>
      </w:r>
      <w:r>
        <w:rPr>
          <w:rFonts w:hint="eastAsia" w:ascii="宋体" w:hAnsi="宋体" w:eastAsia="宋体" w:cs="宋体"/>
          <w:b w:val="0"/>
          <w:color w:val="000000"/>
          <w:kern w:val="0"/>
          <w:sz w:val="24"/>
        </w:rPr>
        <w:t>。</w:t>
      </w:r>
    </w:p>
    <w:p w14:paraId="355F8CE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w:t>
      </w:r>
      <w:r>
        <w:rPr>
          <w:rStyle w:val="16"/>
          <w:rFonts w:hint="eastAsia" w:ascii="宋体" w:hAnsi="宋体" w:eastAsia="宋体" w:cs="宋体"/>
          <w:b w:val="0"/>
          <w:color w:val="000000"/>
          <w:kern w:val="0"/>
          <w:sz w:val="24"/>
          <w:vertAlign w:val="superscript"/>
        </w:rPr>
        <w:footnoteReference w:id="90"/>
      </w:r>
      <w:r>
        <w:rPr>
          <w:rFonts w:hint="eastAsia" w:ascii="宋体" w:hAnsi="宋体" w:eastAsia="宋体" w:cs="宋体"/>
          <w:b w:val="0"/>
          <w:color w:val="000000"/>
          <w:kern w:val="0"/>
          <w:sz w:val="24"/>
        </w:rPr>
        <w:t>。元分析所依据的多为标准化考试成绩，偏重表层知识，对深层理解和批判性思维的反映有限</w:t>
      </w:r>
      <w:r>
        <w:rPr>
          <w:rStyle w:val="16"/>
          <w:rFonts w:hint="eastAsia" w:ascii="宋体" w:hAnsi="宋体" w:eastAsia="宋体" w:cs="宋体"/>
          <w:b w:val="0"/>
          <w:color w:val="000000"/>
          <w:kern w:val="0"/>
          <w:sz w:val="24"/>
          <w:vertAlign w:val="superscript"/>
        </w:rPr>
        <w:footnoteReference w:id="91"/>
      </w:r>
      <w:r>
        <w:rPr>
          <w:rFonts w:hint="eastAsia" w:ascii="宋体" w:hAnsi="宋体" w:eastAsia="宋体" w:cs="宋体"/>
          <w:b w:val="0"/>
          <w:color w:val="000000"/>
          <w:kern w:val="0"/>
          <w:sz w:val="24"/>
        </w:rPr>
        <w:t>。这些批评表明，反馈发挥作用需要具体指向任务和改进方法，并被学生理解和使用。</w:t>
      </w:r>
    </w:p>
    <w:p w14:paraId="1EB5585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第三类批评针对理论在实践中的使用方式和适用范围。若行政部门把可见的学习转化为以高效应量方法清单考核教师的工具，会削弱教师依据具体情境作出专业判断的能力</w:t>
      </w:r>
      <w:r>
        <w:rPr>
          <w:rStyle w:val="16"/>
          <w:rFonts w:hint="eastAsia" w:ascii="宋体" w:hAnsi="宋体" w:eastAsia="宋体" w:cs="宋体"/>
          <w:b w:val="0"/>
          <w:color w:val="000000"/>
          <w:kern w:val="0"/>
          <w:sz w:val="24"/>
          <w:vertAlign w:val="superscript"/>
        </w:rPr>
        <w:footnoteReference w:id="92"/>
      </w:r>
      <w:r>
        <w:rPr>
          <w:rFonts w:hint="eastAsia" w:ascii="宋体" w:hAnsi="宋体" w:eastAsia="宋体" w:cs="宋体"/>
          <w:b w:val="0"/>
          <w:color w:val="000000"/>
          <w:kern w:val="0"/>
          <w:sz w:val="24"/>
        </w:rPr>
        <w:t>。原始元分析主要来自英语国家的研究，直接迁移到非英语国家和不同社会文化环境时存在适应性问题</w:t>
      </w:r>
      <w:r>
        <w:rPr>
          <w:rStyle w:val="16"/>
          <w:rFonts w:hint="eastAsia" w:ascii="宋体" w:hAnsi="宋体" w:eastAsia="宋体" w:cs="宋体"/>
          <w:b w:val="0"/>
          <w:color w:val="000000"/>
          <w:kern w:val="0"/>
          <w:sz w:val="24"/>
          <w:vertAlign w:val="superscript"/>
        </w:rPr>
        <w:footnoteReference w:id="93"/>
      </w:r>
      <w:r>
        <w:rPr>
          <w:rFonts w:hint="eastAsia" w:ascii="宋体" w:hAnsi="宋体" w:eastAsia="宋体" w:cs="宋体"/>
          <w:b w:val="0"/>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Style w:val="16"/>
          <w:rFonts w:hint="eastAsia" w:ascii="宋体" w:hAnsi="宋体" w:eastAsia="宋体" w:cs="宋体"/>
          <w:b w:val="0"/>
          <w:color w:val="000000"/>
          <w:kern w:val="0"/>
          <w:sz w:val="24"/>
          <w:vertAlign w:val="superscript"/>
        </w:rPr>
        <w:footnoteReference w:id="94"/>
      </w:r>
      <w:r>
        <w:rPr>
          <w:rFonts w:hint="eastAsia" w:ascii="宋体" w:hAnsi="宋体" w:eastAsia="宋体" w:cs="宋体"/>
          <w:b w:val="0"/>
          <w:color w:val="000000"/>
          <w:kern w:val="0"/>
          <w:sz w:val="24"/>
        </w:rPr>
        <w:t>。</w:t>
      </w:r>
    </w:p>
    <w:p w14:paraId="53AB6A9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学界对这一理论同样保持了审慎态度。可见的学习讲述的仍是一个未完成的故事，其研究主要来自发达英语国家，当教育结果主要以考试分数界定时，创造力、批判力和公民责任等难以测量的成果容易被忽视，把改变学业分化的希望全部寄托于学校内部因素，也可能导向过于乐观的学校决定论</w:t>
      </w:r>
      <w:r>
        <w:rPr>
          <w:rStyle w:val="16"/>
          <w:rFonts w:hint="eastAsia" w:ascii="宋体" w:hAnsi="宋体" w:eastAsia="宋体" w:cs="宋体"/>
          <w:b w:val="0"/>
          <w:color w:val="000000"/>
          <w:kern w:val="0"/>
          <w:sz w:val="24"/>
          <w:vertAlign w:val="superscript"/>
        </w:rPr>
        <w:footnoteReference w:id="95"/>
      </w:r>
      <w:r>
        <w:rPr>
          <w:rFonts w:hint="eastAsia" w:ascii="宋体" w:hAnsi="宋体" w:eastAsia="宋体" w:cs="宋体"/>
          <w:b w:val="0"/>
          <w:color w:val="000000"/>
          <w:kern w:val="0"/>
          <w:sz w:val="24"/>
        </w:rPr>
        <w:t>。教育受到情境、互动和历史变化的影响，原始研究的质量和学业成就的界定都限制了综合结果的解释力，在肯定教育科学化价值的同时仍需保持方法的多样性</w:t>
      </w:r>
      <w:r>
        <w:rPr>
          <w:rStyle w:val="16"/>
          <w:rFonts w:hint="eastAsia" w:ascii="宋体" w:hAnsi="宋体" w:eastAsia="宋体" w:cs="宋体"/>
          <w:b w:val="0"/>
          <w:color w:val="000000"/>
          <w:kern w:val="0"/>
          <w:sz w:val="24"/>
          <w:vertAlign w:val="superscript"/>
        </w:rPr>
        <w:footnoteReference w:id="96"/>
      </w:r>
      <w:r>
        <w:rPr>
          <w:rFonts w:hint="eastAsia" w:ascii="宋体" w:hAnsi="宋体" w:eastAsia="宋体" w:cs="宋体"/>
          <w:b w:val="0"/>
          <w:color w:val="000000"/>
          <w:kern w:val="0"/>
          <w:sz w:val="24"/>
        </w:rPr>
        <w:t>。</w:t>
      </w:r>
    </w:p>
    <w:p w14:paraId="54304D4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近年的研究进一步把视角转向理论的跨国传播。该理论的传播大致呈现英语国家的政策嵌入，德国、日本及北欧的学术对话转化，以及北美的商业驱动扩散三种模式，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w:t>
      </w:r>
      <w:r>
        <w:rPr>
          <w:rStyle w:val="16"/>
          <w:rFonts w:hint="eastAsia" w:ascii="宋体" w:hAnsi="宋体" w:eastAsia="宋体" w:cs="宋体"/>
          <w:b w:val="0"/>
          <w:color w:val="000000"/>
          <w:kern w:val="0"/>
          <w:sz w:val="24"/>
          <w:vertAlign w:val="superscript"/>
        </w:rPr>
        <w:footnoteReference w:id="97"/>
      </w:r>
      <w:r>
        <w:rPr>
          <w:rFonts w:hint="eastAsia" w:ascii="宋体" w:hAnsi="宋体" w:eastAsia="宋体" w:cs="宋体"/>
          <w:b w:val="0"/>
          <w:color w:val="000000"/>
          <w:kern w:val="0"/>
          <w:sz w:val="24"/>
        </w:rPr>
        <w:t>。复杂知识在传播中还可能被简化为教学公式，评价可能被理解为监控工具，理论的科学性需要与教师的专业自主和创造性参与相结合，才能支持真正的教育改进</w:t>
      </w:r>
      <w:r>
        <w:rPr>
          <w:rStyle w:val="16"/>
          <w:rFonts w:hint="eastAsia" w:ascii="宋体" w:hAnsi="宋体" w:eastAsia="宋体" w:cs="宋体"/>
          <w:b w:val="0"/>
          <w:color w:val="000000"/>
          <w:kern w:val="0"/>
          <w:sz w:val="24"/>
          <w:vertAlign w:val="superscript"/>
        </w:rPr>
        <w:footnoteReference w:id="98"/>
      </w:r>
      <w:r>
        <w:rPr>
          <w:rFonts w:hint="eastAsia" w:ascii="宋体" w:hAnsi="宋体" w:eastAsia="宋体" w:cs="宋体"/>
          <w:b w:val="0"/>
          <w:color w:val="000000"/>
          <w:kern w:val="0"/>
          <w:sz w:val="24"/>
        </w:rPr>
        <w:t>。</w:t>
      </w:r>
    </w:p>
    <w:p w14:paraId="7279CDE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7CDF434D">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4" w:name="_Toc2602"/>
      <w:r>
        <w:rPr>
          <w:rFonts w:hint="eastAsia" w:ascii="宋体" w:hAnsi="宋体" w:eastAsia="宋体" w:cs="宋体"/>
          <w:b w:val="0"/>
          <w:sz w:val="24"/>
        </w:rPr>
        <w:t>可见的学习与高阶能力培育的契合</w:t>
      </w:r>
      <w:bookmarkEnd w:id="14"/>
    </w:p>
    <w:p w14:paraId="122A3CD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29DC031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国内已有研究直接从可见的学习视角讨论高阶能力的培养。依据Hattie的学习模型，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勇于教授高阶能力</w:t>
      </w:r>
      <w:r>
        <w:rPr>
          <w:rStyle w:val="16"/>
          <w:rFonts w:hint="eastAsia" w:ascii="宋体" w:hAnsi="宋体" w:eastAsia="宋体" w:cs="宋体"/>
          <w:b w:val="0"/>
          <w:color w:val="000000"/>
          <w:kern w:val="0"/>
          <w:sz w:val="24"/>
          <w:vertAlign w:val="superscript"/>
        </w:rPr>
        <w:footnoteReference w:id="99"/>
      </w:r>
      <w:r>
        <w:rPr>
          <w:rFonts w:hint="eastAsia" w:ascii="宋体" w:hAnsi="宋体" w:eastAsia="宋体" w:cs="宋体"/>
          <w:b w:val="0"/>
          <w:color w:val="000000"/>
          <w:kern w:val="0"/>
          <w:sz w:val="24"/>
        </w:rPr>
        <w:t>。刻意练习研究进一步表明，高质量的练习需要通过任务分析明确子技能和目标，以具体反馈持续调整表现，并由教师、专家或同伴提供示范与支架，支持随能力发展逐步减少，学生由此承担更多规划、监控和反思的责任</w:t>
      </w:r>
      <w:r>
        <w:rPr>
          <w:rStyle w:val="16"/>
          <w:rFonts w:hint="eastAsia" w:ascii="宋体" w:hAnsi="宋体" w:eastAsia="宋体" w:cs="宋体"/>
          <w:b w:val="0"/>
          <w:color w:val="000000"/>
          <w:kern w:val="0"/>
          <w:sz w:val="24"/>
          <w:vertAlign w:val="superscript"/>
        </w:rPr>
        <w:footnoteReference w:id="100"/>
      </w:r>
      <w:r>
        <w:rPr>
          <w:rFonts w:hint="eastAsia" w:ascii="宋体" w:hAnsi="宋体" w:eastAsia="宋体" w:cs="宋体"/>
          <w:b w:val="0"/>
          <w:color w:val="000000"/>
          <w:kern w:val="0"/>
          <w:sz w:val="24"/>
        </w:rPr>
        <w:t>。这些研究表明，高阶能力需要有计划地教授，学习进阶、有意对齐和反馈支架是可见的学习连接高阶能力培养的关键概念。</w:t>
      </w:r>
    </w:p>
    <w:p w14:paraId="18B6F3E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2E9076F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792E049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r>
        <w:rPr>
          <w:rStyle w:val="16"/>
          <w:rFonts w:hint="eastAsia" w:ascii="宋体" w:hAnsi="宋体" w:eastAsia="宋体" w:cs="宋体"/>
          <w:b w:val="0"/>
          <w:color w:val="000000"/>
          <w:kern w:val="0"/>
          <w:sz w:val="24"/>
          <w:vertAlign w:val="superscript"/>
        </w:rPr>
        <w:footnoteReference w:id="101"/>
      </w:r>
      <w:r>
        <w:rPr>
          <w:rFonts w:hint="eastAsia" w:ascii="宋体" w:hAnsi="宋体" w:eastAsia="宋体" w:cs="宋体"/>
          <w:b w:val="0"/>
          <w:color w:val="000000"/>
          <w:kern w:val="0"/>
          <w:sz w:val="24"/>
        </w:rPr>
        <w:t>。以实践者探究方式检验外部理念的经验也表明，学校对外部理论的吸收需要经过本校课堂证据的检验和校准</w:t>
      </w:r>
      <w:r>
        <w:rPr>
          <w:rStyle w:val="16"/>
          <w:rFonts w:hint="eastAsia" w:ascii="宋体" w:hAnsi="宋体" w:eastAsia="宋体" w:cs="宋体"/>
          <w:b w:val="0"/>
          <w:color w:val="000000"/>
          <w:kern w:val="0"/>
          <w:sz w:val="24"/>
          <w:vertAlign w:val="superscript"/>
        </w:rPr>
        <w:footnoteReference w:id="102"/>
      </w:r>
      <w:r>
        <w:rPr>
          <w:rFonts w:hint="eastAsia" w:ascii="宋体" w:hAnsi="宋体" w:eastAsia="宋体" w:cs="宋体"/>
          <w:b w:val="0"/>
          <w:color w:val="000000"/>
          <w:kern w:val="0"/>
          <w:sz w:val="24"/>
        </w:rPr>
        <w:t>。这为本课题以行动研究推动模型在学校中的生成和修正提供了依据。</w:t>
      </w:r>
    </w:p>
    <w:p w14:paraId="794445F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77E74E7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118272B0">
      <w:pPr>
        <w:keepNext/>
        <w:pageBreakBefore w:val="0"/>
        <w:numPr>
          <w:ilvl w:val="0"/>
          <w:numId w:val="2"/>
        </w:numPr>
        <w:overflowPunct w:val="0"/>
        <w:bidi w:val="0"/>
        <w:spacing w:before="0" w:after="0" w:line="360" w:lineRule="auto"/>
        <w:ind w:left="0" w:leftChars="0" w:firstLine="480" w:firstLineChars="200"/>
        <w:jc w:val="both"/>
        <w:textAlignment w:val="auto"/>
        <w:outlineLvl w:val="2"/>
        <w:rPr>
          <w:rFonts w:hint="eastAsia" w:ascii="宋体" w:hAnsi="宋体" w:eastAsia="宋体" w:cs="宋体"/>
          <w:b/>
          <w:sz w:val="24"/>
        </w:rPr>
      </w:pPr>
      <w:bookmarkStart w:id="15" w:name="_Toc12586"/>
      <w:r>
        <w:rPr>
          <w:rFonts w:hint="eastAsia" w:ascii="宋体" w:hAnsi="宋体" w:eastAsia="宋体" w:cs="宋体"/>
          <w:b w:val="0"/>
          <w:sz w:val="24"/>
        </w:rPr>
        <w:t>已有研究的不足与本研究的切入点</w:t>
      </w:r>
      <w:bookmarkEnd w:id="15"/>
    </w:p>
    <w:p w14:paraId="17654E6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已有研究在高阶能力和可见的学习两方面都形成了较为丰富的理论与实证基础，但就本课题关注的问题而言，仍存在三个方面的不足。</w:t>
      </w:r>
    </w:p>
    <w:p w14:paraId="15A15A1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44B185A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19DFD1B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Style w:val="16"/>
          <w:rFonts w:hint="eastAsia" w:ascii="宋体" w:hAnsi="宋体" w:eastAsia="宋体" w:cs="宋体"/>
          <w:b w:val="0"/>
          <w:color w:val="000000"/>
          <w:kern w:val="0"/>
          <w:sz w:val="24"/>
          <w:vertAlign w:val="superscript"/>
        </w:rPr>
        <w:footnoteReference w:id="103"/>
      </w:r>
      <w:r>
        <w:rPr>
          <w:rFonts w:hint="eastAsia" w:ascii="宋体" w:hAnsi="宋体" w:eastAsia="宋体" w:cs="宋体"/>
          <w:b w:val="0"/>
          <w:color w:val="000000"/>
          <w:kern w:val="0"/>
          <w:sz w:val="24"/>
        </w:rPr>
        <w:t>。</w:t>
      </w:r>
    </w:p>
    <w:p w14:paraId="0B07D6F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第三，在研究情境上，关于高阶思维与数智技术的实证研究大多以大学生为对象，基础教育阶段的证据较少且结果不稳定</w:t>
      </w:r>
      <w:r>
        <w:rPr>
          <w:rStyle w:val="16"/>
          <w:rFonts w:hint="eastAsia" w:ascii="宋体" w:hAnsi="宋体" w:eastAsia="宋体" w:cs="宋体"/>
          <w:b w:val="0"/>
          <w:color w:val="000000"/>
          <w:kern w:val="0"/>
          <w:sz w:val="24"/>
          <w:vertAlign w:val="superscript"/>
        </w:rPr>
        <w:footnoteReference w:id="104"/>
      </w:r>
      <w:r>
        <w:rPr>
          <w:rFonts w:hint="eastAsia" w:ascii="宋体" w:hAnsi="宋体" w:eastAsia="宋体" w:cs="宋体"/>
          <w:b w:val="0"/>
          <w:color w:val="000000"/>
          <w:kern w:val="0"/>
          <w:sz w:val="24"/>
        </w:rPr>
        <w:t>，一所学校在多个学科和多种学习场域中持续开展、多轮改进的研究也较为缺乏。</w:t>
      </w:r>
    </w:p>
    <w:p w14:paraId="15DD2AE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74E28D9A">
      <w:pPr>
        <w:keepNext/>
        <w:pageBreakBefore w:val="0"/>
        <w:numPr>
          <w:ilvl w:val="0"/>
          <w:numId w:val="1"/>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16" w:name="_Toc4061"/>
      <w:r>
        <w:rPr>
          <w:rFonts w:hint="eastAsia" w:ascii="宋体" w:hAnsi="宋体" w:eastAsia="宋体" w:cs="宋体"/>
          <w:b w:val="0"/>
          <w:bCs/>
          <w:sz w:val="24"/>
        </w:rPr>
        <w:t>研究意义</w:t>
      </w:r>
      <w:bookmarkEnd w:id="16"/>
    </w:p>
    <w:p w14:paraId="613618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7" w:name="_Toc21918"/>
      <w:r>
        <w:rPr>
          <w:rFonts w:hint="eastAsia" w:ascii="宋体" w:hAnsi="宋体" w:eastAsia="宋体" w:cs="宋体"/>
          <w:b/>
          <w:kern w:val="0"/>
          <w:sz w:val="28"/>
        </w:rPr>
        <w:t>1.理论意义</w:t>
      </w:r>
      <w:bookmarkEnd w:id="17"/>
    </w:p>
    <w:p w14:paraId="29178E3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283AA7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8" w:name="_Toc2050"/>
      <w:r>
        <w:rPr>
          <w:rFonts w:hint="eastAsia" w:ascii="宋体" w:hAnsi="宋体" w:eastAsia="宋体" w:cs="宋体"/>
          <w:b/>
          <w:kern w:val="0"/>
          <w:sz w:val="28"/>
        </w:rPr>
        <w:t>2.实践意义</w:t>
      </w:r>
      <w:bookmarkEnd w:id="18"/>
    </w:p>
    <w:p w14:paraId="0E0B33F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51BA8CA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19" w:name="_Toc10833"/>
      <w:r>
        <w:rPr>
          <w:rFonts w:hint="eastAsia" w:ascii="宋体" w:hAnsi="宋体" w:eastAsia="宋体" w:cs="宋体"/>
          <w:b/>
          <w:kern w:val="0"/>
          <w:sz w:val="28"/>
        </w:rPr>
        <w:t>3.方法意义</w:t>
      </w:r>
      <w:bookmarkEnd w:id="19"/>
    </w:p>
    <w:p w14:paraId="684125D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666C0B7E">
      <w:pPr>
        <w:keepNext/>
        <w:pageBreakBefore w:val="0"/>
        <w:numPr>
          <w:numId w:val="0"/>
        </w:numPr>
        <w:tabs>
          <w:tab w:val="left" w:pos="0"/>
        </w:tabs>
        <w:overflowPunct w:val="0"/>
        <w:bidi w:val="0"/>
        <w:spacing w:before="0" w:after="0" w:line="360" w:lineRule="auto"/>
        <w:ind w:leftChars="200"/>
        <w:jc w:val="both"/>
        <w:textAlignment w:val="auto"/>
        <w:outlineLvl w:val="0"/>
        <w:rPr>
          <w:rFonts w:hint="eastAsia" w:ascii="宋体" w:hAnsi="宋体" w:eastAsia="宋体" w:cs="宋体"/>
          <w:b/>
          <w:bCs w:val="0"/>
          <w:sz w:val="28"/>
          <w:szCs w:val="28"/>
        </w:rPr>
      </w:pPr>
      <w:bookmarkStart w:id="20" w:name="_Toc2460"/>
      <w:r>
        <w:rPr>
          <w:rFonts w:hint="eastAsia" w:ascii="宋体" w:hAnsi="宋体" w:eastAsia="宋体" w:cs="宋体"/>
          <w:b/>
          <w:bCs w:val="0"/>
          <w:sz w:val="28"/>
          <w:szCs w:val="28"/>
          <w:lang w:val="en-US" w:eastAsia="zh-CN"/>
        </w:rPr>
        <w:t>二、</w:t>
      </w:r>
      <w:r>
        <w:rPr>
          <w:rFonts w:hint="eastAsia" w:ascii="宋体" w:hAnsi="宋体" w:eastAsia="宋体" w:cs="宋体"/>
          <w:b/>
          <w:bCs w:val="0"/>
          <w:sz w:val="28"/>
          <w:szCs w:val="28"/>
        </w:rPr>
        <w:t>思路与设计</w:t>
      </w:r>
      <w:bookmarkEnd w:id="20"/>
    </w:p>
    <w:p w14:paraId="3B7E8226">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1" w:name="_Toc256"/>
      <w:r>
        <w:rPr>
          <w:rFonts w:hint="eastAsia" w:ascii="宋体" w:hAnsi="宋体" w:eastAsia="宋体" w:cs="宋体"/>
          <w:b w:val="0"/>
          <w:bCs/>
          <w:sz w:val="24"/>
        </w:rPr>
        <w:t>核心概念界定</w:t>
      </w:r>
      <w:bookmarkEnd w:id="21"/>
    </w:p>
    <w:p w14:paraId="48445F7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第一部分已经梳理了高阶能力和可见的学习的研究脉络。本部分不再重复理论来源，只说明本研究中三个核心概念的具体含义，以及它们在研究中如何被观察和测量。</w:t>
      </w:r>
    </w:p>
    <w:p w14:paraId="5757DAC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2" w:name="_Toc25401"/>
      <w:r>
        <w:rPr>
          <w:rFonts w:hint="eastAsia" w:ascii="宋体" w:hAnsi="宋体" w:eastAsia="宋体" w:cs="宋体"/>
          <w:b/>
          <w:kern w:val="0"/>
          <w:sz w:val="28"/>
        </w:rPr>
        <w:t>1.中学生高阶能力</w:t>
      </w:r>
      <w:bookmarkEnd w:id="22"/>
    </w:p>
    <w:p w14:paraId="7A4688F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17AC41E1">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23" w:name="_Toc2771"/>
      <w:r>
        <w:rPr>
          <w:rFonts w:hint="eastAsia" w:ascii="宋体" w:hAnsi="宋体" w:eastAsia="宋体" w:cs="宋体"/>
          <w:b w:val="0"/>
          <w:kern w:val="0"/>
          <w:sz w:val="24"/>
        </w:rPr>
        <w:t>（1）高阶思维能力</w:t>
      </w:r>
      <w:bookmarkEnd w:id="23"/>
    </w:p>
    <w:p w14:paraId="0BBC105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25C061B9">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分析</w:t>
      </w:r>
      <w:r>
        <w:rPr>
          <w:rFonts w:hint="eastAsia" w:ascii="宋体" w:hAnsi="宋体" w:eastAsia="宋体" w:cs="宋体"/>
          <w:b w:val="0"/>
          <w:kern w:val="0"/>
          <w:sz w:val="24"/>
        </w:rPr>
        <w:t>，指学生能够分解复杂问题，辨别不同信息、条件和变量之间的关系，抓住问题的关键要素及其内在联系。</w:t>
      </w:r>
    </w:p>
    <w:p w14:paraId="3956027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评价</w:t>
      </w:r>
      <w:r>
        <w:rPr>
          <w:rFonts w:hint="eastAsia" w:ascii="宋体" w:hAnsi="宋体" w:eastAsia="宋体" w:cs="宋体"/>
          <w:b w:val="0"/>
          <w:kern w:val="0"/>
          <w:sz w:val="24"/>
        </w:rPr>
        <w:t>，指学生能够依据事实、证据或一定标准，对观点、方法、过程和结果进行比较、判断、质疑和反思。</w:t>
      </w:r>
    </w:p>
    <w:p w14:paraId="44B927D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创造</w:t>
      </w:r>
      <w:r>
        <w:rPr>
          <w:rFonts w:hint="eastAsia" w:ascii="宋体" w:hAnsi="宋体" w:eastAsia="宋体" w:cs="宋体"/>
          <w:b w:val="0"/>
          <w:kern w:val="0"/>
          <w:sz w:val="24"/>
        </w:rPr>
        <w:t>，指学生能够综合已有知识和经验，形成新的观点、方案、解释或作品，并把已有知识和方法迁移到新的问题情境中。</w:t>
      </w:r>
    </w:p>
    <w:p w14:paraId="622AD9B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问题解决、迁移和元认知在本研究中不另设维度，而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27F24F3">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24" w:name="_Toc29410"/>
      <w:r>
        <w:rPr>
          <w:rFonts w:hint="eastAsia" w:ascii="宋体" w:hAnsi="宋体" w:eastAsia="宋体" w:cs="宋体"/>
          <w:b w:val="0"/>
          <w:kern w:val="0"/>
          <w:sz w:val="24"/>
        </w:rPr>
        <w:t>（2）高阶社会情感能力</w:t>
      </w:r>
      <w:bookmarkEnd w:id="24"/>
    </w:p>
    <w:p w14:paraId="7AEEA4B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35793EE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责任担当</w:t>
      </w:r>
      <w:r>
        <w:rPr>
          <w:rFonts w:hint="eastAsia" w:ascii="宋体" w:hAnsi="宋体" w:eastAsia="宋体" w:cs="宋体"/>
          <w:b w:val="0"/>
          <w:kern w:val="0"/>
          <w:sz w:val="24"/>
        </w:rPr>
        <w:t>，指学生能够明确任务目标和个人职责，主动投入并坚持完成任务，对个人学习和团队成果负责。</w:t>
      </w:r>
    </w:p>
    <w:p w14:paraId="154F5AC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情绪调节</w:t>
      </w:r>
      <w:r>
        <w:rPr>
          <w:rFonts w:hint="eastAsia" w:ascii="宋体" w:hAnsi="宋体" w:eastAsia="宋体" w:cs="宋体"/>
          <w:b w:val="0"/>
          <w:kern w:val="0"/>
          <w:sz w:val="24"/>
        </w:rPr>
        <w:t>，指学生面对困难、压力、失败和观点冲突时，能够调节自己的情绪和行为，保持相对稳定的学习状态并继续行动。</w:t>
      </w:r>
    </w:p>
    <w:p w14:paraId="5685436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合作共情</w:t>
      </w:r>
      <w:r>
        <w:rPr>
          <w:rFonts w:hint="eastAsia" w:ascii="宋体" w:hAnsi="宋体" w:eastAsia="宋体" w:cs="宋体"/>
          <w:b w:val="0"/>
          <w:kern w:val="0"/>
          <w:sz w:val="24"/>
        </w:rPr>
        <w:t>，指学生能够倾听、理解和尊重他人的观点与感受，通过表达、协商、支持和共同建构，与他人合作解决问题。</w:t>
      </w:r>
    </w:p>
    <w:p w14:paraId="6EC9C80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bCs/>
          <w:kern w:val="0"/>
          <w:sz w:val="24"/>
        </w:rPr>
        <w:t>包容创新</w:t>
      </w:r>
      <w:r>
        <w:rPr>
          <w:rFonts w:hint="eastAsia" w:ascii="宋体" w:hAnsi="宋体" w:eastAsia="宋体" w:cs="宋体"/>
          <w:b w:val="0"/>
          <w:kern w:val="0"/>
          <w:sz w:val="24"/>
        </w:rPr>
        <w:t>，指学生面对新问题、不同观点和不确定结果时，能够保持好奇和开放，接纳不同信息，并在尝试、调整和反思中形成新的想法或方案。</w:t>
      </w:r>
    </w:p>
    <w:p w14:paraId="132B46D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32B4334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A5C860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5" w:name="_Toc273"/>
      <w:r>
        <w:rPr>
          <w:rFonts w:hint="eastAsia" w:ascii="宋体" w:hAnsi="宋体" w:eastAsia="宋体" w:cs="宋体"/>
          <w:b/>
          <w:kern w:val="0"/>
          <w:sz w:val="28"/>
        </w:rPr>
        <w:t>2.可见的学习</w:t>
      </w:r>
      <w:bookmarkEnd w:id="25"/>
    </w:p>
    <w:p w14:paraId="3A89903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71BB0D9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5C8D2B6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生是否发言、是否讨论、是否完成任务，只是外显行为；更重要的是学生的分析、判断、创造、责任承担、情绪调节和合作过程，能否通过真实的学习表现逐步呈现出来，并转化为师生都能理解和使用的学习证据。</w:t>
      </w:r>
    </w:p>
    <w:p w14:paraId="56E08491">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6" w:name="_Toc6815"/>
      <w:r>
        <w:rPr>
          <w:rFonts w:hint="eastAsia" w:ascii="宋体" w:hAnsi="宋体" w:eastAsia="宋体" w:cs="宋体"/>
          <w:b/>
          <w:kern w:val="0"/>
          <w:sz w:val="28"/>
        </w:rPr>
        <w:t>3.学习证据</w:t>
      </w:r>
      <w:bookmarkEnd w:id="26"/>
    </w:p>
    <w:p w14:paraId="523219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67224648">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7" w:name="_Toc31761"/>
      <w:r>
        <w:rPr>
          <w:rFonts w:hint="eastAsia" w:ascii="宋体" w:hAnsi="宋体" w:eastAsia="宋体" w:cs="宋体"/>
          <w:b w:val="0"/>
          <w:bCs/>
          <w:sz w:val="24"/>
        </w:rPr>
        <w:t>理论框架</w:t>
      </w:r>
      <w:bookmarkEnd w:id="27"/>
    </w:p>
    <w:p w14:paraId="20F4FDC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2CFB614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据此，本研究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3DA66C1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5EEB87C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sz w:val="24"/>
        </w:rPr>
        <w:t>学习证据按五个层面组织，即后文模型中的五见，包括目标可见、思维可见、证据可见、进步可见和能力可见。表1-1说明了每个层面对应的可见的学习要素、主要学习证据和证据用途。</w:t>
      </w:r>
    </w:p>
    <w:p w14:paraId="1BFEDA81">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kern w:val="0"/>
          <w:sz w:val="24"/>
        </w:rPr>
      </w:pPr>
      <w:r>
        <w:rPr>
          <w:rFonts w:hint="eastAsia" w:ascii="宋体" w:hAnsi="宋体" w:eastAsia="宋体" w:cs="宋体"/>
          <w:b w:val="0"/>
          <w:sz w:val="21"/>
        </w:rPr>
        <w:t>表1-1  五见与可见的学习要素及学习证据的对应关系</w:t>
      </w:r>
    </w:p>
    <w:tbl>
      <w:tblPr>
        <w:tblStyle w:val="12"/>
        <w:tblW w:w="8519" w:type="dxa"/>
        <w:jc w:val="center"/>
        <w:tblLayout w:type="fixed"/>
        <w:tblCellMar>
          <w:top w:w="0" w:type="dxa"/>
          <w:left w:w="0" w:type="dxa"/>
          <w:bottom w:w="0" w:type="dxa"/>
          <w:right w:w="0" w:type="dxa"/>
        </w:tblCellMar>
      </w:tblPr>
      <w:tblGrid>
        <w:gridCol w:w="1191"/>
        <w:gridCol w:w="2046"/>
        <w:gridCol w:w="2641"/>
        <w:gridCol w:w="2641"/>
      </w:tblGrid>
      <w:tr w14:paraId="243836A3">
        <w:tblPrEx>
          <w:tblCellMar>
            <w:top w:w="0" w:type="dxa"/>
            <w:left w:w="0" w:type="dxa"/>
            <w:bottom w:w="0" w:type="dxa"/>
            <w:right w:w="0" w:type="dxa"/>
          </w:tblCellMar>
        </w:tblPrEx>
        <w:trPr>
          <w:cantSplit/>
          <w:tblHeader/>
          <w:jc w:val="center"/>
        </w:trPr>
        <w:tc>
          <w:tcPr>
            <w:tcW w:w="1191" w:type="dxa"/>
            <w:tcBorders>
              <w:top w:val="single" w:color="000000" w:sz="12" w:space="0"/>
              <w:bottom w:val="single" w:color="000000" w:sz="6" w:space="0"/>
            </w:tcBorders>
            <w:vAlign w:val="center"/>
          </w:tcPr>
          <w:p w14:paraId="1561DA14">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证据层面</w:t>
            </w:r>
          </w:p>
        </w:tc>
        <w:tc>
          <w:tcPr>
            <w:tcW w:w="2046" w:type="dxa"/>
            <w:tcBorders>
              <w:top w:val="single" w:color="000000" w:sz="12" w:space="0"/>
              <w:bottom w:val="single" w:color="000000" w:sz="6" w:space="0"/>
            </w:tcBorders>
            <w:vAlign w:val="center"/>
          </w:tcPr>
          <w:p w14:paraId="35DC442E">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对应的可见的学习要素</w:t>
            </w:r>
          </w:p>
        </w:tc>
        <w:tc>
          <w:tcPr>
            <w:tcW w:w="2641" w:type="dxa"/>
            <w:tcBorders>
              <w:top w:val="single" w:color="000000" w:sz="12" w:space="0"/>
              <w:bottom w:val="single" w:color="000000" w:sz="6" w:space="0"/>
            </w:tcBorders>
            <w:vAlign w:val="center"/>
          </w:tcPr>
          <w:p w14:paraId="74E7BB74">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主要学习证据</w:t>
            </w:r>
          </w:p>
        </w:tc>
        <w:tc>
          <w:tcPr>
            <w:tcW w:w="2641" w:type="dxa"/>
            <w:tcBorders>
              <w:top w:val="single" w:color="000000" w:sz="12" w:space="0"/>
              <w:bottom w:val="single" w:color="000000" w:sz="6" w:space="0"/>
            </w:tcBorders>
            <w:vAlign w:val="center"/>
          </w:tcPr>
          <w:p w14:paraId="3DA4A1B3">
            <w:pPr>
              <w:overflowPunct w:val="0"/>
              <w:bidi w:val="0"/>
              <w:snapToGrid w:val="0"/>
              <w:spacing w:before="0" w:after="0" w:line="240" w:lineRule="auto"/>
              <w:ind w:firstLineChars="200"/>
              <w:jc w:val="center"/>
              <w:textAlignment w:val="auto"/>
              <w:rPr>
                <w:rFonts w:hint="eastAsia" w:ascii="宋体" w:hAnsi="宋体" w:eastAsia="宋体" w:cs="宋体"/>
                <w:b/>
                <w:sz w:val="18"/>
              </w:rPr>
            </w:pPr>
            <w:r>
              <w:rPr>
                <w:rFonts w:hint="eastAsia" w:ascii="宋体" w:hAnsi="宋体" w:eastAsia="宋体" w:cs="宋体"/>
                <w:b/>
                <w:sz w:val="21"/>
              </w:rPr>
              <w:t>证据用途</w:t>
            </w:r>
          </w:p>
        </w:tc>
      </w:tr>
      <w:tr w14:paraId="579CB495">
        <w:tblPrEx>
          <w:tblCellMar>
            <w:top w:w="0" w:type="dxa"/>
            <w:left w:w="0" w:type="dxa"/>
            <w:bottom w:w="0" w:type="dxa"/>
            <w:right w:w="0" w:type="dxa"/>
          </w:tblCellMar>
        </w:tblPrEx>
        <w:trPr>
          <w:cantSplit/>
          <w:jc w:val="center"/>
        </w:trPr>
        <w:tc>
          <w:tcPr>
            <w:tcW w:w="1191" w:type="dxa"/>
            <w:vAlign w:val="center"/>
          </w:tcPr>
          <w:p w14:paraId="3420AECE">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目标可见</w:t>
            </w:r>
          </w:p>
        </w:tc>
        <w:tc>
          <w:tcPr>
            <w:tcW w:w="2046" w:type="dxa"/>
            <w:vAlign w:val="center"/>
          </w:tcPr>
          <w:p w14:paraId="0F7ECDA2">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学习意图与成功标准</w:t>
            </w:r>
          </w:p>
        </w:tc>
        <w:tc>
          <w:tcPr>
            <w:tcW w:w="2641" w:type="dxa"/>
            <w:vAlign w:val="center"/>
          </w:tcPr>
          <w:p w14:paraId="6668BEAE">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学习目标表述、成功标准、学生对目标的复述</w:t>
            </w:r>
          </w:p>
        </w:tc>
        <w:tc>
          <w:tcPr>
            <w:tcW w:w="2641" w:type="dxa"/>
            <w:vAlign w:val="center"/>
          </w:tcPr>
          <w:p w14:paraId="6350E7E3">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判断学生是否理解学习指向和达成要求</w:t>
            </w:r>
          </w:p>
        </w:tc>
      </w:tr>
      <w:tr w14:paraId="0971D61F">
        <w:tblPrEx>
          <w:tblCellMar>
            <w:top w:w="0" w:type="dxa"/>
            <w:left w:w="0" w:type="dxa"/>
            <w:bottom w:w="0" w:type="dxa"/>
            <w:right w:w="0" w:type="dxa"/>
          </w:tblCellMar>
        </w:tblPrEx>
        <w:trPr>
          <w:cantSplit/>
          <w:jc w:val="center"/>
        </w:trPr>
        <w:tc>
          <w:tcPr>
            <w:tcW w:w="1191" w:type="dxa"/>
            <w:vAlign w:val="center"/>
          </w:tcPr>
          <w:p w14:paraId="1DBD009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思维可见</w:t>
            </w:r>
          </w:p>
        </w:tc>
        <w:tc>
          <w:tcPr>
            <w:tcW w:w="2046" w:type="dxa"/>
            <w:vAlign w:val="center"/>
          </w:tcPr>
          <w:p w14:paraId="7AA23BFB">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反馈三问中的当前位置判断</w:t>
            </w:r>
          </w:p>
        </w:tc>
        <w:tc>
          <w:tcPr>
            <w:tcW w:w="2641" w:type="dxa"/>
            <w:vAlign w:val="center"/>
          </w:tcPr>
          <w:p w14:paraId="7F408D3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问题拆解说明、论证图、讨论记录、追问回应</w:t>
            </w:r>
          </w:p>
        </w:tc>
        <w:tc>
          <w:tcPr>
            <w:tcW w:w="2641" w:type="dxa"/>
            <w:vAlign w:val="center"/>
          </w:tcPr>
          <w:p w14:paraId="04940D48">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依据布卢姆分类与SOLO分类判断思维层次</w:t>
            </w:r>
          </w:p>
        </w:tc>
      </w:tr>
      <w:tr w14:paraId="1DFA71AC">
        <w:tblPrEx>
          <w:tblCellMar>
            <w:top w:w="0" w:type="dxa"/>
            <w:left w:w="0" w:type="dxa"/>
            <w:bottom w:w="0" w:type="dxa"/>
            <w:right w:w="0" w:type="dxa"/>
          </w:tblCellMar>
        </w:tblPrEx>
        <w:trPr>
          <w:cantSplit/>
          <w:jc w:val="center"/>
        </w:trPr>
        <w:tc>
          <w:tcPr>
            <w:tcW w:w="1191" w:type="dxa"/>
            <w:vAlign w:val="center"/>
          </w:tcPr>
          <w:p w14:paraId="7557DBA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证据可见</w:t>
            </w:r>
          </w:p>
        </w:tc>
        <w:tc>
          <w:tcPr>
            <w:tcW w:w="2046" w:type="dxa"/>
            <w:vAlign w:val="center"/>
          </w:tcPr>
          <w:p w14:paraId="1263D9E1">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教师依据证据判断教学影响</w:t>
            </w:r>
          </w:p>
        </w:tc>
        <w:tc>
          <w:tcPr>
            <w:tcW w:w="2641" w:type="dxa"/>
            <w:vAlign w:val="center"/>
          </w:tcPr>
          <w:p w14:paraId="3007D825">
            <w:pPr>
              <w:overflowPunct w:val="0"/>
              <w:bidi w:val="0"/>
              <w:snapToGrid w:val="0"/>
              <w:spacing w:before="0" w:after="0" w:line="240" w:lineRule="auto"/>
              <w:ind w:firstLineChars="200"/>
              <w:jc w:val="left"/>
              <w:textAlignment w:val="auto"/>
              <w:rPr>
                <w:rFonts w:hint="eastAsia" w:ascii="宋体" w:hAnsi="宋体" w:eastAsia="宋体" w:cs="宋体"/>
                <w:sz w:val="18"/>
              </w:rPr>
            </w:pPr>
            <w:r>
              <w:rPr>
                <w:rFonts w:hint="eastAsia" w:ascii="宋体" w:hAnsi="宋体" w:eastAsia="宋体" w:cs="宋体"/>
                <w:sz w:val="21"/>
              </w:rPr>
              <w:t>课堂观察记录、学生作品、实验数据、AI课堂行为数据</w:t>
            </w:r>
          </w:p>
        </w:tc>
        <w:tc>
          <w:tcPr>
            <w:tcW w:w="2641" w:type="dxa"/>
            <w:vAlign w:val="center"/>
          </w:tcPr>
          <w:p w14:paraId="63772F09">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支持教师的诊断与干预决策</w:t>
            </w:r>
          </w:p>
        </w:tc>
      </w:tr>
      <w:tr w14:paraId="466070E7">
        <w:tblPrEx>
          <w:tblCellMar>
            <w:top w:w="0" w:type="dxa"/>
            <w:left w:w="0" w:type="dxa"/>
            <w:bottom w:w="0" w:type="dxa"/>
            <w:right w:w="0" w:type="dxa"/>
          </w:tblCellMar>
        </w:tblPrEx>
        <w:trPr>
          <w:cantSplit/>
          <w:jc w:val="center"/>
        </w:trPr>
        <w:tc>
          <w:tcPr>
            <w:tcW w:w="1191" w:type="dxa"/>
            <w:vAlign w:val="center"/>
          </w:tcPr>
          <w:p w14:paraId="5553F9FB">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进步可见</w:t>
            </w:r>
          </w:p>
        </w:tc>
        <w:tc>
          <w:tcPr>
            <w:tcW w:w="2046" w:type="dxa"/>
            <w:vAlign w:val="center"/>
          </w:tcPr>
          <w:p w14:paraId="3965813A">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反馈与修订</w:t>
            </w:r>
          </w:p>
        </w:tc>
        <w:tc>
          <w:tcPr>
            <w:tcW w:w="2641" w:type="dxa"/>
            <w:vAlign w:val="center"/>
          </w:tcPr>
          <w:p w14:paraId="4C2F8102">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初稿与修订稿、方案迭代记录、前后测结果</w:t>
            </w:r>
          </w:p>
        </w:tc>
        <w:tc>
          <w:tcPr>
            <w:tcW w:w="2641" w:type="dxa"/>
            <w:vAlign w:val="center"/>
          </w:tcPr>
          <w:p w14:paraId="61315069">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比较前后表现，判断变化方向与幅度</w:t>
            </w:r>
          </w:p>
        </w:tc>
      </w:tr>
      <w:tr w14:paraId="3FB5111E">
        <w:tblPrEx>
          <w:tblCellMar>
            <w:top w:w="0" w:type="dxa"/>
            <w:left w:w="0" w:type="dxa"/>
            <w:bottom w:w="0" w:type="dxa"/>
            <w:right w:w="0" w:type="dxa"/>
          </w:tblCellMar>
        </w:tblPrEx>
        <w:trPr>
          <w:cantSplit/>
          <w:jc w:val="center"/>
        </w:trPr>
        <w:tc>
          <w:tcPr>
            <w:tcW w:w="1191" w:type="dxa"/>
            <w:tcBorders>
              <w:bottom w:val="single" w:color="000000" w:sz="12" w:space="0"/>
            </w:tcBorders>
            <w:vAlign w:val="center"/>
          </w:tcPr>
          <w:p w14:paraId="720F7FB1">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能力可见</w:t>
            </w:r>
          </w:p>
        </w:tc>
        <w:tc>
          <w:tcPr>
            <w:tcW w:w="2046" w:type="dxa"/>
            <w:tcBorders>
              <w:bottom w:val="single" w:color="000000" w:sz="12" w:space="0"/>
            </w:tcBorders>
            <w:vAlign w:val="center"/>
          </w:tcPr>
          <w:p w14:paraId="47831E70">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学业进阶的共同语言</w:t>
            </w:r>
          </w:p>
        </w:tc>
        <w:tc>
          <w:tcPr>
            <w:tcW w:w="2641" w:type="dxa"/>
            <w:tcBorders>
              <w:bottom w:val="single" w:color="000000" w:sz="12" w:space="0"/>
            </w:tcBorders>
            <w:vAlign w:val="center"/>
          </w:tcPr>
          <w:p w14:paraId="370C5673">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多任务、多情境中的稳定表现，跨学科量规评分</w:t>
            </w:r>
          </w:p>
        </w:tc>
        <w:tc>
          <w:tcPr>
            <w:tcW w:w="2641" w:type="dxa"/>
            <w:tcBorders>
              <w:bottom w:val="single" w:color="000000" w:sz="12" w:space="0"/>
            </w:tcBorders>
            <w:vAlign w:val="center"/>
          </w:tcPr>
          <w:p w14:paraId="762E1EF8">
            <w:pPr>
              <w:overflowPunct w:val="0"/>
              <w:bidi w:val="0"/>
              <w:snapToGrid w:val="0"/>
              <w:spacing w:before="0" w:after="0" w:line="240" w:lineRule="auto"/>
              <w:ind w:firstLineChars="200"/>
              <w:jc w:val="center"/>
              <w:textAlignment w:val="auto"/>
              <w:rPr>
                <w:rFonts w:hint="eastAsia" w:ascii="宋体" w:hAnsi="宋体" w:eastAsia="宋体" w:cs="宋体"/>
                <w:sz w:val="18"/>
              </w:rPr>
            </w:pPr>
            <w:r>
              <w:rPr>
                <w:rFonts w:hint="eastAsia" w:ascii="宋体" w:hAnsi="宋体" w:eastAsia="宋体" w:cs="宋体"/>
                <w:sz w:val="21"/>
              </w:rPr>
              <w:t>形成对能力发展水平的综合判断</w:t>
            </w:r>
          </w:p>
        </w:tc>
      </w:tr>
    </w:tbl>
    <w:p w14:paraId="7AC8DDBC">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28" w:name="_Toc7702"/>
      <w:r>
        <w:rPr>
          <w:rFonts w:hint="eastAsia" w:ascii="宋体" w:hAnsi="宋体" w:eastAsia="宋体" w:cs="宋体"/>
          <w:b w:val="0"/>
          <w:bCs/>
          <w:sz w:val="24"/>
        </w:rPr>
        <w:t>研究问题与研究目标</w:t>
      </w:r>
      <w:bookmarkEnd w:id="28"/>
    </w:p>
    <w:p w14:paraId="43BEDD3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29" w:name="_Toc13032"/>
      <w:r>
        <w:rPr>
          <w:rFonts w:hint="eastAsia" w:ascii="宋体" w:hAnsi="宋体" w:eastAsia="宋体" w:cs="宋体"/>
          <w:b/>
          <w:kern w:val="0"/>
          <w:sz w:val="28"/>
        </w:rPr>
        <w:t>1.研究问题</w:t>
      </w:r>
      <w:bookmarkEnd w:id="29"/>
    </w:p>
    <w:p w14:paraId="5B651ACB">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color w:val="000000"/>
          <w:kern w:val="0"/>
          <w:sz w:val="24"/>
        </w:rPr>
      </w:pPr>
      <w:bookmarkStart w:id="30" w:name="_Toc23043"/>
      <w:r>
        <w:rPr>
          <w:rFonts w:hint="eastAsia" w:ascii="宋体" w:hAnsi="宋体" w:eastAsia="宋体" w:cs="宋体"/>
          <w:b w:val="0"/>
          <w:color w:val="000000"/>
          <w:kern w:val="0"/>
          <w:sz w:val="24"/>
        </w:rPr>
        <w:t>本研究围绕以下四个问题展开。</w:t>
      </w:r>
      <w:bookmarkEnd w:id="30"/>
    </w:p>
    <w:p w14:paraId="75A546B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（1）本校中学生高阶思维与高阶社会情感的起点状况如何？教师开展高阶能力培育的认识、实践、困难和需求是什么？</w:t>
      </w:r>
    </w:p>
    <w:p w14:paraId="3CE7BAC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（2）以可见的学习为连接机制，中学生高阶能力培育的学习模型与教学模型应包含哪些要素？各要素之间如何关联？</w:t>
      </w:r>
    </w:p>
    <w:p w14:paraId="5A1DFE5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（3）模型在学科课堂与科创项目中如何转化实施？多轮实践中作出了哪些调整，依据是什么？</w:t>
      </w:r>
    </w:p>
    <w:p w14:paraId="3BF858A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（4）实施期间，学生高阶能力、课堂学习条件和教师实践发生了哪些变化？不同来源的证据在多大程度上相互一致？</w:t>
      </w:r>
    </w:p>
    <w:p w14:paraId="7C0F0977">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1" w:name="_Toc29038"/>
      <w:r>
        <w:rPr>
          <w:rFonts w:hint="eastAsia" w:ascii="宋体" w:hAnsi="宋体" w:eastAsia="宋体" w:cs="宋体"/>
          <w:b/>
          <w:kern w:val="0"/>
          <w:sz w:val="28"/>
        </w:rPr>
        <w:t>2.研究目标</w:t>
      </w:r>
      <w:bookmarkEnd w:id="31"/>
    </w:p>
    <w:p w14:paraId="3B21E32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5534C8B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506512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7F9CB1AB">
      <w:pPr>
        <w:pStyle w:val="3"/>
        <w:keepNext/>
        <w:pageBreakBefore w:val="0"/>
        <w:numPr>
          <w:ilvl w:val="0"/>
          <w:numId w:val="5"/>
        </w:numPr>
        <w:overflowPunct w:val="0"/>
        <w:bidi w:val="0"/>
        <w:spacing w:before="240" w:after="120" w:line="360" w:lineRule="auto"/>
        <w:ind w:firstLineChars="200"/>
        <w:jc w:val="left"/>
        <w:textAlignment w:val="auto"/>
        <w:rPr>
          <w:rFonts w:hint="eastAsia" w:ascii="宋体" w:hAnsi="宋体" w:eastAsia="宋体" w:cs="宋体"/>
          <w:b/>
          <w:bCs/>
          <w:sz w:val="28"/>
          <w:szCs w:val="28"/>
        </w:rPr>
      </w:pPr>
      <w:bookmarkStart w:id="32" w:name="_Toc3236"/>
      <w:r>
        <w:rPr>
          <w:rFonts w:hint="eastAsia" w:ascii="宋体" w:hAnsi="宋体" w:eastAsia="宋体" w:cs="宋体"/>
          <w:b/>
          <w:bCs/>
          <w:sz w:val="28"/>
        </w:rPr>
        <w:t>研究内容</w:t>
      </w:r>
      <w:bookmarkEnd w:id="32"/>
    </w:p>
    <w:p w14:paraId="0A4CA212">
      <w:pPr>
        <w:pageBreakBefore w:val="0"/>
        <w:overflowPunct w:val="0"/>
        <w:bidi w:val="0"/>
        <w:snapToGrid w:val="0"/>
        <w:spacing w:before="0" w:after="0" w:line="360" w:lineRule="auto"/>
        <w:ind w:firstLineChars="200"/>
        <w:jc w:val="both"/>
        <w:textAlignment w:val="auto"/>
        <w:rPr>
          <w:rFonts w:hint="eastAsia" w:ascii="宋体" w:hAnsi="宋体" w:eastAsia="宋体" w:cs="宋体"/>
          <w:b/>
          <w:color w:val="000000"/>
          <w:kern w:val="0"/>
          <w:sz w:val="24"/>
        </w:rPr>
      </w:pPr>
      <w:r>
        <w:rPr>
          <w:rFonts w:hint="eastAsia" w:ascii="宋体" w:hAnsi="宋体" w:eastAsia="宋体" w:cs="宋体"/>
          <w:b/>
          <w:kern w:val="0"/>
          <w:sz w:val="28"/>
        </w:rPr>
        <w:t>1.中学生高阶能力发展及培育现状的调查研究</w:t>
      </w:r>
    </w:p>
    <w:p w14:paraId="193827D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1533861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3" w:name="_Toc16274"/>
      <w:r>
        <w:rPr>
          <w:rFonts w:hint="eastAsia" w:ascii="宋体" w:hAnsi="宋体" w:eastAsia="宋体" w:cs="宋体"/>
          <w:b/>
          <w:kern w:val="0"/>
          <w:sz w:val="28"/>
          <w:lang w:val="en-US" w:eastAsia="zh-CN"/>
        </w:rPr>
        <w:t>2</w:t>
      </w:r>
      <w:r>
        <w:rPr>
          <w:rFonts w:hint="eastAsia" w:ascii="宋体" w:hAnsi="宋体" w:eastAsia="宋体" w:cs="宋体"/>
          <w:b/>
          <w:kern w:val="0"/>
          <w:sz w:val="28"/>
        </w:rPr>
        <w:t>.中学生高阶能力培育学习模型与教学模型的建构研究</w:t>
      </w:r>
      <w:bookmarkEnd w:id="33"/>
    </w:p>
    <w:p w14:paraId="08D2807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F2EA1B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4" w:name="_Toc24138"/>
      <w:r>
        <w:rPr>
          <w:rFonts w:hint="eastAsia" w:ascii="宋体" w:hAnsi="宋体" w:eastAsia="宋体" w:cs="宋体"/>
          <w:b/>
          <w:kern w:val="0"/>
          <w:sz w:val="28"/>
          <w:lang w:val="en-US" w:eastAsia="zh-CN"/>
        </w:rPr>
        <w:t>3</w:t>
      </w:r>
      <w:r>
        <w:rPr>
          <w:rFonts w:hint="eastAsia" w:ascii="宋体" w:hAnsi="宋体" w:eastAsia="宋体" w:cs="宋体"/>
          <w:b/>
          <w:kern w:val="0"/>
          <w:sz w:val="28"/>
        </w:rPr>
        <w:t>.中学生高阶能力培育模式的多场域实践研究</w:t>
      </w:r>
      <w:bookmarkEnd w:id="34"/>
    </w:p>
    <w:p w14:paraId="35C202C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01EB7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5" w:name="_Toc19470"/>
      <w:r>
        <w:rPr>
          <w:rFonts w:hint="eastAsia" w:ascii="宋体" w:hAnsi="宋体" w:eastAsia="宋体" w:cs="宋体"/>
          <w:b/>
          <w:kern w:val="0"/>
          <w:sz w:val="28"/>
          <w:lang w:val="en-US" w:eastAsia="zh-CN"/>
        </w:rPr>
        <w:t>4</w:t>
      </w:r>
      <w:r>
        <w:rPr>
          <w:rFonts w:hint="eastAsia" w:ascii="宋体" w:hAnsi="宋体" w:eastAsia="宋体" w:cs="宋体"/>
          <w:b/>
          <w:kern w:val="0"/>
          <w:sz w:val="28"/>
        </w:rPr>
        <w:t>.中学生高阶能力培育成效的评价与优化研究</w:t>
      </w:r>
      <w:bookmarkEnd w:id="35"/>
    </w:p>
    <w:p w14:paraId="5B3588E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7EB7CDEC">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36" w:name="_Toc5037"/>
      <w:r>
        <w:rPr>
          <w:rFonts w:hint="eastAsia" w:ascii="宋体" w:hAnsi="宋体" w:eastAsia="宋体" w:cs="宋体"/>
          <w:b w:val="0"/>
          <w:bCs/>
          <w:sz w:val="24"/>
        </w:rPr>
        <w:t>研究设计与方法</w:t>
      </w:r>
      <w:bookmarkEnd w:id="36"/>
    </w:p>
    <w:p w14:paraId="328D2658">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7" w:name="_Toc32252"/>
      <w:r>
        <w:rPr>
          <w:rFonts w:hint="eastAsia" w:ascii="宋体" w:hAnsi="宋体" w:eastAsia="宋体" w:cs="宋体"/>
          <w:b/>
          <w:kern w:val="0"/>
          <w:sz w:val="28"/>
        </w:rPr>
        <w:t>1.总体设计</w:t>
      </w:r>
      <w:bookmarkEnd w:id="37"/>
    </w:p>
    <w:p w14:paraId="201C88A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本研究立足学校真实教育教学情境，按照理论研究、现状诊断、模型建构、多场域实践、成效评价和持续优化的思路展开。整体上采用设计型研究（Design-Based Research）的逻辑，即在真实课堂中设计、实施、评估并修订培育模型，同时提炼可以迁移的设计原则</w:t>
      </w:r>
      <w:r>
        <w:rPr>
          <w:rStyle w:val="16"/>
          <w:rFonts w:hint="eastAsia" w:ascii="宋体" w:hAnsi="宋体" w:eastAsia="宋体" w:cs="宋体"/>
          <w:b w:val="0"/>
          <w:color w:val="000000"/>
          <w:kern w:val="0"/>
          <w:sz w:val="24"/>
          <w:vertAlign w:val="superscript"/>
        </w:rPr>
        <w:footnoteReference w:id="105"/>
      </w:r>
      <w:r>
        <w:rPr>
          <w:rFonts w:hint="eastAsia" w:ascii="宋体" w:hAnsi="宋体" w:eastAsia="宋体" w:cs="宋体"/>
          <w:b w:val="0"/>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Style w:val="16"/>
          <w:rFonts w:hint="eastAsia" w:ascii="宋体" w:hAnsi="宋体" w:eastAsia="宋体" w:cs="宋体"/>
          <w:b w:val="0"/>
          <w:color w:val="000000"/>
          <w:kern w:val="0"/>
          <w:sz w:val="24"/>
          <w:vertAlign w:val="superscript"/>
        </w:rPr>
        <w:footnoteReference w:id="106"/>
      </w:r>
      <w:r>
        <w:rPr>
          <w:rFonts w:hint="eastAsia" w:ascii="宋体" w:hAnsi="宋体" w:eastAsia="宋体" w:cs="宋体"/>
          <w:b w:val="0"/>
          <w:color w:val="000000"/>
          <w:kern w:val="0"/>
          <w:sz w:val="24"/>
        </w:rPr>
        <w:t>。</w:t>
      </w:r>
    </w:p>
    <w:p w14:paraId="7A00D85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38" w:name="_Toc24510"/>
      <w:r>
        <w:rPr>
          <w:rFonts w:hint="eastAsia" w:ascii="宋体" w:hAnsi="宋体" w:eastAsia="宋体" w:cs="宋体"/>
          <w:b/>
          <w:kern w:val="0"/>
          <w:sz w:val="28"/>
        </w:rPr>
        <w:t>2.研究方法</w:t>
      </w:r>
      <w:bookmarkEnd w:id="38"/>
    </w:p>
    <w:p w14:paraId="1828308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39" w:name="_Toc27614"/>
      <w:r>
        <w:rPr>
          <w:rFonts w:hint="eastAsia" w:ascii="宋体" w:hAnsi="宋体" w:eastAsia="宋体" w:cs="宋体"/>
          <w:b w:val="0"/>
          <w:kern w:val="0"/>
          <w:sz w:val="24"/>
        </w:rPr>
        <w:t>（1）文献研究法</w:t>
      </w:r>
      <w:bookmarkEnd w:id="39"/>
    </w:p>
    <w:p w14:paraId="01649FF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3E7874A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0" w:name="_Toc14589"/>
      <w:r>
        <w:rPr>
          <w:rFonts w:hint="eastAsia" w:ascii="宋体" w:hAnsi="宋体" w:eastAsia="宋体" w:cs="宋体"/>
          <w:b w:val="0"/>
          <w:kern w:val="0"/>
          <w:sz w:val="24"/>
        </w:rPr>
        <w:t>（2）问卷调查法</w:t>
      </w:r>
      <w:bookmarkEnd w:id="40"/>
    </w:p>
    <w:p w14:paraId="4865FD3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D0CDD1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1" w:name="_Toc11282"/>
      <w:r>
        <w:rPr>
          <w:rFonts w:hint="eastAsia" w:ascii="宋体" w:hAnsi="宋体" w:eastAsia="宋体" w:cs="宋体"/>
          <w:b w:val="0"/>
          <w:kern w:val="0"/>
          <w:sz w:val="24"/>
        </w:rPr>
        <w:t>（3）访谈法</w:t>
      </w:r>
      <w:bookmarkEnd w:id="41"/>
    </w:p>
    <w:p w14:paraId="7A5C7BD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31D91E4F">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2" w:name="_Toc30376"/>
      <w:r>
        <w:rPr>
          <w:rFonts w:hint="eastAsia" w:ascii="宋体" w:hAnsi="宋体" w:eastAsia="宋体" w:cs="宋体"/>
          <w:b w:val="0"/>
          <w:kern w:val="0"/>
          <w:sz w:val="24"/>
        </w:rPr>
        <w:t>（4）行动研究法</w:t>
      </w:r>
      <w:bookmarkEnd w:id="42"/>
    </w:p>
    <w:p w14:paraId="08C749F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2DEE25D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Style w:val="16"/>
          <w:rFonts w:hint="eastAsia" w:ascii="宋体" w:hAnsi="宋体" w:eastAsia="宋体" w:cs="宋体"/>
          <w:b w:val="0"/>
          <w:color w:val="000000"/>
          <w:kern w:val="0"/>
          <w:sz w:val="24"/>
          <w:vertAlign w:val="superscript"/>
        </w:rPr>
        <w:footnoteReference w:id="107"/>
      </w:r>
      <w:r>
        <w:rPr>
          <w:rFonts w:hint="eastAsia" w:ascii="宋体" w:hAnsi="宋体" w:eastAsia="宋体" w:cs="宋体"/>
          <w:b w:val="0"/>
          <w:color w:val="000000"/>
          <w:kern w:val="0"/>
          <w:sz w:val="24"/>
        </w:rPr>
        <w:t>。研究不以单次课堂或单个项目的结果判断模式是否有效，而通过多轮实践、比较和修正，逐步提炼高阶能力培育的关键环节与实施策略。</w:t>
      </w:r>
    </w:p>
    <w:p w14:paraId="52B43EF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3" w:name="_Toc20948"/>
      <w:r>
        <w:rPr>
          <w:rFonts w:hint="eastAsia" w:ascii="宋体" w:hAnsi="宋体" w:eastAsia="宋体" w:cs="宋体"/>
          <w:b w:val="0"/>
          <w:kern w:val="0"/>
          <w:sz w:val="24"/>
        </w:rPr>
        <w:t>（5）课堂观察法</w:t>
      </w:r>
      <w:bookmarkEnd w:id="43"/>
    </w:p>
    <w:p w14:paraId="0D90E07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3FC0A14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三类证据功能不同、相互补充。AI课堂行为指标以可识别的外显行为为单位，若直接作为判断依据，容易以行为次数代替对教学的解释，因此只作为分析课堂参与结构的辅助信息</w:t>
      </w:r>
      <w:r>
        <w:rPr>
          <w:rStyle w:val="16"/>
          <w:rFonts w:hint="eastAsia" w:ascii="宋体" w:hAnsi="宋体" w:eastAsia="宋体" w:cs="宋体"/>
          <w:b w:val="0"/>
          <w:color w:val="000000"/>
          <w:kern w:val="0"/>
          <w:sz w:val="24"/>
          <w:vertAlign w:val="superscript"/>
        </w:rPr>
        <w:footnoteReference w:id="108"/>
      </w:r>
      <w:r>
        <w:rPr>
          <w:rFonts w:hint="eastAsia" w:ascii="宋体" w:hAnsi="宋体" w:eastAsia="宋体" w:cs="宋体"/>
          <w:b w:val="0"/>
          <w:color w:val="000000"/>
          <w:kern w:val="0"/>
          <w:sz w:val="24"/>
        </w:rPr>
        <w:t>。研究不以单一课堂评分或某一项AI行为指标直接判断学生高阶能力的发展。</w:t>
      </w:r>
    </w:p>
    <w:p w14:paraId="26D1EB2E">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000000"/>
          <w:kern w:val="0"/>
          <w:sz w:val="24"/>
        </w:rPr>
      </w:pPr>
      <w:bookmarkStart w:id="44" w:name="_Toc23613"/>
      <w:r>
        <w:rPr>
          <w:rFonts w:hint="eastAsia" w:ascii="宋体" w:hAnsi="宋体" w:eastAsia="宋体" w:cs="宋体"/>
          <w:b w:val="0"/>
          <w:kern w:val="0"/>
          <w:sz w:val="24"/>
        </w:rPr>
        <w:t>（6）案例研究法</w:t>
      </w:r>
      <w:bookmarkEnd w:id="44"/>
    </w:p>
    <w:p w14:paraId="221FF46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5CF05634">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5" w:name="_Toc17193"/>
      <w:r>
        <w:rPr>
          <w:rFonts w:hint="eastAsia" w:ascii="宋体" w:hAnsi="宋体" w:eastAsia="宋体" w:cs="宋体"/>
          <w:b/>
          <w:kern w:val="0"/>
          <w:sz w:val="28"/>
        </w:rPr>
        <w:t>3.数据处理与证据整合</w:t>
      </w:r>
      <w:bookmarkEnd w:id="45"/>
    </w:p>
    <w:p w14:paraId="47E55C4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209D96F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3733604">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6" w:name="_Toc11808"/>
      <w:r>
        <w:rPr>
          <w:rFonts w:hint="eastAsia" w:ascii="宋体" w:hAnsi="宋体" w:eastAsia="宋体" w:cs="宋体"/>
          <w:b/>
          <w:kern w:val="0"/>
          <w:sz w:val="28"/>
        </w:rPr>
        <w:t>4.研究效度与推论边界</w:t>
      </w:r>
      <w:bookmarkEnd w:id="46"/>
    </w:p>
    <w:p w14:paraId="3D18475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Style w:val="16"/>
          <w:rFonts w:hint="eastAsia" w:ascii="宋体" w:hAnsi="宋体" w:eastAsia="宋体" w:cs="宋体"/>
          <w:b w:val="0"/>
          <w:color w:val="000000"/>
          <w:kern w:val="0"/>
          <w:sz w:val="24"/>
          <w:vertAlign w:val="superscript"/>
        </w:rPr>
        <w:footnoteReference w:id="109"/>
      </w:r>
      <w:r>
        <w:rPr>
          <w:rFonts w:hint="eastAsia" w:ascii="宋体" w:hAnsi="宋体" w:eastAsia="宋体" w:cs="宋体"/>
          <w:b w:val="0"/>
          <w:color w:val="000000"/>
          <w:kern w:val="0"/>
          <w:sz w:val="24"/>
        </w:rPr>
        <w:t>。因此，本研究不把前后测差异直接归因于培育模型。</w:t>
      </w:r>
    </w:p>
    <w:p w14:paraId="768CDDD3">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CD6BA0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据此，本研究以多种证据的一致程度判断模型在本校情境中的可实施性和积极变化。</w:t>
      </w:r>
    </w:p>
    <w:p w14:paraId="26EBC7AA">
      <w:pPr>
        <w:keepNext/>
        <w:pageBreakBefore w:val="0"/>
        <w:numPr>
          <w:ilvl w:val="0"/>
          <w:numId w:val="5"/>
        </w:numPr>
        <w:overflowPunct w:val="0"/>
        <w:bidi w:val="0"/>
        <w:spacing w:before="0" w:after="0" w:line="360" w:lineRule="auto"/>
        <w:ind w:left="0" w:leftChars="0" w:firstLine="480" w:firstLineChars="200"/>
        <w:jc w:val="both"/>
        <w:textAlignment w:val="auto"/>
        <w:outlineLvl w:val="1"/>
        <w:rPr>
          <w:rFonts w:hint="eastAsia" w:ascii="宋体" w:hAnsi="宋体" w:eastAsia="宋体" w:cs="宋体"/>
          <w:b/>
          <w:bCs/>
          <w:sz w:val="28"/>
          <w:szCs w:val="28"/>
        </w:rPr>
      </w:pPr>
      <w:bookmarkStart w:id="47" w:name="_Toc14200"/>
      <w:r>
        <w:rPr>
          <w:rFonts w:hint="eastAsia" w:ascii="宋体" w:hAnsi="宋体" w:eastAsia="宋体" w:cs="宋体"/>
          <w:b w:val="0"/>
          <w:bCs/>
          <w:sz w:val="24"/>
        </w:rPr>
        <w:t>研究步骤</w:t>
      </w:r>
      <w:bookmarkEnd w:id="47"/>
    </w:p>
    <w:p w14:paraId="1ABD84C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1-3所示，图中左侧为研究进程，中部为主要研究内容，右侧为各阶段采用的研究方法。</w:t>
      </w:r>
    </w:p>
    <w:p w14:paraId="4FDFEEE3">
      <w:pPr>
        <w:keepNext/>
        <w:pageBreakBefore w:val="0"/>
        <w:overflowPunct w:val="0"/>
        <w:bidi w:val="0"/>
        <w:spacing w:before="120" w:after="0" w:line="360" w:lineRule="auto"/>
        <w:jc w:val="both"/>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68595" cy="6583680"/>
            <wp:effectExtent l="0" t="0" r="8255" b="7620"/>
            <wp:docPr id="36" name="图片 36" descr="5736f1fc-d737-4f50-9528-ae98e1912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36f1fc-d737-4f50-9528-ae98e1912b19"/>
                    <pic:cNvPicPr>
                      <a:picLocks noChangeAspect="1"/>
                    </pic:cNvPicPr>
                  </pic:nvPicPr>
                  <pic:blipFill>
                    <a:blip r:embed="rId7"/>
                    <a:stretch>
                      <a:fillRect/>
                    </a:stretch>
                  </pic:blipFill>
                  <pic:spPr>
                    <a:xfrm>
                      <a:off x="0" y="0"/>
                      <a:ext cx="5268595" cy="6583680"/>
                    </a:xfrm>
                    <a:prstGeom prst="rect">
                      <a:avLst/>
                    </a:prstGeom>
                  </pic:spPr>
                </pic:pic>
              </a:graphicData>
            </a:graphic>
          </wp:inline>
        </w:drawing>
      </w:r>
    </w:p>
    <w:p w14:paraId="4AAEAEFE">
      <w:pPr>
        <w:pageBreakBefore w:val="0"/>
        <w:overflowPunct w:val="0"/>
        <w:bidi w:val="0"/>
        <w:snapToGrid w:val="0"/>
        <w:spacing w:before="60" w:after="180" w:line="240" w:lineRule="auto"/>
        <w:ind w:firstLineChars="200"/>
        <w:jc w:val="center"/>
        <w:textAlignment w:val="auto"/>
        <w:rPr>
          <w:rFonts w:hint="eastAsia" w:ascii="宋体" w:hAnsi="宋体" w:eastAsia="宋体" w:cs="宋体"/>
          <w:b/>
          <w:bCs/>
          <w:color w:val="000000"/>
        </w:rPr>
      </w:pPr>
      <w:r>
        <w:rPr>
          <w:rFonts w:hint="eastAsia" w:ascii="宋体" w:hAnsi="宋体" w:eastAsia="宋体" w:cs="宋体"/>
          <w:b w:val="0"/>
          <w:sz w:val="21"/>
        </w:rPr>
        <w:t>图1-3  课题研究路径图</w:t>
      </w:r>
    </w:p>
    <w:p w14:paraId="0248288D">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8" w:name="_Toc105"/>
      <w:r>
        <w:rPr>
          <w:rFonts w:hint="eastAsia" w:ascii="宋体" w:hAnsi="宋体" w:eastAsia="宋体" w:cs="宋体"/>
          <w:b/>
          <w:kern w:val="0"/>
          <w:sz w:val="28"/>
        </w:rPr>
        <w:t>1.准备阶段（2023年11月—2024年3月）</w:t>
      </w:r>
      <w:bookmarkEnd w:id="48"/>
    </w:p>
    <w:p w14:paraId="055A1A7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179BB37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70F5900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12CD76E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0C2E10D2">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49" w:name="_Toc27546"/>
      <w:r>
        <w:rPr>
          <w:rFonts w:hint="eastAsia" w:ascii="宋体" w:hAnsi="宋体" w:eastAsia="宋体" w:cs="宋体"/>
          <w:b/>
          <w:kern w:val="0"/>
          <w:sz w:val="28"/>
        </w:rPr>
        <w:t>2.实施阶段（2024年4月—2026年6月）</w:t>
      </w:r>
      <w:bookmarkEnd w:id="49"/>
    </w:p>
    <w:p w14:paraId="694054A9">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7E63C26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2FD7B54E">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color w:val="C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3AF91575">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7962608">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color w:val="000000"/>
          <w:kern w:val="0"/>
          <w:sz w:val="24"/>
        </w:rPr>
      </w:pPr>
      <w:bookmarkStart w:id="50" w:name="_Toc14628"/>
      <w:r>
        <w:rPr>
          <w:rFonts w:hint="eastAsia" w:ascii="宋体" w:hAnsi="宋体" w:eastAsia="宋体" w:cs="宋体"/>
          <w:b/>
          <w:kern w:val="0"/>
          <w:sz w:val="28"/>
        </w:rPr>
        <w:t>3.总结阶段（2026年7月—2026年10月）</w:t>
      </w:r>
      <w:bookmarkEnd w:id="50"/>
    </w:p>
    <w:p w14:paraId="07FC80F2">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（1）完成后期调查与资料整理。开展学生和教师后测，并与前测数据进行比较；系统整理课堂观察、研究课、科创项目、学生学习成果、教师访谈和教学反思等资料。</w:t>
      </w:r>
    </w:p>
    <w:p w14:paraId="199022CF">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4DD7D89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（3）整理典型案例，提炼实践经验。梳理不同学科课堂和典型科创项目案例，分析高阶能力培育在不同学科和学习情境中的实施特点，形成典型案例和过程性成果。</w:t>
      </w:r>
    </w:p>
    <w:p w14:paraId="5196483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000000"/>
          <w:kern w:val="0"/>
          <w:sz w:val="24"/>
        </w:rPr>
      </w:pPr>
      <w:r>
        <w:rPr>
          <w:rFonts w:hint="eastAsia" w:ascii="宋体" w:hAnsi="宋体" w:eastAsia="宋体" w:cs="宋体"/>
          <w:b w:val="0"/>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18E6B87F">
      <w:pPr>
        <w:pStyle w:val="2"/>
        <w:keepNext/>
        <w:pageBreakBefore w:val="0"/>
        <w:overflowPunct w:val="0"/>
        <w:bidi w:val="0"/>
        <w:snapToGrid w:val="0"/>
        <w:spacing w:before="360" w:after="240" w:line="360" w:lineRule="auto"/>
        <w:ind w:firstLineChars="200"/>
        <w:jc w:val="left"/>
        <w:textAlignment w:val="auto"/>
        <w:rPr>
          <w:rFonts w:hint="eastAsia" w:ascii="宋体" w:hAnsi="宋体" w:eastAsia="宋体" w:cs="宋体"/>
          <w:b/>
          <w:bCs/>
          <w:kern w:val="0"/>
          <w:sz w:val="30"/>
          <w:szCs w:val="30"/>
          <w:lang w:val="en-US" w:eastAsia="zh-CN"/>
        </w:rPr>
      </w:pPr>
      <w:bookmarkStart w:id="51" w:name="_Toc16291"/>
      <w:r>
        <w:rPr>
          <w:rFonts w:hint="eastAsia" w:ascii="宋体" w:hAnsi="宋体" w:eastAsia="宋体" w:cs="宋体"/>
          <w:b/>
          <w:sz w:val="28"/>
        </w:rPr>
        <w:t>三、研究过程与结果</w:t>
      </w:r>
      <w:bookmarkEnd w:id="51"/>
    </w:p>
    <w:p w14:paraId="13B2CC29">
      <w:pPr>
        <w:pStyle w:val="3"/>
        <w:keepNext/>
        <w:ind w:firstLine="0"/>
        <w:rPr>
          <w:rFonts w:hint="eastAsia" w:ascii="宋体" w:hAnsi="宋体" w:eastAsia="宋体" w:cs="宋体"/>
        </w:rPr>
      </w:pPr>
      <w:bookmarkStart w:id="52" w:name="_Toc18821"/>
      <w:r>
        <w:rPr>
          <w:rFonts w:hint="eastAsia" w:ascii="宋体" w:hAnsi="宋体" w:eastAsia="宋体" w:cs="宋体"/>
          <w:b/>
          <w:sz w:val="28"/>
        </w:rPr>
        <w:t>（一）中学生高阶能力培育基本情况的调查分析</w:t>
      </w:r>
      <w:bookmarkEnd w:id="52"/>
    </w:p>
    <w:p w14:paraId="34FF7DA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3636C99F">
      <w:pPr>
        <w:pStyle w:val="4"/>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kern w:val="0"/>
          <w:sz w:val="28"/>
          <w:szCs w:val="28"/>
        </w:rPr>
      </w:pPr>
      <w:bookmarkStart w:id="53" w:name="_Toc21424"/>
      <w:r>
        <w:rPr>
          <w:rFonts w:hint="eastAsia" w:ascii="宋体" w:hAnsi="宋体" w:eastAsia="宋体" w:cs="宋体"/>
          <w:b/>
          <w:kern w:val="0"/>
          <w:sz w:val="28"/>
          <w:lang w:val="en-US" w:eastAsia="zh-CN"/>
        </w:rPr>
        <w:t>1.</w:t>
      </w:r>
      <w:r>
        <w:rPr>
          <w:rFonts w:hint="eastAsia" w:ascii="宋体" w:hAnsi="宋体" w:eastAsia="宋体" w:cs="宋体"/>
          <w:b/>
          <w:kern w:val="0"/>
          <w:sz w:val="28"/>
        </w:rPr>
        <w:t>学生高阶能力基础的前测调查</w:t>
      </w:r>
      <w:bookmarkEnd w:id="53"/>
    </w:p>
    <w:p w14:paraId="0EA1EBE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color w:val="C00000"/>
          <w:kern w:val="0"/>
          <w:sz w:val="24"/>
          <w:lang w:val="en-US" w:eastAsia="zh-CN"/>
        </w:rPr>
      </w:pPr>
      <w:bookmarkStart w:id="54" w:name="_Toc32232"/>
      <w:r>
        <w:rPr>
          <w:rFonts w:hint="eastAsia" w:ascii="宋体" w:hAnsi="宋体" w:eastAsia="宋体" w:cs="宋体"/>
          <w:b w:val="0"/>
          <w:color w:val="C00000"/>
          <w:kern w:val="0"/>
          <w:sz w:val="24"/>
          <w:lang w:eastAsia="zh-CN"/>
        </w:rPr>
        <w:t>（</w:t>
      </w:r>
      <w:r>
        <w:rPr>
          <w:rFonts w:hint="eastAsia" w:ascii="宋体" w:hAnsi="宋体" w:eastAsia="宋体" w:cs="宋体"/>
          <w:b w:val="0"/>
          <w:color w:val="C00000"/>
          <w:kern w:val="0"/>
          <w:sz w:val="24"/>
        </w:rPr>
        <w:t>1</w:t>
      </w:r>
      <w:r>
        <w:rPr>
          <w:rFonts w:hint="eastAsia" w:ascii="宋体" w:hAnsi="宋体" w:eastAsia="宋体" w:cs="宋体"/>
          <w:b w:val="0"/>
          <w:color w:val="C00000"/>
          <w:kern w:val="0"/>
          <w:sz w:val="24"/>
          <w:lang w:eastAsia="zh-CN"/>
        </w:rPr>
        <w:t>）</w:t>
      </w:r>
      <w:r>
        <w:rPr>
          <w:rFonts w:hint="eastAsia" w:ascii="宋体" w:hAnsi="宋体" w:eastAsia="宋体" w:cs="宋体"/>
          <w:b w:val="0"/>
          <w:color w:val="C00000"/>
          <w:kern w:val="0"/>
          <w:sz w:val="24"/>
        </w:rPr>
        <w:t>学生高阶能力测评</w:t>
      </w:r>
      <w:r>
        <w:rPr>
          <w:rFonts w:hint="eastAsia" w:ascii="宋体" w:hAnsi="宋体" w:eastAsia="宋体" w:cs="宋体"/>
          <w:b w:val="0"/>
          <w:color w:val="C00000"/>
          <w:kern w:val="0"/>
          <w:sz w:val="24"/>
          <w:lang w:val="en-US" w:eastAsia="zh-CN"/>
        </w:rPr>
        <w:t>维度的确定</w:t>
      </w:r>
      <w:bookmarkEnd w:id="54"/>
    </w:p>
    <w:p w14:paraId="61D0E71C">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szCs w:val="24"/>
          <w:lang w:val="en-US" w:eastAsia="zh-CN"/>
        </w:rPr>
      </w:pPr>
      <w:r>
        <w:rPr>
          <w:rFonts w:hint="eastAsia" w:ascii="宋体" w:hAnsi="宋体" w:eastAsia="宋体" w:cs="宋体"/>
          <w:b w:val="0"/>
          <w:color w:val="C00000"/>
          <w:kern w:val="0"/>
          <w:sz w:val="24"/>
          <w:szCs w:val="24"/>
          <w:lang w:val="en-US" w:eastAsia="zh-CN"/>
        </w:rPr>
        <w:t>前测调查围绕学生的能力基础与教师的培育现状展开调查。学生问卷重点考察了学生在分析、评价、创新、责任担当、情绪调节、合作共情、包容创新7个维度的高阶能力自评表现，教师问卷则重点了解教师对高阶能力培育的认知基础、课堂实践、自我效能及实施困难。两类调查分别从学习者与教学支持的角度，为学习模型设计和教学模式构建提供可靠的依据。</w:t>
      </w:r>
    </w:p>
    <w:p w14:paraId="7601583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kern w:val="0"/>
          <w:sz w:val="24"/>
        </w:rPr>
      </w:pPr>
      <w:r>
        <w:rPr>
          <w:rFonts w:hint="eastAsia" w:ascii="宋体" w:hAnsi="宋体" w:eastAsia="宋体" w:cs="宋体"/>
          <w:b w:val="0"/>
          <w:kern w:val="0"/>
          <w:sz w:val="24"/>
        </w:rPr>
        <w:t>1）高阶思维能力维度的确定</w:t>
      </w:r>
    </w:p>
    <w:p w14:paraId="6355B38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Style w:val="16"/>
          <w:rFonts w:hint="eastAsia" w:ascii="宋体" w:hAnsi="宋体" w:eastAsia="宋体" w:cs="宋体"/>
          <w:b w:val="0"/>
          <w:kern w:val="0"/>
          <w:sz w:val="24"/>
          <w:vertAlign w:val="superscript"/>
        </w:rPr>
        <w:footnoteReference w:id="110"/>
      </w:r>
      <w:r>
        <w:rPr>
          <w:rFonts w:hint="eastAsia" w:ascii="宋体" w:hAnsi="宋体" w:eastAsia="宋体" w:cs="宋体"/>
          <w:b w:val="0"/>
          <w:kern w:val="0"/>
          <w:sz w:val="24"/>
        </w:rPr>
        <w:t>。高阶思维还体现为学生面对新材料和非程序化问题时的迁移、批判性思考与问题解决，其核心在于建立新旧知识之间的联系</w:t>
      </w:r>
      <w:r>
        <w:rPr>
          <w:rStyle w:val="16"/>
          <w:rFonts w:hint="eastAsia" w:ascii="宋体" w:hAnsi="宋体" w:eastAsia="宋体" w:cs="宋体"/>
          <w:b w:val="0"/>
          <w:kern w:val="0"/>
          <w:sz w:val="24"/>
          <w:vertAlign w:val="superscript"/>
        </w:rPr>
        <w:footnoteReference w:id="111"/>
      </w:r>
      <w:r>
        <w:rPr>
          <w:rFonts w:hint="eastAsia" w:ascii="宋体" w:hAnsi="宋体" w:eastAsia="宋体" w:cs="宋体"/>
          <w:b w:val="0"/>
          <w:kern w:val="0"/>
          <w:sz w:val="24"/>
        </w:rPr>
        <w:t>。</w:t>
      </w:r>
    </w:p>
    <w:p w14:paraId="6AA3AB5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6B16D18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7BA51F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评价，其测量质量通过后续信度与结构分析加以检验。</w:t>
      </w:r>
    </w:p>
    <w:p w14:paraId="3D26A3BE">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kern w:val="0"/>
          <w:sz w:val="24"/>
        </w:rPr>
      </w:pPr>
      <w:r>
        <w:rPr>
          <w:rFonts w:hint="eastAsia" w:ascii="宋体" w:hAnsi="宋体" w:eastAsia="宋体" w:cs="宋体"/>
          <w:b w:val="0"/>
          <w:kern w:val="0"/>
          <w:sz w:val="24"/>
        </w:rPr>
        <w:t>2）高阶社会情感能力维度的确定</w:t>
      </w:r>
    </w:p>
    <w:p w14:paraId="272DE825">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w:t>
      </w:r>
      <w:r>
        <w:rPr>
          <w:rStyle w:val="16"/>
          <w:rFonts w:hint="eastAsia" w:ascii="宋体" w:hAnsi="宋体" w:eastAsia="宋体" w:cs="宋体"/>
          <w:b w:val="0"/>
          <w:kern w:val="0"/>
          <w:sz w:val="24"/>
          <w:vertAlign w:val="superscript"/>
        </w:rPr>
        <w:footnoteReference w:id="112"/>
      </w:r>
      <w:r>
        <w:rPr>
          <w:rFonts w:hint="eastAsia" w:ascii="宋体" w:hAnsi="宋体" w:eastAsia="宋体" w:cs="宋体"/>
          <w:b w:val="0"/>
          <w:kern w:val="0"/>
          <w:sz w:val="24"/>
        </w:rPr>
        <w:t>。</w:t>
      </w:r>
    </w:p>
    <w:p w14:paraId="41D4B28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本研究参照国内基于社会与情感能力调查开展的测评框架</w:t>
      </w:r>
      <w:r>
        <w:rPr>
          <w:rStyle w:val="16"/>
          <w:rFonts w:hint="eastAsia" w:ascii="宋体" w:hAnsi="宋体" w:eastAsia="宋体" w:cs="宋体"/>
          <w:b w:val="0"/>
          <w:kern w:val="0"/>
          <w:sz w:val="24"/>
          <w:vertAlign w:val="superscript"/>
        </w:rPr>
        <w:footnoteReference w:id="113"/>
      </w:r>
      <w:r>
        <w:rPr>
          <w:rFonts w:hint="eastAsia" w:ascii="宋体" w:hAnsi="宋体" w:eastAsia="宋体" w:cs="宋体"/>
          <w:b w:val="0"/>
          <w:kern w:val="0"/>
          <w:sz w:val="24"/>
        </w:rPr>
        <w:t>，围绕中学生高阶能力培育的需要，选取与责任承担、自我调节、合作协商和开放探索相关的内容，依据其内涵联系进行归并，形成责任担当、情绪调节、合作共情、包容创新四个理论维度。</w:t>
      </w:r>
    </w:p>
    <w:p w14:paraId="2FB976C4">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rPr>
      </w:pPr>
      <w:r>
        <w:rPr>
          <w:rFonts w:hint="eastAsia" w:ascii="宋体" w:hAnsi="宋体" w:eastAsia="宋体" w:cs="宋体"/>
          <w:b w:val="0"/>
          <w:color w:val="auto"/>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054B158">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rPr>
      </w:pPr>
      <w:r>
        <w:rPr>
          <w:rFonts w:hint="eastAsia" w:ascii="宋体" w:hAnsi="宋体" w:eastAsia="宋体" w:cs="宋体"/>
          <w:b w:val="0"/>
          <w:color w:val="auto"/>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44D19E7A">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szCs w:val="32"/>
        </w:rPr>
      </w:pPr>
      <w:bookmarkStart w:id="55" w:name="_Toc9350"/>
      <w:r>
        <w:rPr>
          <w:rFonts w:hint="eastAsia" w:ascii="宋体" w:hAnsi="宋体" w:eastAsia="宋体" w:cs="宋体"/>
          <w:b w:val="0"/>
          <w:bCs/>
          <w:sz w:val="24"/>
          <w:szCs w:val="32"/>
        </w:rPr>
        <w:t>（2）学生样本描述与数据收集</w:t>
      </w:r>
      <w:bookmarkEnd w:id="55"/>
    </w:p>
    <w:p w14:paraId="454585B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本次调查覆盖六至十二年级。课题组统一组织抽中班级学生在学校计算机房，通过问卷星平台集中完成问卷填答。共回收问卷1346份，其中男生671人，占49.85%；女生675人，占50.15%，样本性别构成较为均衡。经核查，1346份问卷的32道评分题均无缺失，全部纳入本次统计分析。</w:t>
      </w:r>
    </w:p>
    <w:p w14:paraId="08460A0B">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问卷采用五级评分，将“完全不符合”“不太符合”“一般符合”“比较符合”“完全符合”依次赋值为1—5分，所有题项均按正向计分。各维度得分按所属题项的平均分计算，高阶能力总体得分按32题的平均分计算，得分越高，表示学生对自身相关学习表现的评价越积极。</w:t>
      </w:r>
    </w:p>
    <w:p w14:paraId="551B8E1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本次更新数据中，32道评分题均未出现“完全符合”作答，实际观测得分范围为1—4分。以下结果仍按问卷原定的1—5分计分规则计算，不对评分尺度作重新转换。</w:t>
      </w:r>
    </w:p>
    <w:p w14:paraId="0CB641A6">
      <w:pPr>
        <w:spacing w:before="0" w:after="0" w:line="360" w:lineRule="auto"/>
        <w:ind w:firstLine="480" w:firstLineChars="0"/>
        <w:jc w:val="both"/>
        <w:outlineLvl w:val="3"/>
        <w:rPr>
          <w:rFonts w:hint="eastAsia" w:ascii="宋体" w:hAnsi="宋体" w:eastAsia="宋体" w:cs="宋体"/>
          <w:b/>
          <w:bCs/>
          <w:sz w:val="24"/>
          <w:szCs w:val="32"/>
        </w:rPr>
      </w:pPr>
      <w:bookmarkStart w:id="56" w:name="_Toc652"/>
      <w:r>
        <w:rPr>
          <w:rFonts w:hint="eastAsia" w:ascii="宋体" w:hAnsi="宋体" w:eastAsia="宋体" w:cs="宋体"/>
          <w:b w:val="0"/>
          <w:bCs/>
          <w:sz w:val="24"/>
          <w:szCs w:val="32"/>
        </w:rPr>
        <w:t>（3）学生高阶能力问卷的测量质量检验</w:t>
      </w:r>
      <w:bookmarkEnd w:id="56"/>
    </w:p>
    <w:p w14:paraId="73A71917">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学生高阶能力问卷包含32道评分题，涵盖分析、评价、创造、责任担当、情绪调节、合作共情和包容创新七个理论维度。本研究基于1346份答卷，对问卷进行内部一致性检验，并结合KMO、Bartlett球形检验及主成分方差解释情况，考察题项之间的相关性与初步结构特征。</w:t>
      </w:r>
    </w:p>
    <w:p w14:paraId="18A84D56">
      <w:pPr>
        <w:spacing w:before="0" w:after="0" w:line="360" w:lineRule="auto"/>
        <w:ind w:firstLine="480" w:firstLineChars="0"/>
        <w:jc w:val="both"/>
        <w:outlineLvl w:val="4"/>
        <w:rPr>
          <w:rFonts w:hint="eastAsia" w:ascii="宋体" w:hAnsi="宋体" w:eastAsia="宋体" w:cs="宋体"/>
          <w:b/>
          <w:bCs/>
          <w:sz w:val="24"/>
          <w:szCs w:val="32"/>
        </w:rPr>
      </w:pPr>
      <w:r>
        <w:rPr>
          <w:rFonts w:hint="eastAsia" w:ascii="宋体" w:hAnsi="宋体" w:eastAsia="宋体" w:cs="宋体"/>
          <w:b w:val="0"/>
          <w:bCs/>
          <w:sz w:val="24"/>
          <w:szCs w:val="32"/>
        </w:rPr>
        <w:t>1）内部一致性信度检验</w:t>
      </w:r>
    </w:p>
    <w:p w14:paraId="0475DE22">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采用Cronbach’s α系数检验问卷的内部一致性。结果显示，全问卷α系数为0.975，各维度α系数介于0.818—0.904，表明问卷及各维度题项具有较好的内部一致性，具体结果见表3-1。</w:t>
      </w:r>
    </w:p>
    <w:p w14:paraId="244F382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  学生高阶能力问卷信度检验结果</w:t>
      </w:r>
    </w:p>
    <w:tbl>
      <w:tblPr>
        <w:tblStyle w:val="12"/>
        <w:tblW w:w="9936" w:type="dxa"/>
        <w:tblInd w:w="0" w:type="dxa"/>
        <w:tblLayout w:type="fixed"/>
        <w:tblCellMar>
          <w:top w:w="0" w:type="dxa"/>
          <w:left w:w="108" w:type="dxa"/>
          <w:bottom w:w="0" w:type="dxa"/>
          <w:right w:w="108" w:type="dxa"/>
        </w:tblCellMar>
      </w:tblPr>
      <w:tblGrid>
        <w:gridCol w:w="3599"/>
        <w:gridCol w:w="2160"/>
        <w:gridCol w:w="4177"/>
      </w:tblGrid>
      <w:tr w14:paraId="4F7CEF79">
        <w:tblPrEx>
          <w:tblCellMar>
            <w:top w:w="0" w:type="dxa"/>
            <w:left w:w="108" w:type="dxa"/>
            <w:bottom w:w="0" w:type="dxa"/>
            <w:right w:w="108" w:type="dxa"/>
          </w:tblCellMar>
        </w:tblPrEx>
        <w:trPr>
          <w:cantSplit/>
          <w:tblHeader/>
        </w:trPr>
        <w:tc>
          <w:tcPr>
            <w:tcW w:w="3599" w:type="dxa"/>
            <w:tcBorders>
              <w:top w:val="single" w:color="000000" w:sz="8" w:space="0"/>
              <w:bottom w:val="single" w:color="000000" w:sz="8" w:space="0"/>
            </w:tcBorders>
            <w:vAlign w:val="center"/>
          </w:tcPr>
          <w:p w14:paraId="10BF450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维度</w:t>
            </w:r>
          </w:p>
        </w:tc>
        <w:tc>
          <w:tcPr>
            <w:tcW w:w="2160" w:type="dxa"/>
            <w:tcBorders>
              <w:top w:val="single" w:color="000000" w:sz="8" w:space="0"/>
              <w:bottom w:val="single" w:color="000000" w:sz="8" w:space="0"/>
            </w:tcBorders>
            <w:vAlign w:val="center"/>
          </w:tcPr>
          <w:p w14:paraId="1C4CBF04">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题数</w:t>
            </w:r>
          </w:p>
        </w:tc>
        <w:tc>
          <w:tcPr>
            <w:tcW w:w="4177" w:type="dxa"/>
            <w:tcBorders>
              <w:top w:val="single" w:color="000000" w:sz="8" w:space="0"/>
              <w:bottom w:val="single" w:color="000000" w:sz="8" w:space="0"/>
            </w:tcBorders>
            <w:vAlign w:val="center"/>
          </w:tcPr>
          <w:p w14:paraId="4399D049">
            <w:pPr>
              <w:spacing w:before="0" w:after="0" w:line="240" w:lineRule="auto"/>
              <w:ind w:firstLine="0"/>
              <w:jc w:val="center"/>
              <w:rPr>
                <w:rFonts w:hint="eastAsia" w:ascii="宋体" w:hAnsi="宋体" w:eastAsia="宋体" w:cs="宋体"/>
              </w:rPr>
            </w:pPr>
            <w:r>
              <w:rPr>
                <w:rFonts w:hint="eastAsia" w:ascii="宋体" w:hAnsi="宋体" w:eastAsia="宋体" w:cs="宋体"/>
                <w:b/>
                <w:sz w:val="21"/>
              </w:rPr>
              <w:t>Cronbach’s α</w:t>
            </w:r>
          </w:p>
        </w:tc>
      </w:tr>
      <w:tr w14:paraId="0707EE91">
        <w:tblPrEx>
          <w:tblCellMar>
            <w:top w:w="0" w:type="dxa"/>
            <w:left w:w="108" w:type="dxa"/>
            <w:bottom w:w="0" w:type="dxa"/>
            <w:right w:w="108" w:type="dxa"/>
          </w:tblCellMar>
        </w:tblPrEx>
        <w:trPr>
          <w:cantSplit/>
        </w:trPr>
        <w:tc>
          <w:tcPr>
            <w:tcW w:w="3599" w:type="dxa"/>
            <w:vAlign w:val="center"/>
          </w:tcPr>
          <w:p w14:paraId="102ECD8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分析</w:t>
            </w:r>
          </w:p>
        </w:tc>
        <w:tc>
          <w:tcPr>
            <w:tcW w:w="2160" w:type="dxa"/>
            <w:vAlign w:val="center"/>
          </w:tcPr>
          <w:p w14:paraId="09BF56A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6EC74C2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0.856</w:t>
            </w:r>
          </w:p>
        </w:tc>
      </w:tr>
      <w:tr w14:paraId="174CFB9C">
        <w:tblPrEx>
          <w:tblCellMar>
            <w:top w:w="0" w:type="dxa"/>
            <w:left w:w="108" w:type="dxa"/>
            <w:bottom w:w="0" w:type="dxa"/>
            <w:right w:w="108" w:type="dxa"/>
          </w:tblCellMar>
        </w:tblPrEx>
        <w:trPr>
          <w:cantSplit/>
        </w:trPr>
        <w:tc>
          <w:tcPr>
            <w:tcW w:w="3599" w:type="dxa"/>
            <w:vAlign w:val="center"/>
          </w:tcPr>
          <w:p w14:paraId="4B4E68E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评价</w:t>
            </w:r>
          </w:p>
        </w:tc>
        <w:tc>
          <w:tcPr>
            <w:tcW w:w="2160" w:type="dxa"/>
            <w:vAlign w:val="center"/>
          </w:tcPr>
          <w:p w14:paraId="4FFDD7E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137A321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0.818</w:t>
            </w:r>
          </w:p>
        </w:tc>
      </w:tr>
      <w:tr w14:paraId="712C3039">
        <w:tblPrEx>
          <w:tblCellMar>
            <w:top w:w="0" w:type="dxa"/>
            <w:left w:w="108" w:type="dxa"/>
            <w:bottom w:w="0" w:type="dxa"/>
            <w:right w:w="108" w:type="dxa"/>
          </w:tblCellMar>
        </w:tblPrEx>
        <w:trPr>
          <w:cantSplit/>
        </w:trPr>
        <w:tc>
          <w:tcPr>
            <w:tcW w:w="3599" w:type="dxa"/>
            <w:vAlign w:val="center"/>
          </w:tcPr>
          <w:p w14:paraId="70D80C76">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创造</w:t>
            </w:r>
          </w:p>
        </w:tc>
        <w:tc>
          <w:tcPr>
            <w:tcW w:w="2160" w:type="dxa"/>
            <w:vAlign w:val="center"/>
          </w:tcPr>
          <w:p w14:paraId="289113F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w:t>
            </w:r>
          </w:p>
        </w:tc>
        <w:tc>
          <w:tcPr>
            <w:tcW w:w="4177" w:type="dxa"/>
            <w:vAlign w:val="center"/>
          </w:tcPr>
          <w:p w14:paraId="1FB4A07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0.866</w:t>
            </w:r>
          </w:p>
        </w:tc>
      </w:tr>
      <w:tr w14:paraId="13666A6D">
        <w:tblPrEx>
          <w:tblCellMar>
            <w:top w:w="0" w:type="dxa"/>
            <w:left w:w="108" w:type="dxa"/>
            <w:bottom w:w="0" w:type="dxa"/>
            <w:right w:w="108" w:type="dxa"/>
          </w:tblCellMar>
        </w:tblPrEx>
        <w:trPr>
          <w:cantSplit/>
        </w:trPr>
        <w:tc>
          <w:tcPr>
            <w:tcW w:w="3599" w:type="dxa"/>
            <w:vAlign w:val="center"/>
          </w:tcPr>
          <w:p w14:paraId="60CD682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责任担当</w:t>
            </w:r>
          </w:p>
        </w:tc>
        <w:tc>
          <w:tcPr>
            <w:tcW w:w="2160" w:type="dxa"/>
            <w:vAlign w:val="center"/>
          </w:tcPr>
          <w:p w14:paraId="5361F6F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292FFE4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0.881</w:t>
            </w:r>
          </w:p>
        </w:tc>
      </w:tr>
      <w:tr w14:paraId="04397F4B">
        <w:tblPrEx>
          <w:tblCellMar>
            <w:top w:w="0" w:type="dxa"/>
            <w:left w:w="108" w:type="dxa"/>
            <w:bottom w:w="0" w:type="dxa"/>
            <w:right w:w="108" w:type="dxa"/>
          </w:tblCellMar>
        </w:tblPrEx>
        <w:trPr>
          <w:cantSplit/>
        </w:trPr>
        <w:tc>
          <w:tcPr>
            <w:tcW w:w="3599" w:type="dxa"/>
            <w:vAlign w:val="center"/>
          </w:tcPr>
          <w:p w14:paraId="1FCC0DD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情绪调节</w:t>
            </w:r>
          </w:p>
        </w:tc>
        <w:tc>
          <w:tcPr>
            <w:tcW w:w="2160" w:type="dxa"/>
            <w:vAlign w:val="center"/>
          </w:tcPr>
          <w:p w14:paraId="73FE112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5BD10B3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0.878</w:t>
            </w:r>
          </w:p>
        </w:tc>
      </w:tr>
      <w:tr w14:paraId="082155D6">
        <w:tblPrEx>
          <w:tblCellMar>
            <w:top w:w="0" w:type="dxa"/>
            <w:left w:w="108" w:type="dxa"/>
            <w:bottom w:w="0" w:type="dxa"/>
            <w:right w:w="108" w:type="dxa"/>
          </w:tblCellMar>
        </w:tblPrEx>
        <w:trPr>
          <w:cantSplit/>
        </w:trPr>
        <w:tc>
          <w:tcPr>
            <w:tcW w:w="3599" w:type="dxa"/>
            <w:vAlign w:val="center"/>
          </w:tcPr>
          <w:p w14:paraId="547E290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合作共情</w:t>
            </w:r>
          </w:p>
        </w:tc>
        <w:tc>
          <w:tcPr>
            <w:tcW w:w="2160" w:type="dxa"/>
            <w:vAlign w:val="center"/>
          </w:tcPr>
          <w:p w14:paraId="60F84F8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5FD04B4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0.904</w:t>
            </w:r>
          </w:p>
        </w:tc>
      </w:tr>
      <w:tr w14:paraId="555A2305">
        <w:tblPrEx>
          <w:tblCellMar>
            <w:top w:w="0" w:type="dxa"/>
            <w:left w:w="108" w:type="dxa"/>
            <w:bottom w:w="0" w:type="dxa"/>
            <w:right w:w="108" w:type="dxa"/>
          </w:tblCellMar>
        </w:tblPrEx>
        <w:trPr>
          <w:cantSplit/>
        </w:trPr>
        <w:tc>
          <w:tcPr>
            <w:tcW w:w="3599" w:type="dxa"/>
            <w:vAlign w:val="center"/>
          </w:tcPr>
          <w:p w14:paraId="18EFC97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包容创新</w:t>
            </w:r>
          </w:p>
        </w:tc>
        <w:tc>
          <w:tcPr>
            <w:tcW w:w="2160" w:type="dxa"/>
            <w:vAlign w:val="center"/>
          </w:tcPr>
          <w:p w14:paraId="7E39FAD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w:t>
            </w:r>
          </w:p>
        </w:tc>
        <w:tc>
          <w:tcPr>
            <w:tcW w:w="4177" w:type="dxa"/>
            <w:vAlign w:val="center"/>
          </w:tcPr>
          <w:p w14:paraId="6A2C755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0.901</w:t>
            </w:r>
          </w:p>
        </w:tc>
      </w:tr>
      <w:tr w14:paraId="38841AC8">
        <w:tblPrEx>
          <w:tblCellMar>
            <w:top w:w="0" w:type="dxa"/>
            <w:left w:w="108" w:type="dxa"/>
            <w:bottom w:w="0" w:type="dxa"/>
            <w:right w:w="108" w:type="dxa"/>
          </w:tblCellMar>
        </w:tblPrEx>
        <w:trPr>
          <w:cantSplit/>
        </w:trPr>
        <w:tc>
          <w:tcPr>
            <w:tcW w:w="3599" w:type="dxa"/>
            <w:tcBorders>
              <w:bottom w:val="single" w:color="000000" w:sz="8" w:space="0"/>
            </w:tcBorders>
            <w:vAlign w:val="center"/>
          </w:tcPr>
          <w:p w14:paraId="6DA1084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全问卷</w:t>
            </w:r>
          </w:p>
        </w:tc>
        <w:tc>
          <w:tcPr>
            <w:tcW w:w="2160" w:type="dxa"/>
            <w:tcBorders>
              <w:bottom w:val="single" w:color="000000" w:sz="8" w:space="0"/>
            </w:tcBorders>
            <w:vAlign w:val="center"/>
          </w:tcPr>
          <w:p w14:paraId="51A83FE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32</w:t>
            </w:r>
          </w:p>
        </w:tc>
        <w:tc>
          <w:tcPr>
            <w:tcW w:w="4177" w:type="dxa"/>
            <w:tcBorders>
              <w:bottom w:val="single" w:color="000000" w:sz="8" w:space="0"/>
            </w:tcBorders>
            <w:vAlign w:val="center"/>
          </w:tcPr>
          <w:p w14:paraId="7B52F80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0.975</w:t>
            </w:r>
          </w:p>
        </w:tc>
      </w:tr>
    </w:tbl>
    <w:p w14:paraId="0E3DF70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2）KMO与Bartlett球形检验</w:t>
      </w:r>
    </w:p>
    <w:p w14:paraId="1055CB0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KMO检验值为0.9823，Bartlett球形检验结果为χ²（496）＝34209.680，p＜0.001，表明题项相关矩阵并非单位矩阵，数据具备开展后续结构分析的条件，具体结果见表3-2。</w:t>
      </w:r>
    </w:p>
    <w:p w14:paraId="64EE569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表3-2  学生高阶能力问卷KMO与Bartlett球形检验结果</w:t>
      </w:r>
    </w:p>
    <w:tbl>
      <w:tblPr>
        <w:tblStyle w:val="12"/>
        <w:tblW w:w="9936" w:type="dxa"/>
        <w:tblInd w:w="0" w:type="dxa"/>
        <w:tblLayout w:type="fixed"/>
        <w:tblCellMar>
          <w:top w:w="0" w:type="dxa"/>
          <w:left w:w="108" w:type="dxa"/>
          <w:bottom w:w="0" w:type="dxa"/>
          <w:right w:w="108" w:type="dxa"/>
        </w:tblCellMar>
      </w:tblPr>
      <w:tblGrid>
        <w:gridCol w:w="3599"/>
        <w:gridCol w:w="3169"/>
        <w:gridCol w:w="3168"/>
      </w:tblGrid>
      <w:tr w14:paraId="66EC7370">
        <w:tblPrEx>
          <w:tblCellMar>
            <w:top w:w="0" w:type="dxa"/>
            <w:left w:w="108" w:type="dxa"/>
            <w:bottom w:w="0" w:type="dxa"/>
            <w:right w:w="108" w:type="dxa"/>
          </w:tblCellMar>
        </w:tblPrEx>
        <w:trPr>
          <w:cantSplit/>
          <w:tblHeader/>
        </w:trPr>
        <w:tc>
          <w:tcPr>
            <w:tcW w:w="3599" w:type="dxa"/>
            <w:tcBorders>
              <w:top w:val="single" w:color="000000" w:sz="8" w:space="0"/>
              <w:bottom w:val="single" w:color="000000" w:sz="8" w:space="0"/>
            </w:tcBorders>
            <w:vAlign w:val="center"/>
          </w:tcPr>
          <w:p w14:paraId="753C3BF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检验项目</w:t>
            </w:r>
          </w:p>
        </w:tc>
        <w:tc>
          <w:tcPr>
            <w:tcW w:w="3169" w:type="dxa"/>
            <w:tcBorders>
              <w:top w:val="single" w:color="000000" w:sz="8" w:space="0"/>
              <w:bottom w:val="single" w:color="000000" w:sz="8" w:space="0"/>
            </w:tcBorders>
            <w:vAlign w:val="center"/>
          </w:tcPr>
          <w:p w14:paraId="749B0F0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指标</w:t>
            </w:r>
          </w:p>
        </w:tc>
        <w:tc>
          <w:tcPr>
            <w:tcW w:w="3168" w:type="dxa"/>
            <w:tcBorders>
              <w:top w:val="single" w:color="000000" w:sz="8" w:space="0"/>
              <w:bottom w:val="single" w:color="000000" w:sz="8" w:space="0"/>
            </w:tcBorders>
            <w:vAlign w:val="center"/>
          </w:tcPr>
          <w:p w14:paraId="0D93D9AE">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结果</w:t>
            </w:r>
          </w:p>
        </w:tc>
      </w:tr>
      <w:tr w14:paraId="0A2437FC">
        <w:tblPrEx>
          <w:tblCellMar>
            <w:top w:w="0" w:type="dxa"/>
            <w:left w:w="108" w:type="dxa"/>
            <w:bottom w:w="0" w:type="dxa"/>
            <w:right w:w="108" w:type="dxa"/>
          </w:tblCellMar>
        </w:tblPrEx>
        <w:trPr>
          <w:cantSplit/>
        </w:trPr>
        <w:tc>
          <w:tcPr>
            <w:tcW w:w="3599" w:type="dxa"/>
            <w:vAlign w:val="center"/>
          </w:tcPr>
          <w:p w14:paraId="6C76D7E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KMO检验</w:t>
            </w:r>
          </w:p>
        </w:tc>
        <w:tc>
          <w:tcPr>
            <w:tcW w:w="3169" w:type="dxa"/>
            <w:vAlign w:val="center"/>
          </w:tcPr>
          <w:p w14:paraId="3A6809DE">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取样适切性量数</w:t>
            </w:r>
          </w:p>
        </w:tc>
        <w:tc>
          <w:tcPr>
            <w:tcW w:w="3168" w:type="dxa"/>
            <w:vAlign w:val="center"/>
          </w:tcPr>
          <w:p w14:paraId="3C81E07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0.9823</w:t>
            </w:r>
          </w:p>
        </w:tc>
      </w:tr>
      <w:tr w14:paraId="26851C08">
        <w:tblPrEx>
          <w:tblCellMar>
            <w:top w:w="0" w:type="dxa"/>
            <w:left w:w="108" w:type="dxa"/>
            <w:bottom w:w="0" w:type="dxa"/>
            <w:right w:w="108" w:type="dxa"/>
          </w:tblCellMar>
        </w:tblPrEx>
        <w:trPr>
          <w:cantSplit/>
        </w:trPr>
        <w:tc>
          <w:tcPr>
            <w:tcW w:w="3599" w:type="dxa"/>
            <w:vAlign w:val="center"/>
          </w:tcPr>
          <w:p w14:paraId="36BEAC0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Bartlett球形检验</w:t>
            </w:r>
          </w:p>
        </w:tc>
        <w:tc>
          <w:tcPr>
            <w:tcW w:w="3169" w:type="dxa"/>
            <w:vAlign w:val="center"/>
          </w:tcPr>
          <w:p w14:paraId="40BE307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近似χ²</w:t>
            </w:r>
          </w:p>
        </w:tc>
        <w:tc>
          <w:tcPr>
            <w:tcW w:w="3168" w:type="dxa"/>
            <w:vAlign w:val="center"/>
          </w:tcPr>
          <w:p w14:paraId="6DF72C1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34209.680</w:t>
            </w:r>
          </w:p>
        </w:tc>
      </w:tr>
      <w:tr w14:paraId="1147C232">
        <w:tblPrEx>
          <w:tblCellMar>
            <w:top w:w="0" w:type="dxa"/>
            <w:left w:w="108" w:type="dxa"/>
            <w:bottom w:w="0" w:type="dxa"/>
            <w:right w:w="108" w:type="dxa"/>
          </w:tblCellMar>
        </w:tblPrEx>
        <w:trPr>
          <w:cantSplit/>
        </w:trPr>
        <w:tc>
          <w:tcPr>
            <w:tcW w:w="3599" w:type="dxa"/>
            <w:vAlign w:val="center"/>
          </w:tcPr>
          <w:p w14:paraId="16753D3C">
            <w:pPr>
              <w:spacing w:before="0" w:after="0" w:line="240" w:lineRule="auto"/>
              <w:ind w:firstLine="0"/>
              <w:jc w:val="center"/>
              <w:rPr>
                <w:rFonts w:hint="eastAsia" w:ascii="宋体" w:hAnsi="宋体" w:eastAsia="宋体" w:cs="宋体"/>
              </w:rPr>
            </w:pPr>
          </w:p>
        </w:tc>
        <w:tc>
          <w:tcPr>
            <w:tcW w:w="3169" w:type="dxa"/>
            <w:vAlign w:val="center"/>
          </w:tcPr>
          <w:p w14:paraId="2FF49E9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自由度</w:t>
            </w:r>
          </w:p>
        </w:tc>
        <w:tc>
          <w:tcPr>
            <w:tcW w:w="3168" w:type="dxa"/>
            <w:vAlign w:val="center"/>
          </w:tcPr>
          <w:p w14:paraId="16EDB0E7">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496</w:t>
            </w:r>
          </w:p>
        </w:tc>
      </w:tr>
      <w:tr w14:paraId="654C64E1">
        <w:tblPrEx>
          <w:tblCellMar>
            <w:top w:w="0" w:type="dxa"/>
            <w:left w:w="108" w:type="dxa"/>
            <w:bottom w:w="0" w:type="dxa"/>
            <w:right w:w="108" w:type="dxa"/>
          </w:tblCellMar>
        </w:tblPrEx>
        <w:trPr>
          <w:cantSplit/>
        </w:trPr>
        <w:tc>
          <w:tcPr>
            <w:tcW w:w="3599" w:type="dxa"/>
            <w:tcBorders>
              <w:bottom w:val="single" w:color="000000" w:sz="8" w:space="0"/>
            </w:tcBorders>
            <w:vAlign w:val="center"/>
          </w:tcPr>
          <w:p w14:paraId="6315BEEB">
            <w:pPr>
              <w:spacing w:before="0" w:after="0" w:line="240" w:lineRule="auto"/>
              <w:ind w:firstLine="0"/>
              <w:jc w:val="center"/>
              <w:rPr>
                <w:rFonts w:hint="eastAsia" w:ascii="宋体" w:hAnsi="宋体" w:eastAsia="宋体" w:cs="宋体"/>
              </w:rPr>
            </w:pPr>
          </w:p>
        </w:tc>
        <w:tc>
          <w:tcPr>
            <w:tcW w:w="3169" w:type="dxa"/>
            <w:tcBorders>
              <w:bottom w:val="single" w:color="000000" w:sz="8" w:space="0"/>
            </w:tcBorders>
            <w:vAlign w:val="center"/>
          </w:tcPr>
          <w:p w14:paraId="72BD03E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p值</w:t>
            </w:r>
          </w:p>
        </w:tc>
        <w:tc>
          <w:tcPr>
            <w:tcW w:w="3168" w:type="dxa"/>
            <w:tcBorders>
              <w:bottom w:val="single" w:color="000000" w:sz="8" w:space="0"/>
            </w:tcBorders>
            <w:vAlign w:val="center"/>
          </w:tcPr>
          <w:p w14:paraId="30ED933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bl>
    <w:p w14:paraId="72B1E631">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3）主成分方差解释情况</w:t>
      </w:r>
    </w:p>
    <w:p w14:paraId="2AAF5A08">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sz w:val="24"/>
        </w:rPr>
        <w:t>采用基于Pearson相关矩阵的主成分分析，前两个成分的特征值大于1，分别为18.182和1.312，方差解释率分别为56.82%和4.10%，累计方差解释率为60.92%，具体结果见表3-3。</w:t>
      </w:r>
    </w:p>
    <w:p w14:paraId="1DE2FA4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表3-3  学生高阶能力问卷主成分方差解释情况</w:t>
      </w:r>
    </w:p>
    <w:tbl>
      <w:tblPr>
        <w:tblStyle w:val="12"/>
        <w:tblW w:w="9936" w:type="dxa"/>
        <w:tblInd w:w="0" w:type="dxa"/>
        <w:tblLayout w:type="fixed"/>
        <w:tblCellMar>
          <w:top w:w="0" w:type="dxa"/>
          <w:left w:w="108" w:type="dxa"/>
          <w:bottom w:w="0" w:type="dxa"/>
          <w:right w:w="108" w:type="dxa"/>
        </w:tblCellMar>
      </w:tblPr>
      <w:tblGrid>
        <w:gridCol w:w="2160"/>
        <w:gridCol w:w="2160"/>
        <w:gridCol w:w="2592"/>
        <w:gridCol w:w="3024"/>
      </w:tblGrid>
      <w:tr w14:paraId="037B0588">
        <w:tblPrEx>
          <w:tblCellMar>
            <w:top w:w="0" w:type="dxa"/>
            <w:left w:w="108" w:type="dxa"/>
            <w:bottom w:w="0" w:type="dxa"/>
            <w:right w:w="108" w:type="dxa"/>
          </w:tblCellMar>
        </w:tblPrEx>
        <w:trPr>
          <w:cantSplit/>
          <w:tblHeader/>
        </w:trPr>
        <w:tc>
          <w:tcPr>
            <w:tcW w:w="2160" w:type="dxa"/>
            <w:tcBorders>
              <w:top w:val="single" w:color="000000" w:sz="8" w:space="0"/>
              <w:bottom w:val="single" w:color="000000" w:sz="8" w:space="0"/>
            </w:tcBorders>
            <w:vAlign w:val="center"/>
          </w:tcPr>
          <w:p w14:paraId="6E727A1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成分</w:t>
            </w:r>
          </w:p>
        </w:tc>
        <w:tc>
          <w:tcPr>
            <w:tcW w:w="2160" w:type="dxa"/>
            <w:tcBorders>
              <w:top w:val="single" w:color="000000" w:sz="8" w:space="0"/>
              <w:bottom w:val="single" w:color="000000" w:sz="8" w:space="0"/>
            </w:tcBorders>
            <w:vAlign w:val="center"/>
          </w:tcPr>
          <w:p w14:paraId="02F0E4A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特征值</w:t>
            </w:r>
          </w:p>
        </w:tc>
        <w:tc>
          <w:tcPr>
            <w:tcW w:w="2592" w:type="dxa"/>
            <w:tcBorders>
              <w:top w:val="single" w:color="000000" w:sz="8" w:space="0"/>
              <w:bottom w:val="single" w:color="000000" w:sz="8" w:space="0"/>
            </w:tcBorders>
            <w:vAlign w:val="center"/>
          </w:tcPr>
          <w:p w14:paraId="5B98AD4C">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方差解释率</w:t>
            </w:r>
          </w:p>
        </w:tc>
        <w:tc>
          <w:tcPr>
            <w:tcW w:w="3024" w:type="dxa"/>
            <w:tcBorders>
              <w:top w:val="single" w:color="000000" w:sz="8" w:space="0"/>
              <w:bottom w:val="single" w:color="000000" w:sz="8" w:space="0"/>
            </w:tcBorders>
            <w:vAlign w:val="center"/>
          </w:tcPr>
          <w:p w14:paraId="464F0FE6">
            <w:pPr>
              <w:spacing w:before="0" w:after="0" w:line="240" w:lineRule="auto"/>
              <w:ind w:firstLine="0"/>
              <w:jc w:val="center"/>
              <w:rPr>
                <w:rFonts w:hint="eastAsia" w:ascii="宋体" w:hAnsi="宋体" w:eastAsia="宋体" w:cs="宋体"/>
              </w:rPr>
            </w:pPr>
            <w:r>
              <w:rPr>
                <w:rFonts w:hint="eastAsia" w:ascii="宋体" w:hAnsi="宋体" w:eastAsia="宋体" w:cs="宋体"/>
                <w:b/>
                <w:sz w:val="21"/>
              </w:rPr>
              <w:t>累计方差解释率</w:t>
            </w:r>
          </w:p>
        </w:tc>
      </w:tr>
      <w:tr w14:paraId="5EEE5708">
        <w:tblPrEx>
          <w:tblCellMar>
            <w:top w:w="0" w:type="dxa"/>
            <w:left w:w="108" w:type="dxa"/>
            <w:bottom w:w="0" w:type="dxa"/>
            <w:right w:w="108" w:type="dxa"/>
          </w:tblCellMar>
        </w:tblPrEx>
        <w:trPr>
          <w:cantSplit/>
        </w:trPr>
        <w:tc>
          <w:tcPr>
            <w:tcW w:w="2160" w:type="dxa"/>
            <w:vAlign w:val="center"/>
          </w:tcPr>
          <w:p w14:paraId="3395204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第一成分</w:t>
            </w:r>
          </w:p>
        </w:tc>
        <w:tc>
          <w:tcPr>
            <w:tcW w:w="2160" w:type="dxa"/>
            <w:vAlign w:val="center"/>
          </w:tcPr>
          <w:p w14:paraId="17AEC22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18.182</w:t>
            </w:r>
          </w:p>
        </w:tc>
        <w:tc>
          <w:tcPr>
            <w:tcW w:w="2592" w:type="dxa"/>
            <w:vAlign w:val="center"/>
          </w:tcPr>
          <w:p w14:paraId="53C0C3B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56.82%</w:t>
            </w:r>
          </w:p>
        </w:tc>
        <w:tc>
          <w:tcPr>
            <w:tcW w:w="3024" w:type="dxa"/>
            <w:vAlign w:val="center"/>
          </w:tcPr>
          <w:p w14:paraId="67031B0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56.82%</w:t>
            </w:r>
          </w:p>
        </w:tc>
      </w:tr>
      <w:tr w14:paraId="1FD1B634">
        <w:tblPrEx>
          <w:tblCellMar>
            <w:top w:w="0" w:type="dxa"/>
            <w:left w:w="108" w:type="dxa"/>
            <w:bottom w:w="0" w:type="dxa"/>
            <w:right w:w="108" w:type="dxa"/>
          </w:tblCellMar>
        </w:tblPrEx>
        <w:trPr>
          <w:cantSplit/>
        </w:trPr>
        <w:tc>
          <w:tcPr>
            <w:tcW w:w="2160" w:type="dxa"/>
            <w:tcBorders>
              <w:bottom w:val="single" w:color="000000" w:sz="8" w:space="0"/>
            </w:tcBorders>
            <w:vAlign w:val="center"/>
          </w:tcPr>
          <w:p w14:paraId="4A59624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第二成分</w:t>
            </w:r>
          </w:p>
        </w:tc>
        <w:tc>
          <w:tcPr>
            <w:tcW w:w="2160" w:type="dxa"/>
            <w:tcBorders>
              <w:bottom w:val="single" w:color="000000" w:sz="8" w:space="0"/>
            </w:tcBorders>
            <w:vAlign w:val="center"/>
          </w:tcPr>
          <w:p w14:paraId="6BCEEC4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1.312</w:t>
            </w:r>
          </w:p>
        </w:tc>
        <w:tc>
          <w:tcPr>
            <w:tcW w:w="2592" w:type="dxa"/>
            <w:tcBorders>
              <w:bottom w:val="single" w:color="000000" w:sz="8" w:space="0"/>
            </w:tcBorders>
            <w:vAlign w:val="center"/>
          </w:tcPr>
          <w:p w14:paraId="1804DAB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4.10%</w:t>
            </w:r>
          </w:p>
        </w:tc>
        <w:tc>
          <w:tcPr>
            <w:tcW w:w="3024" w:type="dxa"/>
            <w:tcBorders>
              <w:bottom w:val="single" w:color="000000" w:sz="8" w:space="0"/>
            </w:tcBorders>
            <w:vAlign w:val="center"/>
          </w:tcPr>
          <w:p w14:paraId="0FB4816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60.92%</w:t>
            </w:r>
          </w:p>
        </w:tc>
      </w:tr>
    </w:tbl>
    <w:p w14:paraId="5CDF5BF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问卷题项呈现出较强的共同性，第一主成分占据主导，说明学生不同方面的高阶能力自评具有较密切的关联。现有分析尚不足以确认七个理论维度的区分性，七维划分主要依据理论框架与题项内容，用于描述学生不同方面的学习表现。</w:t>
      </w:r>
    </w:p>
    <w:p w14:paraId="134600C4">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综合上述结果，问卷具有较好的内部一致性，题项之间存在较充分的共同相关性，可用于描述学生的高阶能力自评表现。七个维度在本研究中作为依据理论与题项内容划分的分析框架，其结构区分性仍有待进一步检验。</w:t>
      </w:r>
    </w:p>
    <w:p w14:paraId="011B9A29">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szCs w:val="32"/>
        </w:rPr>
      </w:pPr>
      <w:bookmarkStart w:id="57" w:name="_Toc28101"/>
      <w:r>
        <w:rPr>
          <w:rFonts w:hint="eastAsia" w:ascii="宋体" w:hAnsi="宋体" w:eastAsia="宋体" w:cs="宋体"/>
          <w:b w:val="0"/>
          <w:bCs/>
          <w:sz w:val="24"/>
          <w:szCs w:val="32"/>
        </w:rPr>
        <w:t>（4）中学生高阶能力基础情况的问卷调查与分析</w:t>
      </w:r>
      <w:bookmarkEnd w:id="57"/>
    </w:p>
    <w:p w14:paraId="3AAD80D5">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1）高阶能力总体情况分析</w:t>
      </w:r>
    </w:p>
    <w:p w14:paraId="2396FC3D">
      <w:pPr>
        <w:keepNext/>
        <w:spacing w:line="240" w:lineRule="auto"/>
        <w:ind w:firstLine="0"/>
        <w:jc w:val="center"/>
        <w:rPr>
          <w:rFonts w:hint="eastAsia" w:ascii="宋体" w:hAnsi="宋体" w:eastAsia="宋体" w:cs="宋体"/>
          <w:lang w:eastAsia="zh-CN"/>
        </w:rPr>
      </w:pPr>
      <w:r>
        <w:rPr>
          <w:rFonts w:hint="eastAsia" w:ascii="宋体" w:hAnsi="宋体" w:eastAsia="宋体" w:cs="宋体"/>
          <w:b w:val="0"/>
          <w:sz w:val="21"/>
        </w:rPr>
        <w:t>表3-4  学生高阶能力总体表现（n＝1346）</w:t>
      </w:r>
    </w:p>
    <w:tbl>
      <w:tblPr>
        <w:tblStyle w:val="12"/>
        <w:tblW w:w="9936" w:type="dxa"/>
        <w:tblInd w:w="0" w:type="dxa"/>
        <w:tblLayout w:type="fixed"/>
        <w:tblCellMar>
          <w:top w:w="0" w:type="dxa"/>
          <w:left w:w="108" w:type="dxa"/>
          <w:bottom w:w="0" w:type="dxa"/>
          <w:right w:w="108" w:type="dxa"/>
        </w:tblCellMar>
      </w:tblPr>
      <w:tblGrid>
        <w:gridCol w:w="4752"/>
        <w:gridCol w:w="2591"/>
        <w:gridCol w:w="2593"/>
      </w:tblGrid>
      <w:tr w14:paraId="49A7C824">
        <w:tblPrEx>
          <w:tblCellMar>
            <w:top w:w="0" w:type="dxa"/>
            <w:left w:w="108" w:type="dxa"/>
            <w:bottom w:w="0" w:type="dxa"/>
            <w:right w:w="108" w:type="dxa"/>
          </w:tblCellMar>
        </w:tblPrEx>
        <w:trPr>
          <w:cantSplit/>
          <w:tblHeader/>
        </w:trPr>
        <w:tc>
          <w:tcPr>
            <w:tcW w:w="4752" w:type="dxa"/>
            <w:tcBorders>
              <w:top w:val="single" w:color="000000" w:sz="8" w:space="0"/>
              <w:bottom w:val="single" w:color="000000" w:sz="8" w:space="0"/>
            </w:tcBorders>
            <w:vAlign w:val="center"/>
          </w:tcPr>
          <w:p w14:paraId="029FAC6A">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指标</w:t>
            </w:r>
          </w:p>
        </w:tc>
        <w:tc>
          <w:tcPr>
            <w:tcW w:w="2591" w:type="dxa"/>
            <w:tcBorders>
              <w:top w:val="single" w:color="000000" w:sz="8" w:space="0"/>
              <w:bottom w:val="single" w:color="000000" w:sz="8" w:space="0"/>
            </w:tcBorders>
            <w:vAlign w:val="center"/>
          </w:tcPr>
          <w:p w14:paraId="09A6124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w:t>
            </w:r>
          </w:p>
        </w:tc>
        <w:tc>
          <w:tcPr>
            <w:tcW w:w="2593" w:type="dxa"/>
            <w:tcBorders>
              <w:top w:val="single" w:color="000000" w:sz="8" w:space="0"/>
              <w:bottom w:val="single" w:color="000000" w:sz="8" w:space="0"/>
            </w:tcBorders>
            <w:vAlign w:val="center"/>
          </w:tcPr>
          <w:p w14:paraId="3FCB0B31">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标准差</w:t>
            </w:r>
          </w:p>
        </w:tc>
      </w:tr>
      <w:tr w14:paraId="1D2F11FF">
        <w:tblPrEx>
          <w:tblCellMar>
            <w:top w:w="0" w:type="dxa"/>
            <w:left w:w="108" w:type="dxa"/>
            <w:bottom w:w="0" w:type="dxa"/>
            <w:right w:w="108" w:type="dxa"/>
          </w:tblCellMar>
        </w:tblPrEx>
        <w:trPr>
          <w:cantSplit/>
        </w:trPr>
        <w:tc>
          <w:tcPr>
            <w:tcW w:w="4752" w:type="dxa"/>
            <w:vAlign w:val="center"/>
          </w:tcPr>
          <w:p w14:paraId="427CE438">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高阶能力总体</w:t>
            </w:r>
          </w:p>
        </w:tc>
        <w:tc>
          <w:tcPr>
            <w:tcW w:w="2591" w:type="dxa"/>
            <w:vAlign w:val="center"/>
          </w:tcPr>
          <w:p w14:paraId="7D15546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3.64</w:t>
            </w:r>
          </w:p>
        </w:tc>
        <w:tc>
          <w:tcPr>
            <w:tcW w:w="2593" w:type="dxa"/>
            <w:vAlign w:val="center"/>
          </w:tcPr>
          <w:p w14:paraId="4875926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w:t>
            </w:r>
          </w:p>
        </w:tc>
      </w:tr>
      <w:tr w14:paraId="1C7C9F27">
        <w:tblPrEx>
          <w:tblCellMar>
            <w:top w:w="0" w:type="dxa"/>
            <w:left w:w="108" w:type="dxa"/>
            <w:bottom w:w="0" w:type="dxa"/>
            <w:right w:w="108" w:type="dxa"/>
          </w:tblCellMar>
        </w:tblPrEx>
        <w:trPr>
          <w:cantSplit/>
        </w:trPr>
        <w:tc>
          <w:tcPr>
            <w:tcW w:w="4752" w:type="dxa"/>
            <w:vAlign w:val="center"/>
          </w:tcPr>
          <w:p w14:paraId="00B3CD8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高阶思维能力</w:t>
            </w:r>
          </w:p>
        </w:tc>
        <w:tc>
          <w:tcPr>
            <w:tcW w:w="2591" w:type="dxa"/>
            <w:vAlign w:val="center"/>
          </w:tcPr>
          <w:p w14:paraId="48A59F1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w:t>
            </w:r>
          </w:p>
        </w:tc>
        <w:tc>
          <w:tcPr>
            <w:tcW w:w="2593" w:type="dxa"/>
            <w:vAlign w:val="center"/>
          </w:tcPr>
          <w:p w14:paraId="26EE0883">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0.50</w:t>
            </w:r>
          </w:p>
        </w:tc>
      </w:tr>
      <w:tr w14:paraId="58C4010C">
        <w:tblPrEx>
          <w:tblCellMar>
            <w:top w:w="0" w:type="dxa"/>
            <w:left w:w="108" w:type="dxa"/>
            <w:bottom w:w="0" w:type="dxa"/>
            <w:right w:w="108" w:type="dxa"/>
          </w:tblCellMar>
        </w:tblPrEx>
        <w:trPr>
          <w:cantSplit/>
        </w:trPr>
        <w:tc>
          <w:tcPr>
            <w:tcW w:w="4752" w:type="dxa"/>
            <w:tcBorders>
              <w:bottom w:val="single" w:color="000000" w:sz="8" w:space="0"/>
            </w:tcBorders>
            <w:vAlign w:val="center"/>
          </w:tcPr>
          <w:p w14:paraId="79956AD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高阶社会情感能力</w:t>
            </w:r>
          </w:p>
        </w:tc>
        <w:tc>
          <w:tcPr>
            <w:tcW w:w="2591" w:type="dxa"/>
            <w:tcBorders>
              <w:bottom w:val="single" w:color="000000" w:sz="8" w:space="0"/>
            </w:tcBorders>
            <w:vAlign w:val="center"/>
          </w:tcPr>
          <w:p w14:paraId="0E35AB55">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w:t>
            </w:r>
          </w:p>
        </w:tc>
        <w:tc>
          <w:tcPr>
            <w:tcW w:w="2593" w:type="dxa"/>
            <w:tcBorders>
              <w:bottom w:val="single" w:color="000000" w:sz="8" w:space="0"/>
            </w:tcBorders>
            <w:vAlign w:val="center"/>
          </w:tcPr>
          <w:p w14:paraId="01B1BFC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w:t>
            </w:r>
          </w:p>
        </w:tc>
      </w:tr>
    </w:tbl>
    <w:p w14:paraId="3B46FD1F">
      <w:pPr>
        <w:pageBreakBefore w:val="0"/>
        <w:numPr>
          <w:ilvl w:val="0"/>
          <w:numId w:val="0"/>
        </w:numPr>
        <w:overflowPunct w:val="0"/>
        <w:bidi w:val="0"/>
        <w:snapToGrid w:val="0"/>
        <w:spacing w:line="360" w:lineRule="auto"/>
        <w:ind w:left="0" w:firstLine="0"/>
        <w:textAlignment w:val="auto"/>
        <w:rPr>
          <w:rFonts w:hint="eastAsia" w:ascii="宋体" w:hAnsi="宋体" w:eastAsia="宋体" w:cs="宋体"/>
          <w:color w:val="auto"/>
          <w:kern w:val="0"/>
          <w:sz w:val="24"/>
          <w:szCs w:val="24"/>
          <w:lang w:val="en-US" w:eastAsia="zh-CN"/>
        </w:rPr>
      </w:pPr>
    </w:p>
    <w:p w14:paraId="1E2609B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学生高阶能力总体均值为3.64，介于“一般符合”与“比较符合”之间，表明学生对自身相关学习表现总体持较积极评价。其中，高阶思维能力均值为3.60，高阶社会情感能力均值为3.65，两者相差约0.05分。从描述性结果看，两类自评得分较为接近。</w:t>
      </w:r>
    </w:p>
    <w:p w14:paraId="510F2E9F">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高阶能力总体得分的标准差为0.47，高阶思维和高阶社会情感能力的标准差分别为0.50和0.47，说明学生之间存在一定差异，两类得分的离散程度较为接近。后续教学既需要关注整体相对薄弱的认知表现，也需要根据学生在情绪调节、责任履行与合作参与中的不同表现提供支持。</w:t>
      </w:r>
    </w:p>
    <w:p w14:paraId="608EA7A5">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bCs/>
          <w:sz w:val="24"/>
          <w:szCs w:val="32"/>
        </w:rPr>
      </w:pPr>
      <w:r>
        <w:rPr>
          <w:rFonts w:hint="eastAsia" w:ascii="宋体" w:hAnsi="宋体" w:eastAsia="宋体" w:cs="宋体"/>
          <w:b w:val="0"/>
          <w:bCs/>
          <w:sz w:val="24"/>
          <w:szCs w:val="32"/>
        </w:rPr>
        <w:t>2）高阶能力各维度分析</w:t>
      </w:r>
    </w:p>
    <w:p w14:paraId="306F98F5">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①分析</w:t>
      </w:r>
    </w:p>
    <w:p w14:paraId="7C87F5B5">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  分析维度各题项统计（n＝1346）</w:t>
      </w:r>
    </w:p>
    <w:tbl>
      <w:tblPr>
        <w:tblStyle w:val="12"/>
        <w:tblW w:w="9936" w:type="dxa"/>
        <w:tblInd w:w="0" w:type="dxa"/>
        <w:tblLayout w:type="fixed"/>
        <w:tblCellMar>
          <w:top w:w="0" w:type="dxa"/>
          <w:left w:w="108" w:type="dxa"/>
          <w:bottom w:w="0" w:type="dxa"/>
          <w:right w:w="108" w:type="dxa"/>
        </w:tblCellMar>
      </w:tblPr>
      <w:tblGrid>
        <w:gridCol w:w="690"/>
        <w:gridCol w:w="5731"/>
        <w:gridCol w:w="936"/>
        <w:gridCol w:w="936"/>
        <w:gridCol w:w="1643"/>
      </w:tblGrid>
      <w:tr w14:paraId="0DB1BCAE">
        <w:tblPrEx>
          <w:tblCellMar>
            <w:top w:w="0" w:type="dxa"/>
            <w:left w:w="108" w:type="dxa"/>
            <w:bottom w:w="0" w:type="dxa"/>
            <w:right w:w="108" w:type="dxa"/>
          </w:tblCellMar>
        </w:tblPrEx>
        <w:trPr>
          <w:cantSplit/>
          <w:tblHeader/>
        </w:trPr>
        <w:tc>
          <w:tcPr>
            <w:tcW w:w="690" w:type="dxa"/>
            <w:tcBorders>
              <w:top w:val="single" w:color="000000" w:sz="8" w:space="0"/>
              <w:bottom w:val="single" w:color="000000" w:sz="8" w:space="0"/>
            </w:tcBorders>
            <w:vAlign w:val="center"/>
          </w:tcPr>
          <w:p w14:paraId="2E860E78">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题号</w:t>
            </w:r>
          </w:p>
        </w:tc>
        <w:tc>
          <w:tcPr>
            <w:tcW w:w="5731" w:type="dxa"/>
            <w:tcBorders>
              <w:top w:val="single" w:color="000000" w:sz="8" w:space="0"/>
              <w:bottom w:val="single" w:color="000000" w:sz="8" w:space="0"/>
            </w:tcBorders>
            <w:vAlign w:val="center"/>
          </w:tcPr>
          <w:p w14:paraId="2F3E2403">
            <w:pPr>
              <w:spacing w:before="0" w:after="0" w:line="240" w:lineRule="auto"/>
              <w:ind w:firstLine="0"/>
              <w:jc w:val="center"/>
              <w:rPr>
                <w:rFonts w:hint="eastAsia" w:ascii="宋体" w:hAnsi="宋体" w:eastAsia="宋体" w:cs="宋体"/>
              </w:rPr>
            </w:pPr>
            <w:r>
              <w:rPr>
                <w:rFonts w:hint="eastAsia" w:ascii="宋体" w:hAnsi="宋体" w:eastAsia="宋体" w:cs="宋体"/>
                <w:b/>
                <w:sz w:val="21"/>
              </w:rPr>
              <w:t>题项内容</w:t>
            </w:r>
          </w:p>
        </w:tc>
        <w:tc>
          <w:tcPr>
            <w:tcW w:w="936" w:type="dxa"/>
            <w:tcBorders>
              <w:top w:val="single" w:color="000000" w:sz="8" w:space="0"/>
              <w:bottom w:val="single" w:color="000000" w:sz="8" w:space="0"/>
            </w:tcBorders>
            <w:vAlign w:val="center"/>
          </w:tcPr>
          <w:p w14:paraId="41CC667C">
            <w:pPr>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w:t>
            </w:r>
          </w:p>
        </w:tc>
        <w:tc>
          <w:tcPr>
            <w:tcW w:w="936" w:type="dxa"/>
            <w:tcBorders>
              <w:top w:val="single" w:color="000000" w:sz="8" w:space="0"/>
              <w:bottom w:val="single" w:color="000000" w:sz="8" w:space="0"/>
            </w:tcBorders>
            <w:vAlign w:val="center"/>
          </w:tcPr>
          <w:p w14:paraId="3E679D90">
            <w:pPr>
              <w:spacing w:before="0" w:after="0" w:line="240" w:lineRule="auto"/>
              <w:ind w:firstLine="0"/>
              <w:jc w:val="center"/>
              <w:rPr>
                <w:rFonts w:hint="eastAsia" w:ascii="宋体" w:hAnsi="宋体" w:eastAsia="宋体" w:cs="宋体"/>
              </w:rPr>
            </w:pPr>
            <w:r>
              <w:rPr>
                <w:rFonts w:hint="eastAsia" w:ascii="宋体" w:hAnsi="宋体" w:eastAsia="宋体" w:cs="宋体"/>
                <w:b/>
                <w:sz w:val="21"/>
              </w:rPr>
              <w:t>标准差</w:t>
            </w:r>
          </w:p>
        </w:tc>
        <w:tc>
          <w:tcPr>
            <w:tcW w:w="1643" w:type="dxa"/>
            <w:tcBorders>
              <w:top w:val="single" w:color="000000" w:sz="8" w:space="0"/>
              <w:bottom w:val="single" w:color="000000" w:sz="8" w:space="0"/>
            </w:tcBorders>
            <w:vAlign w:val="center"/>
          </w:tcPr>
          <w:p w14:paraId="48856F5B">
            <w:pPr>
              <w:spacing w:before="0" w:after="0" w:line="240" w:lineRule="auto"/>
              <w:ind w:firstLine="0"/>
              <w:jc w:val="both"/>
              <w:rPr>
                <w:rFonts w:hint="eastAsia" w:ascii="宋体" w:hAnsi="宋体" w:eastAsia="宋体" w:cs="宋体"/>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tc>
      </w:tr>
      <w:tr w14:paraId="1ED1E150">
        <w:tblPrEx>
          <w:tblCellMar>
            <w:top w:w="0" w:type="dxa"/>
            <w:left w:w="108" w:type="dxa"/>
            <w:bottom w:w="0" w:type="dxa"/>
            <w:right w:w="108" w:type="dxa"/>
          </w:tblCellMar>
        </w:tblPrEx>
        <w:trPr>
          <w:cantSplit/>
        </w:trPr>
        <w:tc>
          <w:tcPr>
            <w:tcW w:w="690" w:type="dxa"/>
            <w:vAlign w:val="center"/>
          </w:tcPr>
          <w:p w14:paraId="0566FA6C">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Q1</w:t>
            </w:r>
          </w:p>
        </w:tc>
        <w:tc>
          <w:tcPr>
            <w:tcW w:w="5731" w:type="dxa"/>
            <w:vAlign w:val="center"/>
          </w:tcPr>
          <w:p w14:paraId="1B1D2D24">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遇到比较复杂的学习问题时，我会把它分成几个小问题来思考</w:t>
            </w:r>
          </w:p>
        </w:tc>
        <w:tc>
          <w:tcPr>
            <w:tcW w:w="936" w:type="dxa"/>
            <w:vAlign w:val="center"/>
          </w:tcPr>
          <w:p w14:paraId="3D344357">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3.50</w:t>
            </w:r>
          </w:p>
        </w:tc>
        <w:tc>
          <w:tcPr>
            <w:tcW w:w="936" w:type="dxa"/>
            <w:vAlign w:val="center"/>
          </w:tcPr>
          <w:p w14:paraId="489AE334">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0.73</w:t>
            </w:r>
          </w:p>
        </w:tc>
        <w:tc>
          <w:tcPr>
            <w:tcW w:w="1643" w:type="dxa"/>
            <w:vAlign w:val="center"/>
          </w:tcPr>
          <w:p w14:paraId="7A40F79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62.18</w:t>
            </w:r>
          </w:p>
        </w:tc>
      </w:tr>
      <w:tr w14:paraId="71286765">
        <w:tblPrEx>
          <w:tblCellMar>
            <w:top w:w="0" w:type="dxa"/>
            <w:left w:w="108" w:type="dxa"/>
            <w:bottom w:w="0" w:type="dxa"/>
            <w:right w:w="108" w:type="dxa"/>
          </w:tblCellMar>
        </w:tblPrEx>
        <w:trPr>
          <w:cantSplit/>
        </w:trPr>
        <w:tc>
          <w:tcPr>
            <w:tcW w:w="690" w:type="dxa"/>
            <w:vAlign w:val="center"/>
          </w:tcPr>
          <w:p w14:paraId="6519635B">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Q2</w:t>
            </w:r>
          </w:p>
        </w:tc>
        <w:tc>
          <w:tcPr>
            <w:tcW w:w="5731" w:type="dxa"/>
            <w:vAlign w:val="center"/>
          </w:tcPr>
          <w:p w14:paraId="1067E4E9">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学习新知识时，我能发现它与以前学过的知识之间的联系</w:t>
            </w:r>
          </w:p>
        </w:tc>
        <w:tc>
          <w:tcPr>
            <w:tcW w:w="936" w:type="dxa"/>
            <w:vAlign w:val="center"/>
          </w:tcPr>
          <w:p w14:paraId="1EA8B609">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3.70</w:t>
            </w:r>
          </w:p>
        </w:tc>
        <w:tc>
          <w:tcPr>
            <w:tcW w:w="936" w:type="dxa"/>
            <w:vAlign w:val="center"/>
          </w:tcPr>
          <w:p w14:paraId="13E64AD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0.58</w:t>
            </w:r>
          </w:p>
        </w:tc>
        <w:tc>
          <w:tcPr>
            <w:tcW w:w="1643" w:type="dxa"/>
            <w:vAlign w:val="center"/>
          </w:tcPr>
          <w:p w14:paraId="3DB66DE1">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75.04</w:t>
            </w:r>
          </w:p>
        </w:tc>
      </w:tr>
      <w:tr w14:paraId="42237FF2">
        <w:tblPrEx>
          <w:tblCellMar>
            <w:top w:w="0" w:type="dxa"/>
            <w:left w:w="108" w:type="dxa"/>
            <w:bottom w:w="0" w:type="dxa"/>
            <w:right w:w="108" w:type="dxa"/>
          </w:tblCellMar>
        </w:tblPrEx>
        <w:trPr>
          <w:cantSplit/>
        </w:trPr>
        <w:tc>
          <w:tcPr>
            <w:tcW w:w="690" w:type="dxa"/>
            <w:vAlign w:val="center"/>
          </w:tcPr>
          <w:p w14:paraId="698AC2E2">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Q3</w:t>
            </w:r>
          </w:p>
        </w:tc>
        <w:tc>
          <w:tcPr>
            <w:tcW w:w="5731" w:type="dxa"/>
            <w:vAlign w:val="center"/>
          </w:tcPr>
          <w:p w14:paraId="1EE66821">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面对较多的学习信息时，我能找出其中重要的内容</w:t>
            </w:r>
          </w:p>
        </w:tc>
        <w:tc>
          <w:tcPr>
            <w:tcW w:w="936" w:type="dxa"/>
            <w:vAlign w:val="center"/>
          </w:tcPr>
          <w:p w14:paraId="4FD8CD4A">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3.67</w:t>
            </w:r>
          </w:p>
        </w:tc>
        <w:tc>
          <w:tcPr>
            <w:tcW w:w="936" w:type="dxa"/>
            <w:vAlign w:val="center"/>
          </w:tcPr>
          <w:p w14:paraId="7EA325C0">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0.60</w:t>
            </w:r>
          </w:p>
        </w:tc>
        <w:tc>
          <w:tcPr>
            <w:tcW w:w="1643" w:type="dxa"/>
            <w:vAlign w:val="center"/>
          </w:tcPr>
          <w:p w14:paraId="13E59D56">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72.81</w:t>
            </w:r>
          </w:p>
        </w:tc>
      </w:tr>
      <w:tr w14:paraId="3A9C2D10">
        <w:tblPrEx>
          <w:tblCellMar>
            <w:top w:w="0" w:type="dxa"/>
            <w:left w:w="108" w:type="dxa"/>
            <w:bottom w:w="0" w:type="dxa"/>
            <w:right w:w="108" w:type="dxa"/>
          </w:tblCellMar>
        </w:tblPrEx>
        <w:trPr>
          <w:cantSplit/>
        </w:trPr>
        <w:tc>
          <w:tcPr>
            <w:tcW w:w="690" w:type="dxa"/>
            <w:tcBorders>
              <w:bottom w:val="single" w:color="000000" w:sz="8" w:space="0"/>
            </w:tcBorders>
            <w:vAlign w:val="center"/>
          </w:tcPr>
          <w:p w14:paraId="7AD5CAFF">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Q4</w:t>
            </w:r>
          </w:p>
        </w:tc>
        <w:tc>
          <w:tcPr>
            <w:tcW w:w="5731" w:type="dxa"/>
            <w:tcBorders>
              <w:bottom w:val="single" w:color="000000" w:sz="8" w:space="0"/>
            </w:tcBorders>
            <w:vAlign w:val="center"/>
          </w:tcPr>
          <w:p w14:paraId="6F2A6A9B">
            <w:pPr>
              <w:spacing w:before="0" w:after="0" w:line="240" w:lineRule="auto"/>
              <w:ind w:firstLine="0"/>
              <w:jc w:val="left"/>
              <w:rPr>
                <w:rFonts w:hint="eastAsia" w:ascii="宋体" w:hAnsi="宋体" w:eastAsia="宋体" w:cs="宋体"/>
              </w:rPr>
            </w:pPr>
            <w:r>
              <w:rPr>
                <w:rFonts w:hint="eastAsia" w:ascii="宋体" w:hAnsi="宋体" w:eastAsia="宋体" w:cs="宋体"/>
                <w:b w:val="0"/>
                <w:sz w:val="21"/>
              </w:rPr>
              <w:t>看到一个现象或结果时，我会进一步思考它产生的原因</w:t>
            </w:r>
          </w:p>
        </w:tc>
        <w:tc>
          <w:tcPr>
            <w:tcW w:w="936" w:type="dxa"/>
            <w:tcBorders>
              <w:bottom w:val="single" w:color="000000" w:sz="8" w:space="0"/>
            </w:tcBorders>
            <w:vAlign w:val="center"/>
          </w:tcPr>
          <w:p w14:paraId="62D86161">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w:t>
            </w:r>
          </w:p>
        </w:tc>
        <w:tc>
          <w:tcPr>
            <w:tcW w:w="936" w:type="dxa"/>
            <w:tcBorders>
              <w:bottom w:val="single" w:color="000000" w:sz="8" w:space="0"/>
            </w:tcBorders>
            <w:vAlign w:val="center"/>
          </w:tcPr>
          <w:p w14:paraId="30E8571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0.64</w:t>
            </w:r>
          </w:p>
        </w:tc>
        <w:tc>
          <w:tcPr>
            <w:tcW w:w="1643" w:type="dxa"/>
            <w:tcBorders>
              <w:bottom w:val="single" w:color="000000" w:sz="8" w:space="0"/>
            </w:tcBorders>
            <w:vAlign w:val="center"/>
          </w:tcPr>
          <w:p w14:paraId="56964FCD">
            <w:pPr>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67.53</w:t>
            </w:r>
          </w:p>
        </w:tc>
      </w:tr>
    </w:tbl>
    <w:p w14:paraId="059583EE">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分析维度均值为3.62，标准差为0.53，低于合作共情、责任担当和包容创新维度。新旧知识联系Q2均值为3.70，积极选择比例为75.04%；复杂问题拆解Q1均值为3.50，积极选择比例为62.18%，为该维度最低。学生对知识联系与重要信息识别的自评相对较高，但将复杂问题转化为若干可处理的小问题仍显不足。教学中应加强问题条件梳理、关键关系辨识与解决步骤设计，通过问题链、关系图和思考过程展示，帮助学生形成较清晰的分析路径。</w:t>
      </w:r>
    </w:p>
    <w:p w14:paraId="1AFF02EC">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②评价</w:t>
      </w:r>
    </w:p>
    <w:p w14:paraId="616E976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  评价维度各题项统计（n＝1346）</w:t>
      </w:r>
    </w:p>
    <w:tbl>
      <w:tblPr>
        <w:tblStyle w:val="12"/>
        <w:tblW w:w="8522" w:type="dxa"/>
        <w:jc w:val="center"/>
        <w:tblLayout w:type="fixed"/>
        <w:tblCellMar>
          <w:top w:w="0" w:type="dxa"/>
          <w:left w:w="0" w:type="dxa"/>
          <w:bottom w:w="0" w:type="dxa"/>
          <w:right w:w="0" w:type="dxa"/>
        </w:tblCellMar>
      </w:tblPr>
      <w:tblGrid>
        <w:gridCol w:w="784"/>
        <w:gridCol w:w="3972"/>
        <w:gridCol w:w="784"/>
        <w:gridCol w:w="975"/>
        <w:gridCol w:w="2007"/>
      </w:tblGrid>
      <w:tr w14:paraId="13CD12D8">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068643F1">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72" w:type="dxa"/>
            <w:tcBorders>
              <w:top w:val="single" w:color="000000" w:sz="12" w:space="0"/>
            </w:tcBorders>
            <w:vAlign w:val="center"/>
          </w:tcPr>
          <w:p w14:paraId="4EA7D003">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4" w:type="dxa"/>
            <w:tcBorders>
              <w:top w:val="single" w:color="000000" w:sz="12" w:space="0"/>
            </w:tcBorders>
            <w:vAlign w:val="center"/>
          </w:tcPr>
          <w:p w14:paraId="6710716E">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6036E183">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07" w:type="dxa"/>
            <w:tcBorders>
              <w:top w:val="single" w:color="000000" w:sz="12" w:space="0"/>
            </w:tcBorders>
            <w:vAlign w:val="center"/>
          </w:tcPr>
          <w:p w14:paraId="55A48A7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4DE1396B">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07308315">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48CCA7E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Q5</w:t>
            </w:r>
          </w:p>
        </w:tc>
        <w:tc>
          <w:tcPr>
            <w:tcW w:w="3972" w:type="dxa"/>
            <w:tcBorders>
              <w:top w:val="single" w:color="000000" w:sz="4" w:space="0"/>
            </w:tcBorders>
            <w:vAlign w:val="center"/>
          </w:tcPr>
          <w:p w14:paraId="6035751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看到一个观点或结论时，我会思考它有没有充分的依据</w:t>
            </w:r>
          </w:p>
        </w:tc>
        <w:tc>
          <w:tcPr>
            <w:tcW w:w="784" w:type="dxa"/>
            <w:tcBorders>
              <w:top w:val="single" w:color="000000" w:sz="4" w:space="0"/>
            </w:tcBorders>
            <w:vAlign w:val="center"/>
          </w:tcPr>
          <w:p w14:paraId="4608B55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3.63</w:t>
            </w:r>
          </w:p>
        </w:tc>
        <w:tc>
          <w:tcPr>
            <w:tcW w:w="975" w:type="dxa"/>
            <w:tcBorders>
              <w:top w:val="single" w:color="000000" w:sz="4" w:space="0"/>
            </w:tcBorders>
            <w:vAlign w:val="center"/>
          </w:tcPr>
          <w:p w14:paraId="0063B14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0.63</w:t>
            </w:r>
          </w:p>
        </w:tc>
        <w:tc>
          <w:tcPr>
            <w:tcW w:w="2007" w:type="dxa"/>
            <w:tcBorders>
              <w:top w:val="single" w:color="000000" w:sz="4" w:space="0"/>
            </w:tcBorders>
            <w:vAlign w:val="center"/>
          </w:tcPr>
          <w:p w14:paraId="177A0AF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70.28</w:t>
            </w:r>
          </w:p>
        </w:tc>
      </w:tr>
      <w:tr w14:paraId="57615335">
        <w:tblPrEx>
          <w:tblCellMar>
            <w:top w:w="0" w:type="dxa"/>
            <w:left w:w="0" w:type="dxa"/>
            <w:bottom w:w="0" w:type="dxa"/>
            <w:right w:w="0" w:type="dxa"/>
          </w:tblCellMar>
        </w:tblPrEx>
        <w:trPr>
          <w:cantSplit/>
          <w:jc w:val="center"/>
        </w:trPr>
        <w:tc>
          <w:tcPr>
            <w:tcW w:w="784" w:type="dxa"/>
            <w:vAlign w:val="center"/>
          </w:tcPr>
          <w:p w14:paraId="6366478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Q6</w:t>
            </w:r>
          </w:p>
        </w:tc>
        <w:tc>
          <w:tcPr>
            <w:tcW w:w="3972" w:type="dxa"/>
            <w:vAlign w:val="center"/>
          </w:tcPr>
          <w:p w14:paraId="6FA9E6B6">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我能发现自己学习方法中存在的问题</w:t>
            </w:r>
          </w:p>
        </w:tc>
        <w:tc>
          <w:tcPr>
            <w:tcW w:w="784" w:type="dxa"/>
            <w:vAlign w:val="center"/>
          </w:tcPr>
          <w:p w14:paraId="70AE544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3.57</w:t>
            </w:r>
          </w:p>
        </w:tc>
        <w:tc>
          <w:tcPr>
            <w:tcW w:w="975" w:type="dxa"/>
            <w:vAlign w:val="center"/>
          </w:tcPr>
          <w:p w14:paraId="74EA6AF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0.69</w:t>
            </w:r>
          </w:p>
        </w:tc>
        <w:tc>
          <w:tcPr>
            <w:tcW w:w="2007" w:type="dxa"/>
            <w:vAlign w:val="center"/>
          </w:tcPr>
          <w:p w14:paraId="329A2E3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66.12</w:t>
            </w:r>
          </w:p>
        </w:tc>
      </w:tr>
      <w:tr w14:paraId="768F1919">
        <w:tblPrEx>
          <w:tblCellMar>
            <w:top w:w="0" w:type="dxa"/>
            <w:left w:w="0" w:type="dxa"/>
            <w:bottom w:w="0" w:type="dxa"/>
            <w:right w:w="0" w:type="dxa"/>
          </w:tblCellMar>
        </w:tblPrEx>
        <w:trPr>
          <w:cantSplit/>
          <w:jc w:val="center"/>
        </w:trPr>
        <w:tc>
          <w:tcPr>
            <w:tcW w:w="784" w:type="dxa"/>
            <w:vAlign w:val="center"/>
          </w:tcPr>
          <w:p w14:paraId="09E3EEF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Q7</w:t>
            </w:r>
          </w:p>
        </w:tc>
        <w:tc>
          <w:tcPr>
            <w:tcW w:w="3972" w:type="dxa"/>
            <w:vAlign w:val="center"/>
          </w:tcPr>
          <w:p w14:paraId="7EA03FA4">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面对不同的解决方法时，我会比较它们的优缺点</w:t>
            </w:r>
          </w:p>
        </w:tc>
        <w:tc>
          <w:tcPr>
            <w:tcW w:w="784" w:type="dxa"/>
            <w:vAlign w:val="center"/>
          </w:tcPr>
          <w:p w14:paraId="4BB0D83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3.65</w:t>
            </w:r>
          </w:p>
        </w:tc>
        <w:tc>
          <w:tcPr>
            <w:tcW w:w="975" w:type="dxa"/>
            <w:vAlign w:val="center"/>
          </w:tcPr>
          <w:p w14:paraId="41EC854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2007" w:type="dxa"/>
            <w:vAlign w:val="center"/>
          </w:tcPr>
          <w:p w14:paraId="117A1EA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71.62</w:t>
            </w:r>
          </w:p>
        </w:tc>
      </w:tr>
      <w:tr w14:paraId="5C2E9753">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04953F0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Q8</w:t>
            </w:r>
          </w:p>
        </w:tc>
        <w:tc>
          <w:tcPr>
            <w:tcW w:w="3972" w:type="dxa"/>
            <w:tcBorders>
              <w:bottom w:val="single" w:color="000000" w:sz="12" w:space="0"/>
            </w:tcBorders>
            <w:vAlign w:val="center"/>
          </w:tcPr>
          <w:p w14:paraId="54866ECD">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对于书本、老师或他人提出的观点，我会经过思考后再作判断</w:t>
            </w:r>
          </w:p>
        </w:tc>
        <w:tc>
          <w:tcPr>
            <w:tcW w:w="784" w:type="dxa"/>
            <w:tcBorders>
              <w:bottom w:val="single" w:color="000000" w:sz="12" w:space="0"/>
            </w:tcBorders>
            <w:vAlign w:val="center"/>
          </w:tcPr>
          <w:p w14:paraId="607CB1A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5" w:type="dxa"/>
            <w:tcBorders>
              <w:bottom w:val="single" w:color="000000" w:sz="12" w:space="0"/>
            </w:tcBorders>
            <w:vAlign w:val="center"/>
          </w:tcPr>
          <w:p w14:paraId="6437BF3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2007" w:type="dxa"/>
            <w:tcBorders>
              <w:bottom w:val="single" w:color="000000" w:sz="12" w:space="0"/>
            </w:tcBorders>
            <w:vAlign w:val="center"/>
          </w:tcPr>
          <w:p w14:paraId="69ABD98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72.81</w:t>
            </w:r>
          </w:p>
        </w:tc>
      </w:tr>
    </w:tbl>
    <w:p w14:paraId="278A0AF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评价维度均值为3.63，标准差为0.51。独立思考后作出判断Q8均值为3.67，方法优缺点比较Q7均值为3.65；发现自身学习方法问题Q6均值为3.57，积极选择比例为66.12%，相对较低。这表明，学生对外部观点和方法进行比较判断的自评，略高于对自身学习过程进行诊断的自评。后续教学应将评价标准落实到具体任务，通过样例比较、理由说明与自评记录，引导学生明确判断依据，并识别自身方法需要调整的地方。</w:t>
      </w:r>
    </w:p>
    <w:p w14:paraId="6F09B4D9">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③创造</w:t>
      </w:r>
    </w:p>
    <w:p w14:paraId="45F34FC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  创造维度各题项统计（n＝1346）</w:t>
      </w:r>
    </w:p>
    <w:tbl>
      <w:tblPr>
        <w:tblStyle w:val="12"/>
        <w:tblW w:w="8522" w:type="dxa"/>
        <w:jc w:val="center"/>
        <w:tblLayout w:type="fixed"/>
        <w:tblCellMar>
          <w:top w:w="0" w:type="dxa"/>
          <w:left w:w="0" w:type="dxa"/>
          <w:bottom w:w="0" w:type="dxa"/>
          <w:right w:w="0" w:type="dxa"/>
        </w:tblCellMar>
      </w:tblPr>
      <w:tblGrid>
        <w:gridCol w:w="784"/>
        <w:gridCol w:w="3971"/>
        <w:gridCol w:w="785"/>
        <w:gridCol w:w="975"/>
        <w:gridCol w:w="2007"/>
      </w:tblGrid>
      <w:tr w14:paraId="421A7535">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576B292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71" w:type="dxa"/>
            <w:tcBorders>
              <w:top w:val="single" w:color="000000" w:sz="12" w:space="0"/>
            </w:tcBorders>
            <w:vAlign w:val="center"/>
          </w:tcPr>
          <w:p w14:paraId="632694C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5" w:type="dxa"/>
            <w:tcBorders>
              <w:top w:val="single" w:color="000000" w:sz="12" w:space="0"/>
            </w:tcBorders>
            <w:vAlign w:val="center"/>
          </w:tcPr>
          <w:p w14:paraId="416FB29C">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5DD42F9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07" w:type="dxa"/>
            <w:tcBorders>
              <w:top w:val="single" w:color="000000" w:sz="12" w:space="0"/>
            </w:tcBorders>
            <w:vAlign w:val="center"/>
          </w:tcPr>
          <w:p w14:paraId="1B34E03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0F55453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6E9DC796">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76141F1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Q9</w:t>
            </w:r>
          </w:p>
        </w:tc>
        <w:tc>
          <w:tcPr>
            <w:tcW w:w="3971" w:type="dxa"/>
            <w:tcBorders>
              <w:top w:val="single" w:color="000000" w:sz="4" w:space="0"/>
            </w:tcBorders>
            <w:vAlign w:val="center"/>
          </w:tcPr>
          <w:p w14:paraId="371424BF">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遇到学习难题时，我愿意尝试不同的解决方法</w:t>
            </w:r>
          </w:p>
        </w:tc>
        <w:tc>
          <w:tcPr>
            <w:tcW w:w="785" w:type="dxa"/>
            <w:tcBorders>
              <w:top w:val="single" w:color="000000" w:sz="4" w:space="0"/>
            </w:tcBorders>
            <w:vAlign w:val="center"/>
          </w:tcPr>
          <w:p w14:paraId="001AE7C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3.53</w:t>
            </w:r>
          </w:p>
        </w:tc>
        <w:tc>
          <w:tcPr>
            <w:tcW w:w="975" w:type="dxa"/>
            <w:tcBorders>
              <w:top w:val="single" w:color="000000" w:sz="4" w:space="0"/>
            </w:tcBorders>
            <w:vAlign w:val="center"/>
          </w:tcPr>
          <w:p w14:paraId="20140C7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0.72</w:t>
            </w:r>
          </w:p>
        </w:tc>
        <w:tc>
          <w:tcPr>
            <w:tcW w:w="2007" w:type="dxa"/>
            <w:tcBorders>
              <w:top w:val="single" w:color="000000" w:sz="4" w:space="0"/>
            </w:tcBorders>
            <w:vAlign w:val="center"/>
          </w:tcPr>
          <w:p w14:paraId="59A6F85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63.97</w:t>
            </w:r>
          </w:p>
        </w:tc>
      </w:tr>
      <w:tr w14:paraId="0DB08376">
        <w:tblPrEx>
          <w:tblCellMar>
            <w:top w:w="0" w:type="dxa"/>
            <w:left w:w="0" w:type="dxa"/>
            <w:bottom w:w="0" w:type="dxa"/>
            <w:right w:w="0" w:type="dxa"/>
          </w:tblCellMar>
        </w:tblPrEx>
        <w:trPr>
          <w:cantSplit/>
          <w:jc w:val="center"/>
        </w:trPr>
        <w:tc>
          <w:tcPr>
            <w:tcW w:w="784" w:type="dxa"/>
            <w:vAlign w:val="center"/>
          </w:tcPr>
          <w:p w14:paraId="7E2203C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Q10</w:t>
            </w:r>
          </w:p>
        </w:tc>
        <w:tc>
          <w:tcPr>
            <w:tcW w:w="3971" w:type="dxa"/>
            <w:vAlign w:val="center"/>
          </w:tcPr>
          <w:p w14:paraId="1F87928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我能把学过的知识运用到新的问题或情境中</w:t>
            </w:r>
          </w:p>
        </w:tc>
        <w:tc>
          <w:tcPr>
            <w:tcW w:w="785" w:type="dxa"/>
            <w:vAlign w:val="center"/>
          </w:tcPr>
          <w:p w14:paraId="2F91D7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3.63</w:t>
            </w:r>
          </w:p>
        </w:tc>
        <w:tc>
          <w:tcPr>
            <w:tcW w:w="975" w:type="dxa"/>
            <w:vAlign w:val="center"/>
          </w:tcPr>
          <w:p w14:paraId="68C73F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0.64</w:t>
            </w:r>
          </w:p>
        </w:tc>
        <w:tc>
          <w:tcPr>
            <w:tcW w:w="2007" w:type="dxa"/>
            <w:vAlign w:val="center"/>
          </w:tcPr>
          <w:p w14:paraId="11D346DB">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70.58</w:t>
            </w:r>
          </w:p>
        </w:tc>
      </w:tr>
      <w:tr w14:paraId="32960BE2">
        <w:tblPrEx>
          <w:tblCellMar>
            <w:top w:w="0" w:type="dxa"/>
            <w:left w:w="0" w:type="dxa"/>
            <w:bottom w:w="0" w:type="dxa"/>
            <w:right w:w="0" w:type="dxa"/>
          </w:tblCellMar>
        </w:tblPrEx>
        <w:trPr>
          <w:cantSplit/>
          <w:jc w:val="center"/>
        </w:trPr>
        <w:tc>
          <w:tcPr>
            <w:tcW w:w="784" w:type="dxa"/>
            <w:vAlign w:val="center"/>
          </w:tcPr>
          <w:p w14:paraId="3A5448D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Q11</w:t>
            </w:r>
          </w:p>
        </w:tc>
        <w:tc>
          <w:tcPr>
            <w:tcW w:w="3971" w:type="dxa"/>
            <w:vAlign w:val="center"/>
          </w:tcPr>
          <w:p w14:paraId="3566D70D">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解决问题时，我能把不同方面的知识联系起来，形成新的思路</w:t>
            </w:r>
          </w:p>
        </w:tc>
        <w:tc>
          <w:tcPr>
            <w:tcW w:w="785" w:type="dxa"/>
            <w:vAlign w:val="center"/>
          </w:tcPr>
          <w:p w14:paraId="3E9736A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3.59</w:t>
            </w:r>
          </w:p>
        </w:tc>
        <w:tc>
          <w:tcPr>
            <w:tcW w:w="975" w:type="dxa"/>
            <w:vAlign w:val="center"/>
          </w:tcPr>
          <w:p w14:paraId="5507185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0.66</w:t>
            </w:r>
          </w:p>
        </w:tc>
        <w:tc>
          <w:tcPr>
            <w:tcW w:w="2007" w:type="dxa"/>
            <w:vAlign w:val="center"/>
          </w:tcPr>
          <w:p w14:paraId="3DEDA79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66.94</w:t>
            </w:r>
          </w:p>
        </w:tc>
      </w:tr>
      <w:tr w14:paraId="5D5A4E37">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77C6905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Q12</w:t>
            </w:r>
          </w:p>
        </w:tc>
        <w:tc>
          <w:tcPr>
            <w:tcW w:w="3971" w:type="dxa"/>
            <w:tcBorders>
              <w:bottom w:val="single" w:color="000000" w:sz="12" w:space="0"/>
            </w:tcBorders>
            <w:vAlign w:val="center"/>
          </w:tcPr>
          <w:p w14:paraId="0DACD243">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面对没有固定答案的问题时，我能提出不止一种解决办法</w:t>
            </w:r>
          </w:p>
        </w:tc>
        <w:tc>
          <w:tcPr>
            <w:tcW w:w="785" w:type="dxa"/>
            <w:tcBorders>
              <w:bottom w:val="single" w:color="000000" w:sz="12" w:space="0"/>
            </w:tcBorders>
            <w:vAlign w:val="center"/>
          </w:tcPr>
          <w:p w14:paraId="63A883F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3.51</w:t>
            </w:r>
          </w:p>
        </w:tc>
        <w:tc>
          <w:tcPr>
            <w:tcW w:w="975" w:type="dxa"/>
            <w:tcBorders>
              <w:bottom w:val="single" w:color="000000" w:sz="12" w:space="0"/>
            </w:tcBorders>
            <w:vAlign w:val="center"/>
          </w:tcPr>
          <w:p w14:paraId="5B8416A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0.71</w:t>
            </w:r>
          </w:p>
        </w:tc>
        <w:tc>
          <w:tcPr>
            <w:tcW w:w="2007" w:type="dxa"/>
            <w:tcBorders>
              <w:bottom w:val="single" w:color="000000" w:sz="12" w:space="0"/>
            </w:tcBorders>
            <w:vAlign w:val="center"/>
          </w:tcPr>
          <w:p w14:paraId="736AC0E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62.11</w:t>
            </w:r>
          </w:p>
        </w:tc>
      </w:tr>
    </w:tbl>
    <w:p w14:paraId="68DFAA9F">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创造维度均值为3.56，标准差为0.58，为七个维度中均值相对最低的一项。不同方法尝试Q9均值为3.53，知识整合形成新思路Q11均值为3.59，提示学生在主动改变解决路径和整合知识方面仍有提升空间。</w:t>
      </w:r>
    </w:p>
    <w:p w14:paraId="18345106">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多方案生成Q12均值为3.51，积极选择比例为62.11%，均为该维度最低，说明面对没有固定答案的问题时，提出多种解决办法仍是学生需要加强的方面。教师后续教学可围绕同一问题设置不同解决路径，组织方案比较、知识整合与作品修订，为学生提供持续尝试和改进的机会。</w:t>
      </w:r>
    </w:p>
    <w:p w14:paraId="4DE14B8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④责任担当</w:t>
      </w:r>
    </w:p>
    <w:p w14:paraId="7C2A4C48">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表3-8  责任担当维度各题项统计（n＝1346）</w:t>
      </w:r>
    </w:p>
    <w:tbl>
      <w:tblPr>
        <w:tblStyle w:val="12"/>
        <w:tblW w:w="8522" w:type="dxa"/>
        <w:jc w:val="center"/>
        <w:tblLayout w:type="fixed"/>
        <w:tblCellMar>
          <w:top w:w="0" w:type="dxa"/>
          <w:left w:w="0" w:type="dxa"/>
          <w:bottom w:w="0" w:type="dxa"/>
          <w:right w:w="0" w:type="dxa"/>
        </w:tblCellMar>
      </w:tblPr>
      <w:tblGrid>
        <w:gridCol w:w="783"/>
        <w:gridCol w:w="4025"/>
        <w:gridCol w:w="783"/>
        <w:gridCol w:w="974"/>
        <w:gridCol w:w="1957"/>
      </w:tblGrid>
      <w:tr w14:paraId="5F1C3EB6">
        <w:tblPrEx>
          <w:tblCellMar>
            <w:top w:w="0" w:type="dxa"/>
            <w:left w:w="0" w:type="dxa"/>
            <w:bottom w:w="0" w:type="dxa"/>
            <w:right w:w="0" w:type="dxa"/>
          </w:tblCellMar>
        </w:tblPrEx>
        <w:trPr>
          <w:cantSplit/>
          <w:tblHeader/>
          <w:jc w:val="center"/>
        </w:trPr>
        <w:tc>
          <w:tcPr>
            <w:tcW w:w="783" w:type="dxa"/>
            <w:tcBorders>
              <w:top w:val="single" w:color="000000" w:sz="12" w:space="0"/>
            </w:tcBorders>
            <w:vAlign w:val="center"/>
          </w:tcPr>
          <w:p w14:paraId="307654D4">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25" w:type="dxa"/>
            <w:tcBorders>
              <w:top w:val="single" w:color="000000" w:sz="12" w:space="0"/>
            </w:tcBorders>
            <w:vAlign w:val="center"/>
          </w:tcPr>
          <w:p w14:paraId="03E51AB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3" w:type="dxa"/>
            <w:tcBorders>
              <w:top w:val="single" w:color="000000" w:sz="12" w:space="0"/>
            </w:tcBorders>
            <w:vAlign w:val="center"/>
          </w:tcPr>
          <w:p w14:paraId="56D8235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4" w:type="dxa"/>
            <w:tcBorders>
              <w:top w:val="single" w:color="000000" w:sz="12" w:space="0"/>
            </w:tcBorders>
            <w:vAlign w:val="center"/>
          </w:tcPr>
          <w:p w14:paraId="1240FB3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57" w:type="dxa"/>
            <w:tcBorders>
              <w:top w:val="single" w:color="000000" w:sz="12" w:space="0"/>
            </w:tcBorders>
            <w:vAlign w:val="center"/>
          </w:tcPr>
          <w:p w14:paraId="569436B4">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557989B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1DCC9C4F">
        <w:tblPrEx>
          <w:tblCellMar>
            <w:top w:w="0" w:type="dxa"/>
            <w:left w:w="0" w:type="dxa"/>
            <w:bottom w:w="0" w:type="dxa"/>
            <w:right w:w="0" w:type="dxa"/>
          </w:tblCellMar>
        </w:tblPrEx>
        <w:trPr>
          <w:cantSplit/>
          <w:jc w:val="center"/>
        </w:trPr>
        <w:tc>
          <w:tcPr>
            <w:tcW w:w="783" w:type="dxa"/>
            <w:tcBorders>
              <w:top w:val="single" w:color="000000" w:sz="4" w:space="0"/>
            </w:tcBorders>
            <w:vAlign w:val="center"/>
          </w:tcPr>
          <w:p w14:paraId="2CFEE61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Q13</w:t>
            </w:r>
          </w:p>
        </w:tc>
        <w:tc>
          <w:tcPr>
            <w:tcW w:w="4025" w:type="dxa"/>
            <w:tcBorders>
              <w:top w:val="single" w:color="000000" w:sz="4" w:space="0"/>
            </w:tcBorders>
            <w:vAlign w:val="center"/>
          </w:tcPr>
          <w:p w14:paraId="0D3687C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面对学习任务时，我能明确自己要完成的目标</w:t>
            </w:r>
          </w:p>
        </w:tc>
        <w:tc>
          <w:tcPr>
            <w:tcW w:w="783" w:type="dxa"/>
            <w:tcBorders>
              <w:top w:val="single" w:color="000000" w:sz="4" w:space="0"/>
            </w:tcBorders>
            <w:vAlign w:val="center"/>
          </w:tcPr>
          <w:p w14:paraId="01F2CA0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4" w:type="dxa"/>
            <w:tcBorders>
              <w:top w:val="single" w:color="000000" w:sz="4" w:space="0"/>
            </w:tcBorders>
            <w:vAlign w:val="center"/>
          </w:tcPr>
          <w:p w14:paraId="2880B0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1957" w:type="dxa"/>
            <w:tcBorders>
              <w:top w:val="single" w:color="000000" w:sz="4" w:space="0"/>
            </w:tcBorders>
            <w:vAlign w:val="center"/>
          </w:tcPr>
          <w:p w14:paraId="46CB8BE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72.59</w:t>
            </w:r>
          </w:p>
        </w:tc>
      </w:tr>
      <w:tr w14:paraId="4C66F5F2">
        <w:tblPrEx>
          <w:tblCellMar>
            <w:top w:w="0" w:type="dxa"/>
            <w:left w:w="0" w:type="dxa"/>
            <w:bottom w:w="0" w:type="dxa"/>
            <w:right w:w="0" w:type="dxa"/>
          </w:tblCellMar>
        </w:tblPrEx>
        <w:trPr>
          <w:cantSplit/>
          <w:jc w:val="center"/>
        </w:trPr>
        <w:tc>
          <w:tcPr>
            <w:tcW w:w="783" w:type="dxa"/>
            <w:vAlign w:val="center"/>
          </w:tcPr>
          <w:p w14:paraId="04193E6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Q14</w:t>
            </w:r>
          </w:p>
        </w:tc>
        <w:tc>
          <w:tcPr>
            <w:tcW w:w="4025" w:type="dxa"/>
            <w:vAlign w:val="center"/>
          </w:tcPr>
          <w:p w14:paraId="78CD7EE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小组合作时，即使没有别人提醒，我也会认真完成自己的任务</w:t>
            </w:r>
          </w:p>
        </w:tc>
        <w:tc>
          <w:tcPr>
            <w:tcW w:w="783" w:type="dxa"/>
            <w:vAlign w:val="center"/>
          </w:tcPr>
          <w:p w14:paraId="3F92280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3.71</w:t>
            </w:r>
          </w:p>
        </w:tc>
        <w:tc>
          <w:tcPr>
            <w:tcW w:w="974" w:type="dxa"/>
            <w:vAlign w:val="center"/>
          </w:tcPr>
          <w:p w14:paraId="4A0E13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0.55</w:t>
            </w:r>
          </w:p>
        </w:tc>
        <w:tc>
          <w:tcPr>
            <w:tcW w:w="1957" w:type="dxa"/>
            <w:vAlign w:val="center"/>
          </w:tcPr>
          <w:p w14:paraId="0F1A4E1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75.71</w:t>
            </w:r>
          </w:p>
        </w:tc>
      </w:tr>
      <w:tr w14:paraId="3E98CE9D">
        <w:tblPrEx>
          <w:tblCellMar>
            <w:top w:w="0" w:type="dxa"/>
            <w:left w:w="0" w:type="dxa"/>
            <w:bottom w:w="0" w:type="dxa"/>
            <w:right w:w="0" w:type="dxa"/>
          </w:tblCellMar>
        </w:tblPrEx>
        <w:trPr>
          <w:cantSplit/>
          <w:jc w:val="center"/>
        </w:trPr>
        <w:tc>
          <w:tcPr>
            <w:tcW w:w="783" w:type="dxa"/>
            <w:vAlign w:val="center"/>
          </w:tcPr>
          <w:p w14:paraId="61AF92E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Q15</w:t>
            </w:r>
          </w:p>
        </w:tc>
        <w:tc>
          <w:tcPr>
            <w:tcW w:w="4025" w:type="dxa"/>
            <w:vAlign w:val="center"/>
          </w:tcPr>
          <w:p w14:paraId="0E9771C9">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学习中遇到困难时，我会继续想办法，而不是轻易放弃</w:t>
            </w:r>
          </w:p>
        </w:tc>
        <w:tc>
          <w:tcPr>
            <w:tcW w:w="783" w:type="dxa"/>
            <w:vAlign w:val="center"/>
          </w:tcPr>
          <w:p w14:paraId="6D96188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3.64</w:t>
            </w:r>
          </w:p>
        </w:tc>
        <w:tc>
          <w:tcPr>
            <w:tcW w:w="974" w:type="dxa"/>
            <w:vAlign w:val="center"/>
          </w:tcPr>
          <w:p w14:paraId="73513E5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1957" w:type="dxa"/>
            <w:vAlign w:val="center"/>
          </w:tcPr>
          <w:p w14:paraId="6A9B019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70.28</w:t>
            </w:r>
          </w:p>
        </w:tc>
      </w:tr>
      <w:tr w14:paraId="01722349">
        <w:tblPrEx>
          <w:tblCellMar>
            <w:top w:w="0" w:type="dxa"/>
            <w:left w:w="0" w:type="dxa"/>
            <w:bottom w:w="0" w:type="dxa"/>
            <w:right w:w="0" w:type="dxa"/>
          </w:tblCellMar>
        </w:tblPrEx>
        <w:trPr>
          <w:cantSplit/>
          <w:jc w:val="center"/>
        </w:trPr>
        <w:tc>
          <w:tcPr>
            <w:tcW w:w="783" w:type="dxa"/>
            <w:vAlign w:val="center"/>
          </w:tcPr>
          <w:p w14:paraId="7BCB994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Q16</w:t>
            </w:r>
          </w:p>
        </w:tc>
        <w:tc>
          <w:tcPr>
            <w:tcW w:w="4025" w:type="dxa"/>
            <w:vAlign w:val="center"/>
          </w:tcPr>
          <w:p w14:paraId="29C08F61">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完成学习任务后，我会反思自己哪些地方做得好、哪些地方需要改进</w:t>
            </w:r>
          </w:p>
        </w:tc>
        <w:tc>
          <w:tcPr>
            <w:tcW w:w="783" w:type="dxa"/>
            <w:vAlign w:val="center"/>
          </w:tcPr>
          <w:p w14:paraId="6CF67C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3.55</w:t>
            </w:r>
          </w:p>
        </w:tc>
        <w:tc>
          <w:tcPr>
            <w:tcW w:w="974" w:type="dxa"/>
            <w:vAlign w:val="center"/>
          </w:tcPr>
          <w:p w14:paraId="0FDEF79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0.71</w:t>
            </w:r>
          </w:p>
        </w:tc>
        <w:tc>
          <w:tcPr>
            <w:tcW w:w="1957" w:type="dxa"/>
            <w:vAlign w:val="center"/>
          </w:tcPr>
          <w:p w14:paraId="1BB3461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65.45</w:t>
            </w:r>
          </w:p>
        </w:tc>
      </w:tr>
      <w:tr w14:paraId="61849F31">
        <w:tblPrEx>
          <w:tblCellMar>
            <w:top w:w="0" w:type="dxa"/>
            <w:left w:w="0" w:type="dxa"/>
            <w:bottom w:w="0" w:type="dxa"/>
            <w:right w:w="0" w:type="dxa"/>
          </w:tblCellMar>
        </w:tblPrEx>
        <w:trPr>
          <w:cantSplit/>
          <w:jc w:val="center"/>
        </w:trPr>
        <w:tc>
          <w:tcPr>
            <w:tcW w:w="783" w:type="dxa"/>
            <w:tcBorders>
              <w:bottom w:val="single" w:color="000000" w:sz="12" w:space="0"/>
            </w:tcBorders>
            <w:vAlign w:val="center"/>
          </w:tcPr>
          <w:p w14:paraId="72FB6F9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Q17</w:t>
            </w:r>
          </w:p>
        </w:tc>
        <w:tc>
          <w:tcPr>
            <w:tcW w:w="4025" w:type="dxa"/>
            <w:tcBorders>
              <w:bottom w:val="single" w:color="000000" w:sz="12" w:space="0"/>
            </w:tcBorders>
            <w:vAlign w:val="center"/>
          </w:tcPr>
          <w:p w14:paraId="5178F039">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小组合作时，我会认真承担自己应尽的责任</w:t>
            </w:r>
          </w:p>
        </w:tc>
        <w:tc>
          <w:tcPr>
            <w:tcW w:w="783" w:type="dxa"/>
            <w:tcBorders>
              <w:bottom w:val="single" w:color="000000" w:sz="12" w:space="0"/>
            </w:tcBorders>
            <w:vAlign w:val="center"/>
          </w:tcPr>
          <w:p w14:paraId="4B6099F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3.75</w:t>
            </w:r>
          </w:p>
        </w:tc>
        <w:tc>
          <w:tcPr>
            <w:tcW w:w="974" w:type="dxa"/>
            <w:tcBorders>
              <w:bottom w:val="single" w:color="000000" w:sz="12" w:space="0"/>
            </w:tcBorders>
            <w:vAlign w:val="center"/>
          </w:tcPr>
          <w:p w14:paraId="729F35B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0.52</w:t>
            </w:r>
          </w:p>
        </w:tc>
        <w:tc>
          <w:tcPr>
            <w:tcW w:w="1957" w:type="dxa"/>
            <w:tcBorders>
              <w:bottom w:val="single" w:color="000000" w:sz="12" w:space="0"/>
            </w:tcBorders>
            <w:vAlign w:val="center"/>
          </w:tcPr>
          <w:p w14:paraId="2505FD1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78.16</w:t>
            </w:r>
          </w:p>
        </w:tc>
      </w:tr>
    </w:tbl>
    <w:p w14:paraId="2A22D03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责任担当维度均值为3.66，标准差为0.50。承担小组责任Q17均值为3.75，自主完成小组任务Q14均值为3.71，表明学生对合作任务中的责任履行具有较积极的自我评价。相比之下，任务完成后的反思Q16均值为3.55，积极选择比例为65.45%，低于该维度其他题项。责任培养应进一步从完成任务延伸至检查质量与主动改进，引导学生结合目标和评价标准说明完成情况，并提出后续调整方法。</w:t>
      </w:r>
    </w:p>
    <w:p w14:paraId="7C3F174A">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⑤情绪调节</w:t>
      </w:r>
    </w:p>
    <w:p w14:paraId="25DAD24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表3-9  情绪调节维度各题项统计（n＝1346）</w:t>
      </w:r>
    </w:p>
    <w:tbl>
      <w:tblPr>
        <w:tblStyle w:val="12"/>
        <w:tblW w:w="8522" w:type="dxa"/>
        <w:jc w:val="center"/>
        <w:tblLayout w:type="fixed"/>
        <w:tblCellMar>
          <w:top w:w="0" w:type="dxa"/>
          <w:left w:w="0" w:type="dxa"/>
          <w:bottom w:w="0" w:type="dxa"/>
          <w:right w:w="0" w:type="dxa"/>
        </w:tblCellMar>
      </w:tblPr>
      <w:tblGrid>
        <w:gridCol w:w="784"/>
        <w:gridCol w:w="4014"/>
        <w:gridCol w:w="784"/>
        <w:gridCol w:w="975"/>
        <w:gridCol w:w="1965"/>
      </w:tblGrid>
      <w:tr w14:paraId="0DC18B82">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3712D5D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14" w:type="dxa"/>
            <w:tcBorders>
              <w:top w:val="single" w:color="000000" w:sz="12" w:space="0"/>
            </w:tcBorders>
            <w:vAlign w:val="center"/>
          </w:tcPr>
          <w:p w14:paraId="1F957C38">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4" w:type="dxa"/>
            <w:tcBorders>
              <w:top w:val="single" w:color="000000" w:sz="12" w:space="0"/>
            </w:tcBorders>
            <w:vAlign w:val="center"/>
          </w:tcPr>
          <w:p w14:paraId="0CB6C6C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5" w:type="dxa"/>
            <w:tcBorders>
              <w:top w:val="single" w:color="000000" w:sz="12" w:space="0"/>
            </w:tcBorders>
            <w:vAlign w:val="center"/>
          </w:tcPr>
          <w:p w14:paraId="1468617D">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65" w:type="dxa"/>
            <w:tcBorders>
              <w:top w:val="single" w:color="000000" w:sz="12" w:space="0"/>
            </w:tcBorders>
            <w:vAlign w:val="center"/>
          </w:tcPr>
          <w:p w14:paraId="6FA0189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6FE9E4F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7C81AF2B">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73B248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Q18</w:t>
            </w:r>
          </w:p>
        </w:tc>
        <w:tc>
          <w:tcPr>
            <w:tcW w:w="4014" w:type="dxa"/>
            <w:tcBorders>
              <w:top w:val="single" w:color="000000" w:sz="4" w:space="0"/>
            </w:tcBorders>
            <w:vAlign w:val="center"/>
          </w:tcPr>
          <w:p w14:paraId="57CC8C4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面对有难度的学习任务时，我能调整心态并继续尝试</w:t>
            </w:r>
          </w:p>
        </w:tc>
        <w:tc>
          <w:tcPr>
            <w:tcW w:w="784" w:type="dxa"/>
            <w:tcBorders>
              <w:top w:val="single" w:color="000000" w:sz="4" w:space="0"/>
            </w:tcBorders>
            <w:vAlign w:val="center"/>
          </w:tcPr>
          <w:p w14:paraId="34E3AE5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3.61</w:t>
            </w:r>
          </w:p>
        </w:tc>
        <w:tc>
          <w:tcPr>
            <w:tcW w:w="975" w:type="dxa"/>
            <w:tcBorders>
              <w:top w:val="single" w:color="000000" w:sz="4" w:space="0"/>
            </w:tcBorders>
            <w:vAlign w:val="center"/>
          </w:tcPr>
          <w:p w14:paraId="7677FB4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0.65</w:t>
            </w:r>
          </w:p>
        </w:tc>
        <w:tc>
          <w:tcPr>
            <w:tcW w:w="1965" w:type="dxa"/>
            <w:tcBorders>
              <w:top w:val="single" w:color="000000" w:sz="4" w:space="0"/>
            </w:tcBorders>
            <w:vAlign w:val="center"/>
          </w:tcPr>
          <w:p w14:paraId="7196286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68.57</w:t>
            </w:r>
          </w:p>
        </w:tc>
      </w:tr>
      <w:tr w14:paraId="14984F4A">
        <w:tblPrEx>
          <w:tblCellMar>
            <w:top w:w="0" w:type="dxa"/>
            <w:left w:w="0" w:type="dxa"/>
            <w:bottom w:w="0" w:type="dxa"/>
            <w:right w:w="0" w:type="dxa"/>
          </w:tblCellMar>
        </w:tblPrEx>
        <w:trPr>
          <w:cantSplit/>
          <w:jc w:val="center"/>
        </w:trPr>
        <w:tc>
          <w:tcPr>
            <w:tcW w:w="784" w:type="dxa"/>
            <w:vAlign w:val="center"/>
          </w:tcPr>
          <w:p w14:paraId="1AE9D8D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Q19</w:t>
            </w:r>
          </w:p>
        </w:tc>
        <w:tc>
          <w:tcPr>
            <w:tcW w:w="4014" w:type="dxa"/>
            <w:vAlign w:val="center"/>
          </w:tcPr>
          <w:p w14:paraId="5007882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当自己的想法没有被同学接受时，我仍能平静地继续交流</w:t>
            </w:r>
          </w:p>
        </w:tc>
        <w:tc>
          <w:tcPr>
            <w:tcW w:w="784" w:type="dxa"/>
            <w:vAlign w:val="center"/>
          </w:tcPr>
          <w:p w14:paraId="75A0EA9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3.61</w:t>
            </w:r>
          </w:p>
        </w:tc>
        <w:tc>
          <w:tcPr>
            <w:tcW w:w="975" w:type="dxa"/>
            <w:vAlign w:val="center"/>
          </w:tcPr>
          <w:p w14:paraId="0030E6F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0.67</w:t>
            </w:r>
          </w:p>
        </w:tc>
        <w:tc>
          <w:tcPr>
            <w:tcW w:w="1965" w:type="dxa"/>
            <w:vAlign w:val="center"/>
          </w:tcPr>
          <w:p w14:paraId="61F34BC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68.95</w:t>
            </w:r>
          </w:p>
        </w:tc>
      </w:tr>
      <w:tr w14:paraId="44E0F55C">
        <w:tblPrEx>
          <w:tblCellMar>
            <w:top w:w="0" w:type="dxa"/>
            <w:left w:w="0" w:type="dxa"/>
            <w:bottom w:w="0" w:type="dxa"/>
            <w:right w:w="0" w:type="dxa"/>
          </w:tblCellMar>
        </w:tblPrEx>
        <w:trPr>
          <w:cantSplit/>
          <w:jc w:val="center"/>
        </w:trPr>
        <w:tc>
          <w:tcPr>
            <w:tcW w:w="784" w:type="dxa"/>
            <w:vAlign w:val="center"/>
          </w:tcPr>
          <w:p w14:paraId="14255D2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Q20</w:t>
            </w:r>
          </w:p>
        </w:tc>
        <w:tc>
          <w:tcPr>
            <w:tcW w:w="4014" w:type="dxa"/>
            <w:vAlign w:val="center"/>
          </w:tcPr>
          <w:p w14:paraId="4720AD4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当我发现自己情绪不好时，我能想办法调整自己的状态</w:t>
            </w:r>
          </w:p>
        </w:tc>
        <w:tc>
          <w:tcPr>
            <w:tcW w:w="784" w:type="dxa"/>
            <w:vAlign w:val="center"/>
          </w:tcPr>
          <w:p w14:paraId="695419B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3.59</w:t>
            </w:r>
          </w:p>
        </w:tc>
        <w:tc>
          <w:tcPr>
            <w:tcW w:w="975" w:type="dxa"/>
            <w:vAlign w:val="center"/>
          </w:tcPr>
          <w:p w14:paraId="758422E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0.70</w:t>
            </w:r>
          </w:p>
        </w:tc>
        <w:tc>
          <w:tcPr>
            <w:tcW w:w="1965" w:type="dxa"/>
            <w:vAlign w:val="center"/>
          </w:tcPr>
          <w:p w14:paraId="7EA4B5D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69.02</w:t>
            </w:r>
          </w:p>
        </w:tc>
      </w:tr>
      <w:tr w14:paraId="27208859">
        <w:tblPrEx>
          <w:tblCellMar>
            <w:top w:w="0" w:type="dxa"/>
            <w:left w:w="0" w:type="dxa"/>
            <w:bottom w:w="0" w:type="dxa"/>
            <w:right w:w="0" w:type="dxa"/>
          </w:tblCellMar>
        </w:tblPrEx>
        <w:trPr>
          <w:cantSplit/>
          <w:jc w:val="center"/>
        </w:trPr>
        <w:tc>
          <w:tcPr>
            <w:tcW w:w="784" w:type="dxa"/>
            <w:vAlign w:val="center"/>
          </w:tcPr>
          <w:p w14:paraId="620DA90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Q21</w:t>
            </w:r>
          </w:p>
        </w:tc>
        <w:tc>
          <w:tcPr>
            <w:tcW w:w="4014" w:type="dxa"/>
            <w:vAlign w:val="center"/>
          </w:tcPr>
          <w:p w14:paraId="1C9DC4D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面对考试、回答问题或课堂展示等紧张情境时，我能尽量保持平静</w:t>
            </w:r>
          </w:p>
        </w:tc>
        <w:tc>
          <w:tcPr>
            <w:tcW w:w="784" w:type="dxa"/>
            <w:vAlign w:val="center"/>
          </w:tcPr>
          <w:p w14:paraId="46D8DC6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3.53</w:t>
            </w:r>
          </w:p>
        </w:tc>
        <w:tc>
          <w:tcPr>
            <w:tcW w:w="975" w:type="dxa"/>
            <w:vAlign w:val="center"/>
          </w:tcPr>
          <w:p w14:paraId="5982869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0.72</w:t>
            </w:r>
          </w:p>
        </w:tc>
        <w:tc>
          <w:tcPr>
            <w:tcW w:w="1965" w:type="dxa"/>
            <w:vAlign w:val="center"/>
          </w:tcPr>
          <w:p w14:paraId="5BD4FF7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64.26</w:t>
            </w:r>
          </w:p>
        </w:tc>
      </w:tr>
      <w:tr w14:paraId="4AE9DA8A">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1058C5D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Q22</w:t>
            </w:r>
          </w:p>
        </w:tc>
        <w:tc>
          <w:tcPr>
            <w:tcW w:w="4014" w:type="dxa"/>
            <w:tcBorders>
              <w:bottom w:val="single" w:color="000000" w:sz="12" w:space="0"/>
            </w:tcBorders>
            <w:vAlign w:val="center"/>
          </w:tcPr>
          <w:p w14:paraId="61B64A0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学习出现失误或结果不理想时，我能调整状态并继续改进</w:t>
            </w:r>
          </w:p>
        </w:tc>
        <w:tc>
          <w:tcPr>
            <w:tcW w:w="784" w:type="dxa"/>
            <w:tcBorders>
              <w:bottom w:val="single" w:color="000000" w:sz="12" w:space="0"/>
            </w:tcBorders>
            <w:vAlign w:val="center"/>
          </w:tcPr>
          <w:p w14:paraId="1B4124B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3.60</w:t>
            </w:r>
          </w:p>
        </w:tc>
        <w:tc>
          <w:tcPr>
            <w:tcW w:w="975" w:type="dxa"/>
            <w:tcBorders>
              <w:bottom w:val="single" w:color="000000" w:sz="12" w:space="0"/>
            </w:tcBorders>
            <w:vAlign w:val="center"/>
          </w:tcPr>
          <w:p w14:paraId="2F477E4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0.66</w:t>
            </w:r>
          </w:p>
        </w:tc>
        <w:tc>
          <w:tcPr>
            <w:tcW w:w="1965" w:type="dxa"/>
            <w:tcBorders>
              <w:bottom w:val="single" w:color="000000" w:sz="12" w:space="0"/>
            </w:tcBorders>
            <w:vAlign w:val="center"/>
          </w:tcPr>
          <w:p w14:paraId="724128D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67.76</w:t>
            </w:r>
          </w:p>
        </w:tc>
      </w:tr>
    </w:tbl>
    <w:p w14:paraId="097E63CB">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情绪调节维度均值为3.59，标准差为0.56，在四个社会情感维度中均值相对最低，学生之间的差异也相对较大。面对考试、回答问题或课堂展示时保持平静Q21均值为3.53，积极选择比例为64.26%，为该维度最低。其余题项均值介于3.59—3.61，表明学生总体认可自己在困难、分歧和失误后调整状态的表现，但在紧张情境中的自我调节仍需支持。教学可通过展示前准备、分步表达、同伴支持和具体反馈，帮助学生在认知挑战中保持参与并持续改进。</w:t>
      </w:r>
    </w:p>
    <w:p w14:paraId="3455F3C3">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⑥合作共情</w:t>
      </w:r>
    </w:p>
    <w:p w14:paraId="78DE1DC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表3-10  合作共情维度各题项统计（n＝1346）</w:t>
      </w:r>
    </w:p>
    <w:tbl>
      <w:tblPr>
        <w:tblStyle w:val="12"/>
        <w:tblW w:w="8522" w:type="dxa"/>
        <w:jc w:val="center"/>
        <w:tblLayout w:type="fixed"/>
        <w:tblCellMar>
          <w:top w:w="0" w:type="dxa"/>
          <w:left w:w="0" w:type="dxa"/>
          <w:bottom w:w="0" w:type="dxa"/>
          <w:right w:w="0" w:type="dxa"/>
        </w:tblCellMar>
      </w:tblPr>
      <w:tblGrid>
        <w:gridCol w:w="782"/>
        <w:gridCol w:w="4026"/>
        <w:gridCol w:w="783"/>
        <w:gridCol w:w="972"/>
        <w:gridCol w:w="1959"/>
      </w:tblGrid>
      <w:tr w14:paraId="71EC53CB">
        <w:tblPrEx>
          <w:tblCellMar>
            <w:top w:w="0" w:type="dxa"/>
            <w:left w:w="0" w:type="dxa"/>
            <w:bottom w:w="0" w:type="dxa"/>
            <w:right w:w="0" w:type="dxa"/>
          </w:tblCellMar>
        </w:tblPrEx>
        <w:trPr>
          <w:cantSplit/>
          <w:tblHeader/>
          <w:jc w:val="center"/>
        </w:trPr>
        <w:tc>
          <w:tcPr>
            <w:tcW w:w="782" w:type="dxa"/>
            <w:tcBorders>
              <w:top w:val="single" w:color="000000" w:sz="12" w:space="0"/>
            </w:tcBorders>
            <w:vAlign w:val="center"/>
          </w:tcPr>
          <w:p w14:paraId="794F8219">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4026" w:type="dxa"/>
            <w:tcBorders>
              <w:top w:val="single" w:color="000000" w:sz="12" w:space="0"/>
            </w:tcBorders>
            <w:vAlign w:val="center"/>
          </w:tcPr>
          <w:p w14:paraId="261F575B">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3" w:type="dxa"/>
            <w:tcBorders>
              <w:top w:val="single" w:color="000000" w:sz="12" w:space="0"/>
            </w:tcBorders>
            <w:vAlign w:val="center"/>
          </w:tcPr>
          <w:p w14:paraId="01B00B02">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2" w:type="dxa"/>
            <w:tcBorders>
              <w:top w:val="single" w:color="000000" w:sz="12" w:space="0"/>
            </w:tcBorders>
            <w:vAlign w:val="center"/>
          </w:tcPr>
          <w:p w14:paraId="2F21B84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1959" w:type="dxa"/>
            <w:tcBorders>
              <w:top w:val="single" w:color="000000" w:sz="12" w:space="0"/>
            </w:tcBorders>
            <w:vAlign w:val="center"/>
          </w:tcPr>
          <w:p w14:paraId="053101F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3955ED1F">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6349599A">
        <w:tblPrEx>
          <w:tblCellMar>
            <w:top w:w="0" w:type="dxa"/>
            <w:left w:w="0" w:type="dxa"/>
            <w:bottom w:w="0" w:type="dxa"/>
            <w:right w:w="0" w:type="dxa"/>
          </w:tblCellMar>
        </w:tblPrEx>
        <w:trPr>
          <w:cantSplit/>
          <w:jc w:val="center"/>
        </w:trPr>
        <w:tc>
          <w:tcPr>
            <w:tcW w:w="782" w:type="dxa"/>
            <w:tcBorders>
              <w:top w:val="single" w:color="000000" w:sz="4" w:space="0"/>
            </w:tcBorders>
            <w:vAlign w:val="center"/>
          </w:tcPr>
          <w:p w14:paraId="3A17A9C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Q23</w:t>
            </w:r>
          </w:p>
        </w:tc>
        <w:tc>
          <w:tcPr>
            <w:tcW w:w="4026" w:type="dxa"/>
            <w:tcBorders>
              <w:top w:val="single" w:color="000000" w:sz="4" w:space="0"/>
            </w:tcBorders>
            <w:vAlign w:val="center"/>
          </w:tcPr>
          <w:p w14:paraId="1204D118">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小组讨论时，我会认真听完同学的观点</w:t>
            </w:r>
          </w:p>
        </w:tc>
        <w:tc>
          <w:tcPr>
            <w:tcW w:w="783" w:type="dxa"/>
            <w:tcBorders>
              <w:top w:val="single" w:color="000000" w:sz="4" w:space="0"/>
            </w:tcBorders>
            <w:vAlign w:val="center"/>
          </w:tcPr>
          <w:p w14:paraId="23853193">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3.75</w:t>
            </w:r>
          </w:p>
        </w:tc>
        <w:tc>
          <w:tcPr>
            <w:tcW w:w="972" w:type="dxa"/>
            <w:tcBorders>
              <w:top w:val="single" w:color="000000" w:sz="4" w:space="0"/>
            </w:tcBorders>
            <w:vAlign w:val="center"/>
          </w:tcPr>
          <w:p w14:paraId="78D243E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0.52</w:t>
            </w:r>
          </w:p>
        </w:tc>
        <w:tc>
          <w:tcPr>
            <w:tcW w:w="1959" w:type="dxa"/>
            <w:tcBorders>
              <w:top w:val="single" w:color="000000" w:sz="4" w:space="0"/>
            </w:tcBorders>
            <w:vAlign w:val="center"/>
          </w:tcPr>
          <w:p w14:paraId="031D02A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78.38</w:t>
            </w:r>
          </w:p>
        </w:tc>
      </w:tr>
      <w:tr w14:paraId="43C74446">
        <w:tblPrEx>
          <w:tblCellMar>
            <w:top w:w="0" w:type="dxa"/>
            <w:left w:w="0" w:type="dxa"/>
            <w:bottom w:w="0" w:type="dxa"/>
            <w:right w:w="0" w:type="dxa"/>
          </w:tblCellMar>
        </w:tblPrEx>
        <w:trPr>
          <w:cantSplit/>
          <w:jc w:val="center"/>
        </w:trPr>
        <w:tc>
          <w:tcPr>
            <w:tcW w:w="782" w:type="dxa"/>
            <w:vAlign w:val="center"/>
          </w:tcPr>
          <w:p w14:paraId="51DE72F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Q24</w:t>
            </w:r>
          </w:p>
        </w:tc>
        <w:tc>
          <w:tcPr>
            <w:tcW w:w="4026" w:type="dxa"/>
            <w:vAlign w:val="center"/>
          </w:tcPr>
          <w:p w14:paraId="3B377350">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当同学的观点和我不同时，我会尝试理解他为什么这样想</w:t>
            </w:r>
          </w:p>
        </w:tc>
        <w:tc>
          <w:tcPr>
            <w:tcW w:w="783" w:type="dxa"/>
            <w:vAlign w:val="center"/>
          </w:tcPr>
          <w:p w14:paraId="6551BD1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3.68</w:t>
            </w:r>
          </w:p>
        </w:tc>
        <w:tc>
          <w:tcPr>
            <w:tcW w:w="972" w:type="dxa"/>
            <w:vAlign w:val="center"/>
          </w:tcPr>
          <w:p w14:paraId="393DAB0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1959" w:type="dxa"/>
            <w:vAlign w:val="center"/>
          </w:tcPr>
          <w:p w14:paraId="71206EC1">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73.55</w:t>
            </w:r>
          </w:p>
        </w:tc>
      </w:tr>
      <w:tr w14:paraId="65818FBD">
        <w:tblPrEx>
          <w:tblCellMar>
            <w:top w:w="0" w:type="dxa"/>
            <w:left w:w="0" w:type="dxa"/>
            <w:bottom w:w="0" w:type="dxa"/>
            <w:right w:w="0" w:type="dxa"/>
          </w:tblCellMar>
        </w:tblPrEx>
        <w:trPr>
          <w:cantSplit/>
          <w:jc w:val="center"/>
        </w:trPr>
        <w:tc>
          <w:tcPr>
            <w:tcW w:w="782" w:type="dxa"/>
            <w:vAlign w:val="center"/>
          </w:tcPr>
          <w:p w14:paraId="2690D57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Q25</w:t>
            </w:r>
          </w:p>
        </w:tc>
        <w:tc>
          <w:tcPr>
            <w:tcW w:w="4026" w:type="dxa"/>
            <w:vAlign w:val="center"/>
          </w:tcPr>
          <w:p w14:paraId="4E9261F7">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小组出现不同意见时，我会通过交流和同学一起寻找解决办法</w:t>
            </w:r>
          </w:p>
        </w:tc>
        <w:tc>
          <w:tcPr>
            <w:tcW w:w="783" w:type="dxa"/>
            <w:vAlign w:val="center"/>
          </w:tcPr>
          <w:p w14:paraId="70233952">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3.69</w:t>
            </w:r>
          </w:p>
        </w:tc>
        <w:tc>
          <w:tcPr>
            <w:tcW w:w="972" w:type="dxa"/>
            <w:vAlign w:val="center"/>
          </w:tcPr>
          <w:p w14:paraId="232A049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0.58</w:t>
            </w:r>
          </w:p>
        </w:tc>
        <w:tc>
          <w:tcPr>
            <w:tcW w:w="1959" w:type="dxa"/>
            <w:vAlign w:val="center"/>
          </w:tcPr>
          <w:p w14:paraId="1AB756D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74.15</w:t>
            </w:r>
          </w:p>
        </w:tc>
      </w:tr>
      <w:tr w14:paraId="15571766">
        <w:tblPrEx>
          <w:tblCellMar>
            <w:top w:w="0" w:type="dxa"/>
            <w:left w:w="0" w:type="dxa"/>
            <w:bottom w:w="0" w:type="dxa"/>
            <w:right w:w="0" w:type="dxa"/>
          </w:tblCellMar>
        </w:tblPrEx>
        <w:trPr>
          <w:cantSplit/>
          <w:jc w:val="center"/>
        </w:trPr>
        <w:tc>
          <w:tcPr>
            <w:tcW w:w="782" w:type="dxa"/>
            <w:vAlign w:val="center"/>
          </w:tcPr>
          <w:p w14:paraId="7195A4E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Q26</w:t>
            </w:r>
          </w:p>
        </w:tc>
        <w:tc>
          <w:tcPr>
            <w:tcW w:w="4026" w:type="dxa"/>
            <w:vAlign w:val="center"/>
          </w:tcPr>
          <w:p w14:paraId="1689A30E">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为了更好地完成共同任务，我愿意根据实际情况调整自己的想法或做法</w:t>
            </w:r>
          </w:p>
        </w:tc>
        <w:tc>
          <w:tcPr>
            <w:tcW w:w="783" w:type="dxa"/>
            <w:vAlign w:val="center"/>
          </w:tcPr>
          <w:p w14:paraId="3FA451D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3.72</w:t>
            </w:r>
          </w:p>
        </w:tc>
        <w:tc>
          <w:tcPr>
            <w:tcW w:w="972" w:type="dxa"/>
            <w:vAlign w:val="center"/>
          </w:tcPr>
          <w:p w14:paraId="79A64110">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0.53</w:t>
            </w:r>
          </w:p>
        </w:tc>
        <w:tc>
          <w:tcPr>
            <w:tcW w:w="1959" w:type="dxa"/>
            <w:vAlign w:val="center"/>
          </w:tcPr>
          <w:p w14:paraId="0A5FF9A7">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75.41</w:t>
            </w:r>
          </w:p>
        </w:tc>
      </w:tr>
      <w:tr w14:paraId="67BAFCF9">
        <w:tblPrEx>
          <w:tblCellMar>
            <w:top w:w="0" w:type="dxa"/>
            <w:left w:w="0" w:type="dxa"/>
            <w:bottom w:w="0" w:type="dxa"/>
            <w:right w:w="0" w:type="dxa"/>
          </w:tblCellMar>
        </w:tblPrEx>
        <w:trPr>
          <w:cantSplit/>
          <w:jc w:val="center"/>
        </w:trPr>
        <w:tc>
          <w:tcPr>
            <w:tcW w:w="782" w:type="dxa"/>
            <w:tcBorders>
              <w:bottom w:val="single" w:color="000000" w:sz="12" w:space="0"/>
            </w:tcBorders>
            <w:vAlign w:val="center"/>
          </w:tcPr>
          <w:p w14:paraId="59DD251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Q27</w:t>
            </w:r>
          </w:p>
        </w:tc>
        <w:tc>
          <w:tcPr>
            <w:tcW w:w="4026" w:type="dxa"/>
            <w:tcBorders>
              <w:bottom w:val="single" w:color="000000" w:sz="12" w:space="0"/>
            </w:tcBorders>
            <w:vAlign w:val="center"/>
          </w:tcPr>
          <w:p w14:paraId="37835157">
            <w:pPr>
              <w:snapToGrid w:val="0"/>
              <w:spacing w:before="0" w:after="0" w:line="240" w:lineRule="auto"/>
              <w:ind w:left="0" w:right="0" w:firstLine="0"/>
              <w:jc w:val="left"/>
              <w:rPr>
                <w:rFonts w:hint="eastAsia" w:ascii="宋体" w:hAnsi="宋体" w:eastAsia="宋体" w:cs="宋体"/>
                <w:sz w:val="19"/>
              </w:rPr>
            </w:pPr>
            <w:r>
              <w:rPr>
                <w:rFonts w:hint="eastAsia" w:ascii="宋体" w:hAnsi="宋体" w:eastAsia="宋体" w:cs="宋体"/>
                <w:b w:val="0"/>
                <w:sz w:val="21"/>
              </w:rPr>
              <w:t>同学遇到学习困难时，我愿意给予力所能及的帮助</w:t>
            </w:r>
          </w:p>
        </w:tc>
        <w:tc>
          <w:tcPr>
            <w:tcW w:w="783" w:type="dxa"/>
            <w:tcBorders>
              <w:bottom w:val="single" w:color="000000" w:sz="12" w:space="0"/>
            </w:tcBorders>
            <w:vAlign w:val="center"/>
          </w:tcPr>
          <w:p w14:paraId="576C981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3.70</w:t>
            </w:r>
          </w:p>
        </w:tc>
        <w:tc>
          <w:tcPr>
            <w:tcW w:w="972" w:type="dxa"/>
            <w:tcBorders>
              <w:bottom w:val="single" w:color="000000" w:sz="12" w:space="0"/>
            </w:tcBorders>
            <w:vAlign w:val="center"/>
          </w:tcPr>
          <w:p w14:paraId="341D7A7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0.56</w:t>
            </w:r>
          </w:p>
        </w:tc>
        <w:tc>
          <w:tcPr>
            <w:tcW w:w="1959" w:type="dxa"/>
            <w:tcBorders>
              <w:bottom w:val="single" w:color="000000" w:sz="12" w:space="0"/>
            </w:tcBorders>
            <w:vAlign w:val="center"/>
          </w:tcPr>
          <w:p w14:paraId="4B417EA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74.96</w:t>
            </w:r>
          </w:p>
        </w:tc>
      </w:tr>
    </w:tbl>
    <w:p w14:paraId="34E4DFEE">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合作共情维度均值为3.71，标准差为0.48，为七个维度最高。认真倾听同伴Q23均值为3.75，积极选择比例为78.38%；理解不同观点Q24均值为3.68，协商解决分歧Q25均值为3.69。学生较积极的倾听、互助与协商自评，为开展合作探究提供了基础。后续实践应进一步关注合作的实际质量，考察学生能否准确理解同伴理由、回应不同意见，并在讨论中共同修订结论，使合作参与转化为共同建构。</w:t>
      </w:r>
    </w:p>
    <w:p w14:paraId="03DB5444">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bCs/>
          <w:sz w:val="24"/>
          <w:szCs w:val="32"/>
        </w:rPr>
      </w:pPr>
      <w:r>
        <w:rPr>
          <w:rFonts w:hint="eastAsia" w:ascii="宋体" w:hAnsi="宋体" w:eastAsia="宋体" w:cs="宋体"/>
          <w:b w:val="0"/>
          <w:bCs/>
          <w:sz w:val="24"/>
          <w:szCs w:val="32"/>
        </w:rPr>
        <w:t>⑦包容创新</w:t>
      </w:r>
    </w:p>
    <w:p w14:paraId="611B129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表3-11  包容创新维度各题项统计（n＝1346）</w:t>
      </w:r>
    </w:p>
    <w:tbl>
      <w:tblPr>
        <w:tblStyle w:val="12"/>
        <w:tblW w:w="8522" w:type="dxa"/>
        <w:jc w:val="center"/>
        <w:tblLayout w:type="fixed"/>
        <w:tblCellMar>
          <w:top w:w="0" w:type="dxa"/>
          <w:left w:w="0" w:type="dxa"/>
          <w:bottom w:w="0" w:type="dxa"/>
          <w:right w:w="0" w:type="dxa"/>
        </w:tblCellMar>
      </w:tblPr>
      <w:tblGrid>
        <w:gridCol w:w="784"/>
        <w:gridCol w:w="3953"/>
        <w:gridCol w:w="785"/>
        <w:gridCol w:w="976"/>
        <w:gridCol w:w="2024"/>
      </w:tblGrid>
      <w:tr w14:paraId="5E8897FF">
        <w:tblPrEx>
          <w:tblCellMar>
            <w:top w:w="0" w:type="dxa"/>
            <w:left w:w="0" w:type="dxa"/>
            <w:bottom w:w="0" w:type="dxa"/>
            <w:right w:w="0" w:type="dxa"/>
          </w:tblCellMar>
        </w:tblPrEx>
        <w:trPr>
          <w:cantSplit/>
          <w:tblHeader/>
          <w:jc w:val="center"/>
        </w:trPr>
        <w:tc>
          <w:tcPr>
            <w:tcW w:w="784" w:type="dxa"/>
            <w:tcBorders>
              <w:top w:val="single" w:color="000000" w:sz="12" w:space="0"/>
            </w:tcBorders>
            <w:vAlign w:val="center"/>
          </w:tcPr>
          <w:p w14:paraId="437A23A0">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题号</w:t>
            </w:r>
          </w:p>
        </w:tc>
        <w:tc>
          <w:tcPr>
            <w:tcW w:w="3953" w:type="dxa"/>
            <w:tcBorders>
              <w:top w:val="single" w:color="000000" w:sz="12" w:space="0"/>
            </w:tcBorders>
            <w:vAlign w:val="center"/>
          </w:tcPr>
          <w:p w14:paraId="41DEAB0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题项内容</w:t>
            </w:r>
          </w:p>
        </w:tc>
        <w:tc>
          <w:tcPr>
            <w:tcW w:w="785" w:type="dxa"/>
            <w:tcBorders>
              <w:top w:val="single" w:color="000000" w:sz="12" w:space="0"/>
            </w:tcBorders>
            <w:vAlign w:val="center"/>
          </w:tcPr>
          <w:p w14:paraId="2CF969B1">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均值</w:t>
            </w:r>
          </w:p>
        </w:tc>
        <w:tc>
          <w:tcPr>
            <w:tcW w:w="976" w:type="dxa"/>
            <w:tcBorders>
              <w:top w:val="single" w:color="000000" w:sz="12" w:space="0"/>
            </w:tcBorders>
            <w:vAlign w:val="center"/>
          </w:tcPr>
          <w:p w14:paraId="5F66DE3A">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标准差</w:t>
            </w:r>
          </w:p>
        </w:tc>
        <w:tc>
          <w:tcPr>
            <w:tcW w:w="2024" w:type="dxa"/>
            <w:tcBorders>
              <w:top w:val="single" w:color="000000" w:sz="12" w:space="0"/>
            </w:tcBorders>
            <w:vAlign w:val="center"/>
          </w:tcPr>
          <w:p w14:paraId="66AA1676">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lang w:val="en-US" w:eastAsia="zh-CN"/>
              </w:rPr>
              <w:t>比较/完全符合</w:t>
            </w:r>
            <w:r>
              <w:rPr>
                <w:rFonts w:hint="eastAsia" w:ascii="宋体" w:hAnsi="宋体" w:eastAsia="宋体" w:cs="宋体"/>
                <w:b/>
                <w:sz w:val="21"/>
              </w:rPr>
              <w:t>比例</w:t>
            </w:r>
          </w:p>
          <w:p w14:paraId="7DF7D7E5">
            <w:pPr>
              <w:snapToGrid w:val="0"/>
              <w:spacing w:before="0" w:after="0" w:line="240" w:lineRule="auto"/>
              <w:ind w:left="0" w:right="0" w:firstLine="0"/>
              <w:jc w:val="center"/>
              <w:rPr>
                <w:rFonts w:hint="eastAsia" w:ascii="宋体" w:hAnsi="宋体" w:eastAsia="宋体" w:cs="宋体"/>
                <w:b/>
                <w:sz w:val="19"/>
              </w:rPr>
            </w:pPr>
            <w:r>
              <w:rPr>
                <w:rFonts w:hint="eastAsia" w:ascii="宋体" w:hAnsi="宋体" w:eastAsia="宋体" w:cs="宋体"/>
                <w:b/>
                <w:sz w:val="21"/>
              </w:rPr>
              <w:t>（%）</w:t>
            </w:r>
          </w:p>
        </w:tc>
      </w:tr>
      <w:tr w14:paraId="15CE4CA3">
        <w:tblPrEx>
          <w:tblCellMar>
            <w:top w:w="0" w:type="dxa"/>
            <w:left w:w="0" w:type="dxa"/>
            <w:bottom w:w="0" w:type="dxa"/>
            <w:right w:w="0" w:type="dxa"/>
          </w:tblCellMar>
        </w:tblPrEx>
        <w:trPr>
          <w:cantSplit/>
          <w:jc w:val="center"/>
        </w:trPr>
        <w:tc>
          <w:tcPr>
            <w:tcW w:w="784" w:type="dxa"/>
            <w:tcBorders>
              <w:top w:val="single" w:color="000000" w:sz="4" w:space="0"/>
            </w:tcBorders>
            <w:vAlign w:val="center"/>
          </w:tcPr>
          <w:p w14:paraId="55104F1C">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Q28</w:t>
            </w:r>
          </w:p>
        </w:tc>
        <w:tc>
          <w:tcPr>
            <w:tcW w:w="3953" w:type="dxa"/>
            <w:tcBorders>
              <w:top w:val="single" w:color="000000" w:sz="4" w:space="0"/>
            </w:tcBorders>
            <w:vAlign w:val="center"/>
          </w:tcPr>
          <w:p w14:paraId="295A095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面对新的学习任务时，我愿意尝试自己不熟悉的方法</w:t>
            </w:r>
          </w:p>
        </w:tc>
        <w:tc>
          <w:tcPr>
            <w:tcW w:w="785" w:type="dxa"/>
            <w:tcBorders>
              <w:top w:val="single" w:color="000000" w:sz="4" w:space="0"/>
            </w:tcBorders>
            <w:vAlign w:val="center"/>
          </w:tcPr>
          <w:p w14:paraId="582A3166">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3.58</w:t>
            </w:r>
          </w:p>
        </w:tc>
        <w:tc>
          <w:tcPr>
            <w:tcW w:w="976" w:type="dxa"/>
            <w:tcBorders>
              <w:top w:val="single" w:color="000000" w:sz="4" w:space="0"/>
            </w:tcBorders>
            <w:vAlign w:val="center"/>
          </w:tcPr>
          <w:p w14:paraId="37BF8B5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0.67</w:t>
            </w:r>
          </w:p>
        </w:tc>
        <w:tc>
          <w:tcPr>
            <w:tcW w:w="2024" w:type="dxa"/>
            <w:tcBorders>
              <w:top w:val="single" w:color="000000" w:sz="4" w:space="0"/>
            </w:tcBorders>
            <w:vAlign w:val="center"/>
          </w:tcPr>
          <w:p w14:paraId="56198AF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66.64</w:t>
            </w:r>
          </w:p>
        </w:tc>
      </w:tr>
      <w:tr w14:paraId="5439A2EF">
        <w:tblPrEx>
          <w:tblCellMar>
            <w:top w:w="0" w:type="dxa"/>
            <w:left w:w="0" w:type="dxa"/>
            <w:bottom w:w="0" w:type="dxa"/>
            <w:right w:w="0" w:type="dxa"/>
          </w:tblCellMar>
        </w:tblPrEx>
        <w:trPr>
          <w:cantSplit/>
          <w:jc w:val="center"/>
        </w:trPr>
        <w:tc>
          <w:tcPr>
            <w:tcW w:w="784" w:type="dxa"/>
            <w:vAlign w:val="center"/>
          </w:tcPr>
          <w:p w14:paraId="0342B30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Q29</w:t>
            </w:r>
          </w:p>
        </w:tc>
        <w:tc>
          <w:tcPr>
            <w:tcW w:w="3953" w:type="dxa"/>
            <w:vAlign w:val="center"/>
          </w:tcPr>
          <w:p w14:paraId="38ACAD0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当同学提出与众不同的想法时，我愿意认真听并思考</w:t>
            </w:r>
          </w:p>
        </w:tc>
        <w:tc>
          <w:tcPr>
            <w:tcW w:w="785" w:type="dxa"/>
            <w:vAlign w:val="center"/>
          </w:tcPr>
          <w:p w14:paraId="2EF5F30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3.74</w:t>
            </w:r>
          </w:p>
        </w:tc>
        <w:tc>
          <w:tcPr>
            <w:tcW w:w="976" w:type="dxa"/>
            <w:vAlign w:val="center"/>
          </w:tcPr>
          <w:p w14:paraId="5D7A5C8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0.53</w:t>
            </w:r>
          </w:p>
        </w:tc>
        <w:tc>
          <w:tcPr>
            <w:tcW w:w="2024" w:type="dxa"/>
            <w:vAlign w:val="center"/>
          </w:tcPr>
          <w:p w14:paraId="55375E1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77.34</w:t>
            </w:r>
          </w:p>
        </w:tc>
      </w:tr>
      <w:tr w14:paraId="4C1311F1">
        <w:tblPrEx>
          <w:tblCellMar>
            <w:top w:w="0" w:type="dxa"/>
            <w:left w:w="0" w:type="dxa"/>
            <w:bottom w:w="0" w:type="dxa"/>
            <w:right w:w="0" w:type="dxa"/>
          </w:tblCellMar>
        </w:tblPrEx>
        <w:trPr>
          <w:cantSplit/>
          <w:jc w:val="center"/>
        </w:trPr>
        <w:tc>
          <w:tcPr>
            <w:tcW w:w="784" w:type="dxa"/>
            <w:vAlign w:val="center"/>
          </w:tcPr>
          <w:p w14:paraId="087A4C9B">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Q30</w:t>
            </w:r>
          </w:p>
        </w:tc>
        <w:tc>
          <w:tcPr>
            <w:tcW w:w="3953" w:type="dxa"/>
            <w:vAlign w:val="center"/>
          </w:tcPr>
          <w:p w14:paraId="2512032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学习时，我愿意进一步探究“为什么”，而不只是记住答案</w:t>
            </w:r>
          </w:p>
        </w:tc>
        <w:tc>
          <w:tcPr>
            <w:tcW w:w="785" w:type="dxa"/>
            <w:vAlign w:val="center"/>
          </w:tcPr>
          <w:p w14:paraId="38D4006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3.67</w:t>
            </w:r>
          </w:p>
        </w:tc>
        <w:tc>
          <w:tcPr>
            <w:tcW w:w="976" w:type="dxa"/>
            <w:vAlign w:val="center"/>
          </w:tcPr>
          <w:p w14:paraId="0848DF6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0.59</w:t>
            </w:r>
          </w:p>
        </w:tc>
        <w:tc>
          <w:tcPr>
            <w:tcW w:w="2024" w:type="dxa"/>
            <w:vAlign w:val="center"/>
          </w:tcPr>
          <w:p w14:paraId="5626B64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72.73</w:t>
            </w:r>
          </w:p>
        </w:tc>
      </w:tr>
      <w:tr w14:paraId="03DECB37">
        <w:tblPrEx>
          <w:tblCellMar>
            <w:top w:w="0" w:type="dxa"/>
            <w:left w:w="0" w:type="dxa"/>
            <w:bottom w:w="0" w:type="dxa"/>
            <w:right w:w="0" w:type="dxa"/>
          </w:tblCellMar>
        </w:tblPrEx>
        <w:trPr>
          <w:cantSplit/>
          <w:jc w:val="center"/>
        </w:trPr>
        <w:tc>
          <w:tcPr>
            <w:tcW w:w="784" w:type="dxa"/>
            <w:vAlign w:val="center"/>
          </w:tcPr>
          <w:p w14:paraId="7A9A60B9">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Q31</w:t>
            </w:r>
          </w:p>
        </w:tc>
        <w:tc>
          <w:tcPr>
            <w:tcW w:w="3953" w:type="dxa"/>
            <w:vAlign w:val="center"/>
          </w:tcPr>
          <w:p w14:paraId="042BBD5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解决问题时，我会参考不同的观点，形成自己的新想法</w:t>
            </w:r>
          </w:p>
        </w:tc>
        <w:tc>
          <w:tcPr>
            <w:tcW w:w="785" w:type="dxa"/>
            <w:vAlign w:val="center"/>
          </w:tcPr>
          <w:p w14:paraId="192A3C18">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3.65</w:t>
            </w:r>
          </w:p>
        </w:tc>
        <w:tc>
          <w:tcPr>
            <w:tcW w:w="976" w:type="dxa"/>
            <w:vAlign w:val="center"/>
          </w:tcPr>
          <w:p w14:paraId="5F3A94CF">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0.60</w:t>
            </w:r>
          </w:p>
        </w:tc>
        <w:tc>
          <w:tcPr>
            <w:tcW w:w="2024" w:type="dxa"/>
            <w:vAlign w:val="center"/>
          </w:tcPr>
          <w:p w14:paraId="15EAC4C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69.99</w:t>
            </w:r>
          </w:p>
        </w:tc>
      </w:tr>
      <w:tr w14:paraId="6812FDF1">
        <w:tblPrEx>
          <w:tblCellMar>
            <w:top w:w="0" w:type="dxa"/>
            <w:left w:w="0" w:type="dxa"/>
            <w:bottom w:w="0" w:type="dxa"/>
            <w:right w:w="0" w:type="dxa"/>
          </w:tblCellMar>
        </w:tblPrEx>
        <w:trPr>
          <w:cantSplit/>
          <w:jc w:val="center"/>
        </w:trPr>
        <w:tc>
          <w:tcPr>
            <w:tcW w:w="784" w:type="dxa"/>
            <w:tcBorders>
              <w:bottom w:val="single" w:color="000000" w:sz="12" w:space="0"/>
            </w:tcBorders>
            <w:vAlign w:val="center"/>
          </w:tcPr>
          <w:p w14:paraId="507DC435">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Q32</w:t>
            </w:r>
          </w:p>
        </w:tc>
        <w:tc>
          <w:tcPr>
            <w:tcW w:w="3953" w:type="dxa"/>
            <w:tcBorders>
              <w:bottom w:val="single" w:color="000000" w:sz="12" w:space="0"/>
            </w:tcBorders>
            <w:vAlign w:val="center"/>
          </w:tcPr>
          <w:p w14:paraId="3A2032D4">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面对没有固定答案的问题时，我愿意继续探索和尝试</w:t>
            </w:r>
          </w:p>
        </w:tc>
        <w:tc>
          <w:tcPr>
            <w:tcW w:w="785" w:type="dxa"/>
            <w:tcBorders>
              <w:bottom w:val="single" w:color="000000" w:sz="12" w:space="0"/>
            </w:tcBorders>
            <w:vAlign w:val="center"/>
          </w:tcPr>
          <w:p w14:paraId="70D50E5D">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3.64</w:t>
            </w:r>
          </w:p>
        </w:tc>
        <w:tc>
          <w:tcPr>
            <w:tcW w:w="976" w:type="dxa"/>
            <w:tcBorders>
              <w:bottom w:val="single" w:color="000000" w:sz="12" w:space="0"/>
            </w:tcBorders>
            <w:vAlign w:val="center"/>
          </w:tcPr>
          <w:p w14:paraId="5A0C1C8E">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0.61</w:t>
            </w:r>
          </w:p>
        </w:tc>
        <w:tc>
          <w:tcPr>
            <w:tcW w:w="2024" w:type="dxa"/>
            <w:tcBorders>
              <w:bottom w:val="single" w:color="000000" w:sz="12" w:space="0"/>
            </w:tcBorders>
            <w:vAlign w:val="center"/>
          </w:tcPr>
          <w:p w14:paraId="0FB7BE3A">
            <w:pPr>
              <w:snapToGrid w:val="0"/>
              <w:spacing w:before="0" w:after="0" w:line="240" w:lineRule="auto"/>
              <w:ind w:left="0" w:right="0" w:firstLine="0"/>
              <w:jc w:val="center"/>
              <w:rPr>
                <w:rFonts w:hint="eastAsia" w:ascii="宋体" w:hAnsi="宋体" w:eastAsia="宋体" w:cs="宋体"/>
                <w:sz w:val="19"/>
              </w:rPr>
            </w:pPr>
            <w:r>
              <w:rPr>
                <w:rFonts w:hint="eastAsia" w:ascii="宋体" w:hAnsi="宋体" w:eastAsia="宋体" w:cs="宋体"/>
                <w:b w:val="0"/>
                <w:sz w:val="21"/>
              </w:rPr>
              <w:t>69.69</w:t>
            </w:r>
          </w:p>
        </w:tc>
      </w:tr>
    </w:tbl>
    <w:p w14:paraId="3B8E72A3">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包容创新维度均值为3.66，标准差为0.51。接纳并思考不同想法Q29均值为3.74，积极选择比例为77.34%；尝试陌生方法Q28均值为3.58，积极选择比例为66.64%，相对较低。这表明，学生对不同观点保持开放的自评，较主动尝试不熟悉方法更为积极。课堂与科创教育可通过方案试用、过程记录和再次修订，引导学生将对新想法的接纳转化为具体探索行动。</w:t>
      </w:r>
    </w:p>
    <w:p w14:paraId="2767A7A8">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color w:val="auto"/>
          <w:kern w:val="0"/>
          <w:sz w:val="24"/>
          <w:lang w:val="en-US" w:eastAsia="zh-CN"/>
        </w:rPr>
      </w:pPr>
      <w:r>
        <w:rPr>
          <w:rFonts w:hint="eastAsia" w:ascii="宋体" w:hAnsi="宋体" w:eastAsia="宋体" w:cs="宋体"/>
          <w:b w:val="0"/>
          <w:color w:val="auto"/>
          <w:kern w:val="0"/>
          <w:sz w:val="24"/>
          <w:lang w:val="en-US" w:eastAsia="zh-CN"/>
        </w:rPr>
        <w:t>3）开放性问题质性分析</w:t>
      </w:r>
    </w:p>
    <w:p w14:paraId="165C0862">
      <w:pPr>
        <w:pageBreakBefore w:val="0"/>
        <w:numPr>
          <w:ilvl w:val="0"/>
          <w:numId w:val="0"/>
        </w:numPr>
        <w:overflowPunct w:val="0"/>
        <w:bidi w:val="0"/>
        <w:spacing w:line="360" w:lineRule="auto"/>
        <w:ind w:left="0" w:firstLineChars="200"/>
        <w:jc w:val="center"/>
        <w:textAlignment w:val="auto"/>
        <w:rPr>
          <w:rFonts w:hint="eastAsia" w:ascii="宋体" w:hAnsi="宋体" w:eastAsia="宋体" w:cs="宋体"/>
          <w:color w:val="auto"/>
          <w:lang w:eastAsia="zh-CN"/>
        </w:rPr>
      </w:pPr>
      <w:r>
        <w:rPr>
          <w:rFonts w:hint="eastAsia" w:ascii="宋体" w:hAnsi="宋体" w:eastAsia="宋体" w:cs="宋体"/>
        </w:rPr>
        <w:drawing>
          <wp:inline distT="0" distB="0" distL="0" distR="0">
            <wp:extent cx="4354195" cy="1942465"/>
            <wp:effectExtent l="0" t="0" r="8255" b="635"/>
            <wp:docPr id="4" name="图片 6" descr="ace76d9c-6381-48fe-acf7-a991f635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ace76d9c-6381-48fe-acf7-a991f6355ee9"/>
                    <pic:cNvPicPr>
                      <a:picLocks noChangeAspect="1" noChangeArrowheads="1"/>
                    </pic:cNvPicPr>
                  </pic:nvPicPr>
                  <pic:blipFill>
                    <a:blip r:embed="rId8"/>
                    <a:stretch>
                      <a:fillRect/>
                    </a:stretch>
                  </pic:blipFill>
                  <pic:spPr>
                    <a:xfrm>
                      <a:off x="0" y="0"/>
                      <a:ext cx="4354195" cy="1942465"/>
                    </a:xfrm>
                    <a:prstGeom prst="rect">
                      <a:avLst/>
                    </a:prstGeom>
                    <a:noFill/>
                  </pic:spPr>
                </pic:pic>
              </a:graphicData>
            </a:graphic>
          </wp:inline>
        </w:drawing>
      </w:r>
    </w:p>
    <w:p w14:paraId="1F03009D">
      <w:pPr>
        <w:pageBreakBefore w:val="0"/>
        <w:numPr>
          <w:ilvl w:val="0"/>
          <w:numId w:val="0"/>
        </w:numPr>
        <w:overflowPunct w:val="0"/>
        <w:bidi w:val="0"/>
        <w:snapToGrid w:val="0"/>
        <w:spacing w:before="0" w:after="0" w:line="360" w:lineRule="auto"/>
        <w:ind w:left="0" w:leftChars="0"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①学科知识理解与解题突破。</w:t>
      </w:r>
    </w:p>
    <w:p w14:paraId="37FB4D21">
      <w:pPr>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数学难题、压轴题、几何辅助线、多解分类、函数综合等被提及较多；物理化学中的综合计算、图像理解和知识点混杂也较突出；英语单词、语法、背诵和写作，语文文言文、阅读理解、作文及主观题，同样构成常见困难。典型表现包括没有思路、长时间卡住、变式不会、知识点综合后难以梳理、计算过程繁琐等。</w:t>
      </w:r>
    </w:p>
    <w:p w14:paraId="2346ECD7">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②知识迁移与思维整合。</w:t>
      </w:r>
    </w:p>
    <w:p w14:paraId="3AC7CE8B">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不少回答指向“听懂了但不会做”“会一道题但同类题又不会”“难以举一反三”“新旧知识联系混乱”“抽象概念理解慢”“无法形成知识网络”。这说明困难不只是知识本身，更在于从理解到应用、从单题到一类题、从零散记忆到整体建构的转化过程。</w:t>
      </w:r>
    </w:p>
    <w:p w14:paraId="2A6CB51E">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③自我管理与学习习惯。</w:t>
      </w:r>
    </w:p>
    <w:p w14:paraId="6F8C7EAD">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专注力不足、容易分心、电子产品干扰、拖延、时间分配困难、作业过多、背诵坚持难、计划执行差、睡眠不足等被反复提及。部分学生提到，在缺少监督时难以主动学习，任务一多就手忙脚乱，长时间专注和定期复习都很困难。</w:t>
      </w:r>
    </w:p>
    <w:p w14:paraId="29720B16">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④考试心态与情绪调节。</w:t>
      </w:r>
    </w:p>
    <w:p w14:paraId="23E5CD01">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考试紧张、成绩不理想、排名下降、努力后回报不明显、自信受挫、焦虑内耗、害怕被提问和公开表达等，是另一类集中困难。典型场景包括考试失利后难以调整心态，长期努力却看不到进步，或在难题面前产生无力感和自我怀疑。</w:t>
      </w:r>
    </w:p>
    <w:p w14:paraId="084AF41A">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kern w:val="0"/>
          <w:sz w:val="24"/>
          <w:lang w:val="en-US" w:eastAsia="zh-CN"/>
        </w:rPr>
      </w:pPr>
      <w:r>
        <w:rPr>
          <w:rFonts w:hint="eastAsia" w:ascii="宋体" w:hAnsi="宋体" w:eastAsia="宋体" w:cs="宋体"/>
          <w:b w:val="0"/>
          <w:kern w:val="0"/>
          <w:sz w:val="24"/>
          <w:lang w:val="en-US" w:eastAsia="zh-CN"/>
        </w:rPr>
        <w:t>⑤外部环境与互动支持。</w:t>
      </w:r>
    </w:p>
    <w:p w14:paraId="5130AAF6">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老师讲得快或跳步、无人及时答疑、同伴合作不畅、小组意见难以统一、家庭与住宿环境干扰、座位不适、作业量过大等，也被部分学生视为学习困难来源。这些问题虽不直接指向学科内容，但会显著影响学习状态和效率。</w:t>
      </w:r>
    </w:p>
    <w:p w14:paraId="1E9F9037">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auto"/>
          <w:kern w:val="0"/>
          <w:sz w:val="24"/>
          <w:szCs w:val="24"/>
          <w:lang w:val="en-US" w:eastAsia="zh-CN"/>
        </w:rPr>
      </w:pPr>
      <w:r>
        <w:rPr>
          <w:rFonts w:hint="eastAsia" w:ascii="宋体" w:hAnsi="宋体" w:eastAsia="宋体" w:cs="宋体"/>
          <w:b w:val="0"/>
          <w:color w:val="auto"/>
          <w:kern w:val="0"/>
          <w:sz w:val="24"/>
          <w:szCs w:val="24"/>
          <w:lang w:val="en-US" w:eastAsia="zh-CN"/>
        </w:rPr>
        <w:t>从典型例子看，最常出现的困难场景包括：面对数学压轴题长时间没有思路；背英语单词和语文古文容易遗忘；上课听懂但做题不会；考试失利后难以调整；作业多导致自主复习时间不足；小组讨论中难以表达或统一意见。整体而言，学生需要的不只是更多练习，而是可操作的方法、持续的反馈、合理的时间安排以及情绪与信心支持。同时，无效作答比例较高，也提示后续调研可增加引导语或示例，以提高数据质量。</w:t>
      </w:r>
    </w:p>
    <w:p w14:paraId="50F3C3B2">
      <w:pPr>
        <w:keepNext/>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b/>
          <w:color w:val="C00000"/>
          <w:kern w:val="0"/>
          <w:sz w:val="24"/>
          <w:lang w:val="en-US" w:eastAsia="zh-CN"/>
        </w:rPr>
      </w:pPr>
      <w:r>
        <w:rPr>
          <w:rFonts w:hint="eastAsia" w:ascii="宋体" w:hAnsi="宋体" w:eastAsia="宋体" w:cs="宋体"/>
          <w:b w:val="0"/>
          <w:color w:val="C00000"/>
          <w:kern w:val="0"/>
          <w:sz w:val="24"/>
          <w:lang w:val="en-US" w:eastAsia="zh-CN"/>
        </w:rPr>
        <w:t>4）小结</w:t>
      </w:r>
    </w:p>
    <w:p w14:paraId="117228D3">
      <w:pPr>
        <w:keepNext/>
        <w:pageBreakBefore w:val="0"/>
        <w:numPr>
          <w:ilvl w:val="0"/>
          <w:numId w:val="0"/>
        </w:numPr>
        <w:overflowPunct w:val="0"/>
        <w:bidi w:val="0"/>
        <w:snapToGrid w:val="0"/>
        <w:spacing w:before="0" w:after="0" w:line="360" w:lineRule="auto"/>
        <w:ind w:left="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综合量化测评与开放性回答，学生高阶能力自评总体均值为3.64，合作共情、责任担当和包容创新相对较高，为开展合作探究提供了一定基础。创造与情绪调节相对薄弱，复杂问题拆解、多方案生成和任务反思仍需加强。开放性回答中的“听懂但不会做”、知识迁移困难、时间管理不足及考试紧张等，与量化结果相互呼应，表明学生的学习困难涉及知识整合、方法运用与自我调节。后续教学应明确学习目标与评价标准，加强问题分析、方案比较和反思修订，并提供及时反馈与情绪支持，帮助学生将已有知识转化为解决复杂问题的能力。</w:t>
      </w:r>
    </w:p>
    <w:p w14:paraId="4F98A2A8">
      <w:pPr>
        <w:pStyle w:val="4"/>
        <w:keepNext/>
        <w:pageBreakBefore w:val="0"/>
        <w:numPr>
          <w:ilvl w:val="0"/>
          <w:numId w:val="0"/>
        </w:numPr>
        <w:overflowPunct w:val="0"/>
        <w:bidi w:val="0"/>
        <w:snapToGrid w:val="0"/>
        <w:spacing w:before="240" w:after="120" w:line="360" w:lineRule="auto"/>
        <w:ind w:left="0" w:firstLine="0"/>
        <w:jc w:val="left"/>
        <w:textAlignment w:val="auto"/>
        <w:rPr>
          <w:rFonts w:hint="eastAsia" w:ascii="宋体" w:hAnsi="宋体" w:eastAsia="宋体" w:cs="宋体"/>
          <w:b/>
          <w:bCs/>
          <w:color w:val="C00000"/>
          <w:kern w:val="0"/>
          <w:sz w:val="28"/>
          <w:szCs w:val="28"/>
        </w:rPr>
      </w:pPr>
      <w:bookmarkStart w:id="58" w:name="_Toc27501"/>
      <w:r>
        <w:rPr>
          <w:rFonts w:hint="eastAsia" w:ascii="宋体" w:hAnsi="宋体" w:eastAsia="宋体" w:cs="宋体"/>
          <w:b/>
          <w:bCs/>
          <w:color w:val="C00000"/>
          <w:kern w:val="0"/>
          <w:sz w:val="28"/>
          <w:lang w:val="en-US" w:eastAsia="zh-CN"/>
        </w:rPr>
        <w:t>2.</w:t>
      </w:r>
      <w:r>
        <w:rPr>
          <w:rFonts w:hint="eastAsia" w:ascii="宋体" w:hAnsi="宋体" w:eastAsia="宋体" w:cs="宋体"/>
          <w:b/>
          <w:bCs/>
          <w:color w:val="C00000"/>
          <w:kern w:val="0"/>
          <w:sz w:val="28"/>
        </w:rPr>
        <w:t>教师高阶能力培育现状的前测调查</w:t>
      </w:r>
      <w:bookmarkEnd w:id="58"/>
    </w:p>
    <w:p w14:paraId="3229FFEC">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bCs/>
          <w:kern w:val="0"/>
          <w:sz w:val="24"/>
        </w:rPr>
      </w:pPr>
      <w:bookmarkStart w:id="59" w:name="_Toc1775"/>
      <w:r>
        <w:rPr>
          <w:rFonts w:hint="eastAsia" w:ascii="宋体" w:hAnsi="宋体" w:eastAsia="宋体" w:cs="宋体"/>
          <w:b w:val="0"/>
          <w:bCs/>
          <w:kern w:val="0"/>
          <w:sz w:val="24"/>
          <w:lang w:eastAsia="zh-CN"/>
        </w:rPr>
        <w:t>（</w:t>
      </w:r>
      <w:r>
        <w:rPr>
          <w:rFonts w:hint="eastAsia" w:ascii="宋体" w:hAnsi="宋体" w:eastAsia="宋体" w:cs="宋体"/>
          <w:b w:val="0"/>
          <w:bCs/>
          <w:kern w:val="0"/>
          <w:sz w:val="24"/>
        </w:rPr>
        <w:t>1</w:t>
      </w:r>
      <w:r>
        <w:rPr>
          <w:rFonts w:hint="eastAsia" w:ascii="宋体" w:hAnsi="宋体" w:eastAsia="宋体" w:cs="宋体"/>
          <w:b w:val="0"/>
          <w:bCs/>
          <w:kern w:val="0"/>
          <w:sz w:val="24"/>
          <w:lang w:eastAsia="zh-CN"/>
        </w:rPr>
        <w:t>）</w:t>
      </w:r>
      <w:r>
        <w:rPr>
          <w:rFonts w:hint="eastAsia" w:ascii="宋体" w:hAnsi="宋体" w:eastAsia="宋体" w:cs="宋体"/>
          <w:b w:val="0"/>
          <w:bCs/>
          <w:kern w:val="0"/>
          <w:sz w:val="24"/>
        </w:rPr>
        <w:t>教师调查内容的确定</w:t>
      </w:r>
      <w:bookmarkEnd w:id="59"/>
    </w:p>
    <w:p w14:paraId="515F271B">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bCs/>
          <w:kern w:val="0"/>
          <w:sz w:val="24"/>
        </w:rPr>
      </w:pPr>
      <w:r>
        <w:rPr>
          <w:rFonts w:hint="eastAsia" w:ascii="宋体" w:hAnsi="宋体" w:eastAsia="宋体" w:cs="宋体"/>
          <w:b w:val="0"/>
          <w:bCs/>
          <w:kern w:val="0"/>
          <w:sz w:val="24"/>
        </w:rPr>
        <w:t>1）认知与价值认同</w:t>
      </w:r>
    </w:p>
    <w:p w14:paraId="5D92735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705787E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832E110">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2）课堂实践</w:t>
      </w:r>
    </w:p>
    <w:p w14:paraId="756A272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390452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结合实际题项，课堂实践部分设置6题，考察指向分析、评价与创造的任务设计，项目式或问题探究式学习的组织，生活与社会情境的联系，开放性提问及多角度作答，数字工具与资源支持，以及自主思考和小组研讨的时间安排。</w:t>
      </w:r>
    </w:p>
    <w:p w14:paraId="1B51A1D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9B5B7DD">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3）教学自我效能</w:t>
      </w:r>
    </w:p>
    <w:p w14:paraId="1600787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Style w:val="16"/>
          <w:rFonts w:hint="eastAsia" w:ascii="宋体" w:hAnsi="宋体" w:eastAsia="宋体" w:cs="宋体"/>
          <w:b w:val="0"/>
          <w:kern w:val="0"/>
          <w:sz w:val="24"/>
          <w:vertAlign w:val="superscript"/>
        </w:rPr>
        <w:footnoteReference w:id="114"/>
      </w:r>
      <w:r>
        <w:rPr>
          <w:rFonts w:hint="eastAsia" w:ascii="宋体" w:hAnsi="宋体" w:eastAsia="宋体" w:cs="宋体"/>
          <w:b w:val="0"/>
          <w:kern w:val="0"/>
          <w:sz w:val="24"/>
        </w:rPr>
        <w:t>。本研究以此解释教师对高阶能力培育的实施把握，重点考察其能否设计适合学生的任务、通过提问与点拨推动思考，以及识别学生的高阶表现。</w:t>
      </w:r>
    </w:p>
    <w:p w14:paraId="6FD1923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581A84E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4）现实阻碍</w:t>
      </w:r>
    </w:p>
    <w:p w14:paraId="5BB58076">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20B0712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C5DDAF3">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rPr>
        <w:t>5）教师调查框架的形成</w:t>
      </w:r>
    </w:p>
    <w:p w14:paraId="26BDDA3B">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596AA44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学生调查呈现能力发展需要，教师调查呈现教学支持的基础与条件。两类结果共同用于确定学习模型的能力目标、任务要求与支持重点，并为学习决策路径、学习层次设计及后续教学模式构建提供依据。</w:t>
      </w:r>
    </w:p>
    <w:p w14:paraId="4A42B4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5038A9A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565C49B9">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kern w:val="0"/>
          <w:sz w:val="24"/>
        </w:rPr>
      </w:pPr>
      <w:bookmarkStart w:id="60" w:name="_Toc16298"/>
      <w:r>
        <w:rPr>
          <w:rFonts w:hint="eastAsia" w:ascii="宋体" w:hAnsi="宋体" w:eastAsia="宋体" w:cs="宋体"/>
          <w:b w:val="0"/>
          <w:kern w:val="0"/>
          <w:sz w:val="24"/>
          <w:lang w:eastAsia="zh-CN"/>
        </w:rPr>
        <w:t>（</w:t>
      </w:r>
      <w:r>
        <w:rPr>
          <w:rFonts w:hint="eastAsia" w:ascii="宋体" w:hAnsi="宋体" w:eastAsia="宋体" w:cs="宋体"/>
          <w:b w:val="0"/>
          <w:kern w:val="0"/>
          <w:sz w:val="24"/>
        </w:rPr>
        <w:t>2</w:t>
      </w:r>
      <w:r>
        <w:rPr>
          <w:rFonts w:hint="eastAsia" w:ascii="宋体" w:hAnsi="宋体" w:eastAsia="宋体" w:cs="宋体"/>
          <w:b w:val="0"/>
          <w:kern w:val="0"/>
          <w:sz w:val="24"/>
          <w:lang w:eastAsia="zh-CN"/>
        </w:rPr>
        <w:t>）</w:t>
      </w:r>
      <w:r>
        <w:rPr>
          <w:rFonts w:hint="eastAsia" w:ascii="宋体" w:hAnsi="宋体" w:eastAsia="宋体" w:cs="宋体"/>
          <w:b w:val="0"/>
          <w:kern w:val="0"/>
          <w:sz w:val="24"/>
        </w:rPr>
        <w:t>教师样本与数据收集</w:t>
      </w:r>
      <w:bookmarkEnd w:id="60"/>
    </w:p>
    <w:p w14:paraId="218EF6F7">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为了解教师已有的高阶能力培育基础及教学实施中的困难，课题组编制教师前测问卷</w:t>
      </w:r>
      <w:r>
        <w:rPr>
          <w:rFonts w:hint="eastAsia" w:ascii="宋体" w:hAnsi="宋体" w:eastAsia="宋体" w:cs="宋体"/>
          <w:b w:val="0"/>
          <w:color w:val="C00000"/>
          <w:kern w:val="0"/>
          <w:sz w:val="24"/>
        </w:rPr>
        <w:t>（见附录）</w:t>
      </w:r>
      <w:r>
        <w:rPr>
          <w:rFonts w:hint="eastAsia" w:ascii="宋体" w:hAnsi="宋体" w:eastAsia="宋体" w:cs="宋体"/>
          <w:b w:val="0"/>
          <w:kern w:val="0"/>
          <w:sz w:val="24"/>
        </w:rPr>
        <w:t>，围绕认知与价值认同、课堂实践、教学自我效能和现实阻碍四方面设置22道评分题，并通过背景信息与开放性问题补充了解教师的实践经验和支持需求。</w:t>
      </w:r>
    </w:p>
    <w:p w14:paraId="4B9A9903">
      <w:pPr>
        <w:pageBreakBefore w:val="0"/>
        <w:overflowPunct w:val="0"/>
        <w:bidi w:val="0"/>
        <w:snapToGrid w:val="0"/>
        <w:spacing w:before="0" w:after="0" w:line="360" w:lineRule="auto"/>
        <w:ind w:firstLineChars="200"/>
        <w:jc w:val="both"/>
        <w:textAlignment w:val="auto"/>
        <w:rPr>
          <w:rFonts w:hint="eastAsia" w:ascii="宋体" w:hAnsi="宋体" w:eastAsia="宋体" w:cs="宋体"/>
          <w:b/>
          <w:kern w:val="0"/>
          <w:sz w:val="24"/>
        </w:rPr>
      </w:pPr>
      <w:r>
        <w:rPr>
          <w:rFonts w:hint="eastAsia" w:ascii="宋体" w:hAnsi="宋体" w:eastAsia="宋体" w:cs="宋体"/>
          <w:b w:val="0"/>
          <w:color w:val="000000"/>
          <w:sz w:val="24"/>
          <w:szCs w:val="22"/>
          <w:shd w:val="clear"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w:t>
      </w:r>
      <w:r>
        <w:rPr>
          <w:rFonts w:hint="eastAsia" w:ascii="宋体" w:hAnsi="宋体" w:eastAsia="宋体" w:cs="宋体"/>
          <w:b w:val="0"/>
          <w:color w:val="000000"/>
          <w:sz w:val="24"/>
          <w:szCs w:val="22"/>
          <w:shd w:val="clear" w:fill="FFFFFF"/>
          <w:lang w:val="en-US" w:eastAsia="zh-CN"/>
        </w:rPr>
        <w:t>以</w:t>
      </w:r>
      <w:r>
        <w:rPr>
          <w:rFonts w:hint="eastAsia" w:ascii="宋体" w:hAnsi="宋体" w:eastAsia="宋体" w:cs="宋体"/>
          <w:b w:val="0"/>
          <w:color w:val="000000"/>
          <w:sz w:val="24"/>
          <w:szCs w:val="22"/>
          <w:shd w:val="clear" w:fill="FFFFFF"/>
        </w:rPr>
        <w:t>确定学习模型设计与后续教学模式构建的</w:t>
      </w:r>
      <w:r>
        <w:rPr>
          <w:rFonts w:hint="eastAsia" w:ascii="宋体" w:hAnsi="宋体" w:eastAsia="宋体" w:cs="宋体"/>
          <w:b w:val="0"/>
          <w:color w:val="000000"/>
          <w:sz w:val="24"/>
          <w:szCs w:val="22"/>
          <w:shd w:val="clear" w:fill="FFFFFF"/>
          <w:lang w:val="en-US" w:eastAsia="zh-CN"/>
        </w:rPr>
        <w:t>要素</w:t>
      </w:r>
      <w:r>
        <w:rPr>
          <w:rFonts w:hint="eastAsia" w:ascii="宋体" w:hAnsi="宋体" w:eastAsia="宋体" w:cs="宋体"/>
          <w:b w:val="0"/>
          <w:color w:val="000000"/>
          <w:sz w:val="24"/>
          <w:szCs w:val="22"/>
          <w:shd w:val="clear" w:fill="FFFFFF"/>
        </w:rPr>
        <w:t>。</w:t>
      </w:r>
      <w:r>
        <w:rPr>
          <w:rFonts w:hint="eastAsia" w:ascii="宋体" w:hAnsi="宋体" w:eastAsia="宋体" w:cs="宋体"/>
          <w:b w:val="0"/>
          <w:kern w:val="0"/>
          <w:sz w:val="24"/>
          <w:lang w:eastAsia="zh-CN"/>
        </w:rPr>
        <w:t>（</w:t>
      </w:r>
      <w:r>
        <w:rPr>
          <w:rFonts w:hint="eastAsia" w:ascii="宋体" w:hAnsi="宋体" w:eastAsia="宋体" w:cs="宋体"/>
          <w:b w:val="0"/>
          <w:kern w:val="0"/>
          <w:sz w:val="24"/>
        </w:rPr>
        <w:t>3</w:t>
      </w:r>
      <w:r>
        <w:rPr>
          <w:rFonts w:hint="eastAsia" w:ascii="宋体" w:hAnsi="宋体" w:eastAsia="宋体" w:cs="宋体"/>
          <w:b w:val="0"/>
          <w:kern w:val="0"/>
          <w:sz w:val="24"/>
          <w:lang w:eastAsia="zh-CN"/>
        </w:rPr>
        <w:t>）</w:t>
      </w:r>
      <w:r>
        <w:rPr>
          <w:rFonts w:hint="eastAsia" w:ascii="宋体" w:hAnsi="宋体" w:eastAsia="宋体" w:cs="宋体"/>
          <w:b w:val="0"/>
          <w:kern w:val="0"/>
          <w:sz w:val="24"/>
        </w:rPr>
        <w:t>教师问卷的测量质量检验</w:t>
      </w:r>
    </w:p>
    <w:p w14:paraId="0CAF5C0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rPr>
      </w:pPr>
      <w:r>
        <w:rPr>
          <w:rFonts w:hint="eastAsia" w:ascii="宋体" w:hAnsi="宋体" w:eastAsia="宋体" w:cs="宋体"/>
          <w:b w:val="0"/>
          <w:kern w:val="0"/>
          <w:sz w:val="24"/>
          <w:lang w:val="en-US" w:eastAsia="zh-CN"/>
        </w:rPr>
        <w:t>1）</w:t>
      </w:r>
      <w:r>
        <w:rPr>
          <w:rFonts w:hint="eastAsia" w:ascii="宋体" w:hAnsi="宋体" w:eastAsia="宋体" w:cs="宋体"/>
          <w:b w:val="0"/>
          <w:kern w:val="0"/>
          <w:sz w:val="24"/>
        </w:rPr>
        <w:t>信度检验</w:t>
      </w:r>
    </w:p>
    <w:p w14:paraId="5E2ED3A5">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表3-12  教师问卷各维度信度检验</w:t>
      </w:r>
    </w:p>
    <w:tbl>
      <w:tblPr>
        <w:tblStyle w:val="12"/>
        <w:tblW w:w="9936" w:type="dxa"/>
        <w:jc w:val="center"/>
        <w:tblLayout w:type="fixed"/>
        <w:tblCellMar>
          <w:top w:w="65" w:type="dxa"/>
          <w:left w:w="65" w:type="dxa"/>
          <w:bottom w:w="65" w:type="dxa"/>
          <w:right w:w="65" w:type="dxa"/>
        </w:tblCellMar>
      </w:tblPr>
      <w:tblGrid>
        <w:gridCol w:w="3023"/>
        <w:gridCol w:w="1009"/>
        <w:gridCol w:w="1871"/>
        <w:gridCol w:w="4033"/>
      </w:tblGrid>
      <w:tr w14:paraId="2CD8F12D">
        <w:tblPrEx>
          <w:tblCellMar>
            <w:top w:w="65" w:type="dxa"/>
            <w:left w:w="65" w:type="dxa"/>
            <w:bottom w:w="65" w:type="dxa"/>
            <w:right w:w="65" w:type="dxa"/>
          </w:tblCellMar>
        </w:tblPrEx>
        <w:trPr>
          <w:cantSplit/>
          <w:tblHeader/>
          <w:jc w:val="center"/>
        </w:trPr>
        <w:tc>
          <w:tcPr>
            <w:tcW w:w="3023" w:type="dxa"/>
            <w:tcBorders>
              <w:top w:val="single" w:color="000000" w:sz="10" w:space="0"/>
              <w:bottom w:val="single" w:color="000000" w:sz="6" w:space="0"/>
            </w:tcBorders>
            <w:vAlign w:val="center"/>
          </w:tcPr>
          <w:p w14:paraId="4207573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维度</w:t>
            </w:r>
          </w:p>
        </w:tc>
        <w:tc>
          <w:tcPr>
            <w:tcW w:w="1009" w:type="dxa"/>
            <w:tcBorders>
              <w:top w:val="single" w:color="000000" w:sz="10" w:space="0"/>
              <w:bottom w:val="single" w:color="000000" w:sz="6" w:space="0"/>
            </w:tcBorders>
            <w:vAlign w:val="center"/>
          </w:tcPr>
          <w:p w14:paraId="36B016A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题项数</w:t>
            </w:r>
          </w:p>
        </w:tc>
        <w:tc>
          <w:tcPr>
            <w:tcW w:w="1871" w:type="dxa"/>
            <w:tcBorders>
              <w:top w:val="single" w:color="000000" w:sz="10" w:space="0"/>
              <w:bottom w:val="single" w:color="000000" w:sz="6" w:space="0"/>
            </w:tcBorders>
            <w:vAlign w:val="center"/>
          </w:tcPr>
          <w:p w14:paraId="7ED5844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Cronbach’s α</w:t>
            </w:r>
          </w:p>
        </w:tc>
        <w:tc>
          <w:tcPr>
            <w:tcW w:w="4033" w:type="dxa"/>
            <w:tcBorders>
              <w:top w:val="single" w:color="000000" w:sz="10" w:space="0"/>
              <w:bottom w:val="single" w:color="000000" w:sz="6" w:space="0"/>
            </w:tcBorders>
            <w:vAlign w:val="center"/>
          </w:tcPr>
          <w:p w14:paraId="36D48DE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校正题项总分相关范围</w:t>
            </w:r>
            <w:r>
              <w:rPr>
                <w:rFonts w:hint="eastAsia" w:ascii="宋体" w:hAnsi="宋体" w:eastAsia="宋体" w:cs="宋体"/>
                <w:sz w:val="21"/>
              </w:rPr>
              <w:t>（CITC）</w:t>
            </w:r>
          </w:p>
        </w:tc>
      </w:tr>
      <w:tr w14:paraId="02E04A32">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0B38160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认知与价值认同</w:t>
            </w:r>
          </w:p>
        </w:tc>
        <w:tc>
          <w:tcPr>
            <w:tcW w:w="1009" w:type="dxa"/>
            <w:tcBorders>
              <w:top w:val="single" w:color="000000" w:sz="10" w:space="0"/>
              <w:bottom w:val="single" w:color="000000" w:sz="10" w:space="0"/>
            </w:tcBorders>
            <w:vAlign w:val="center"/>
          </w:tcPr>
          <w:p w14:paraId="6D377BD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7</w:t>
            </w:r>
          </w:p>
        </w:tc>
        <w:tc>
          <w:tcPr>
            <w:tcW w:w="1871" w:type="dxa"/>
            <w:tcBorders>
              <w:top w:val="single" w:color="000000" w:sz="10" w:space="0"/>
              <w:bottom w:val="single" w:color="000000" w:sz="10" w:space="0"/>
            </w:tcBorders>
            <w:vAlign w:val="center"/>
          </w:tcPr>
          <w:p w14:paraId="458E8B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0.972</w:t>
            </w:r>
          </w:p>
        </w:tc>
        <w:tc>
          <w:tcPr>
            <w:tcW w:w="4033" w:type="dxa"/>
            <w:tcBorders>
              <w:top w:val="single" w:color="000000" w:sz="10" w:space="0"/>
              <w:bottom w:val="single" w:color="000000" w:sz="10" w:space="0"/>
            </w:tcBorders>
            <w:vAlign w:val="center"/>
          </w:tcPr>
          <w:p w14:paraId="75C34EC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0.858—0.932</w:t>
            </w:r>
          </w:p>
        </w:tc>
      </w:tr>
      <w:tr w14:paraId="5C156F66">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62243F6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课堂实践</w:t>
            </w:r>
          </w:p>
        </w:tc>
        <w:tc>
          <w:tcPr>
            <w:tcW w:w="1009" w:type="dxa"/>
            <w:tcBorders>
              <w:top w:val="single" w:color="000000" w:sz="10" w:space="0"/>
              <w:bottom w:val="single" w:color="000000" w:sz="10" w:space="0"/>
            </w:tcBorders>
            <w:vAlign w:val="center"/>
          </w:tcPr>
          <w:p w14:paraId="523CBF5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6</w:t>
            </w:r>
          </w:p>
        </w:tc>
        <w:tc>
          <w:tcPr>
            <w:tcW w:w="1871" w:type="dxa"/>
            <w:tcBorders>
              <w:top w:val="single" w:color="000000" w:sz="10" w:space="0"/>
              <w:bottom w:val="single" w:color="000000" w:sz="10" w:space="0"/>
            </w:tcBorders>
            <w:vAlign w:val="center"/>
          </w:tcPr>
          <w:p w14:paraId="3EFDA68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0.954</w:t>
            </w:r>
          </w:p>
        </w:tc>
        <w:tc>
          <w:tcPr>
            <w:tcW w:w="4033" w:type="dxa"/>
            <w:tcBorders>
              <w:top w:val="single" w:color="000000" w:sz="10" w:space="0"/>
              <w:bottom w:val="single" w:color="000000" w:sz="10" w:space="0"/>
            </w:tcBorders>
            <w:vAlign w:val="center"/>
          </w:tcPr>
          <w:p w14:paraId="11EE8EA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0.806—0.885</w:t>
            </w:r>
          </w:p>
        </w:tc>
      </w:tr>
      <w:tr w14:paraId="30E7DDBE">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05B596E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教学自我效能</w:t>
            </w:r>
          </w:p>
        </w:tc>
        <w:tc>
          <w:tcPr>
            <w:tcW w:w="1009" w:type="dxa"/>
            <w:tcBorders>
              <w:top w:val="single" w:color="000000" w:sz="10" w:space="0"/>
              <w:bottom w:val="single" w:color="000000" w:sz="10" w:space="0"/>
            </w:tcBorders>
            <w:vAlign w:val="center"/>
          </w:tcPr>
          <w:p w14:paraId="09C42BC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3</w:t>
            </w:r>
          </w:p>
        </w:tc>
        <w:tc>
          <w:tcPr>
            <w:tcW w:w="1871" w:type="dxa"/>
            <w:tcBorders>
              <w:top w:val="single" w:color="000000" w:sz="10" w:space="0"/>
              <w:bottom w:val="single" w:color="000000" w:sz="10" w:space="0"/>
            </w:tcBorders>
            <w:vAlign w:val="center"/>
          </w:tcPr>
          <w:p w14:paraId="11F7E27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0.929</w:t>
            </w:r>
          </w:p>
        </w:tc>
        <w:tc>
          <w:tcPr>
            <w:tcW w:w="4033" w:type="dxa"/>
            <w:tcBorders>
              <w:top w:val="single" w:color="000000" w:sz="10" w:space="0"/>
              <w:bottom w:val="single" w:color="000000" w:sz="10" w:space="0"/>
            </w:tcBorders>
            <w:vAlign w:val="center"/>
          </w:tcPr>
          <w:p w14:paraId="01672E8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0.836—0.886</w:t>
            </w:r>
          </w:p>
        </w:tc>
      </w:tr>
      <w:tr w14:paraId="78AC1237">
        <w:tblPrEx>
          <w:tblCellMar>
            <w:top w:w="65" w:type="dxa"/>
            <w:left w:w="65" w:type="dxa"/>
            <w:bottom w:w="65" w:type="dxa"/>
            <w:right w:w="65" w:type="dxa"/>
          </w:tblCellMar>
        </w:tblPrEx>
        <w:trPr>
          <w:cantSplit/>
          <w:jc w:val="center"/>
        </w:trPr>
        <w:tc>
          <w:tcPr>
            <w:tcW w:w="3023" w:type="dxa"/>
            <w:tcBorders>
              <w:top w:val="single" w:color="000000" w:sz="10" w:space="0"/>
              <w:bottom w:val="single" w:color="000000" w:sz="10" w:space="0"/>
            </w:tcBorders>
            <w:vAlign w:val="center"/>
          </w:tcPr>
          <w:p w14:paraId="3E90B1D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现实阻碍</w:t>
            </w:r>
          </w:p>
        </w:tc>
        <w:tc>
          <w:tcPr>
            <w:tcW w:w="1009" w:type="dxa"/>
            <w:tcBorders>
              <w:top w:val="single" w:color="000000" w:sz="10" w:space="0"/>
              <w:bottom w:val="single" w:color="000000" w:sz="10" w:space="0"/>
            </w:tcBorders>
            <w:vAlign w:val="center"/>
          </w:tcPr>
          <w:p w14:paraId="70F3D5B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6</w:t>
            </w:r>
          </w:p>
        </w:tc>
        <w:tc>
          <w:tcPr>
            <w:tcW w:w="1871" w:type="dxa"/>
            <w:tcBorders>
              <w:top w:val="single" w:color="000000" w:sz="10" w:space="0"/>
              <w:bottom w:val="single" w:color="000000" w:sz="10" w:space="0"/>
            </w:tcBorders>
            <w:vAlign w:val="center"/>
          </w:tcPr>
          <w:p w14:paraId="5FE3A31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0.930</w:t>
            </w:r>
          </w:p>
        </w:tc>
        <w:tc>
          <w:tcPr>
            <w:tcW w:w="4033" w:type="dxa"/>
            <w:tcBorders>
              <w:top w:val="single" w:color="000000" w:sz="10" w:space="0"/>
              <w:bottom w:val="single" w:color="000000" w:sz="10" w:space="0"/>
            </w:tcBorders>
            <w:vAlign w:val="center"/>
          </w:tcPr>
          <w:p w14:paraId="3EE211B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0.746—0.858</w:t>
            </w:r>
          </w:p>
        </w:tc>
      </w:tr>
    </w:tbl>
    <w:p w14:paraId="3942FCE4">
      <w:pPr>
        <w:pageBreakBefore w:val="0"/>
        <w:overflowPunct w:val="0"/>
        <w:bidi w:val="0"/>
        <w:snapToGrid w:val="0"/>
        <w:spacing w:line="360" w:lineRule="auto"/>
        <w:ind w:firstLineChars="200"/>
        <w:textAlignment w:val="auto"/>
        <w:rPr>
          <w:rFonts w:hint="eastAsia" w:ascii="宋体" w:hAnsi="宋体" w:eastAsia="宋体" w:cs="宋体"/>
          <w:kern w:val="0"/>
          <w:sz w:val="24"/>
        </w:rPr>
      </w:pPr>
    </w:p>
    <w:p w14:paraId="66DFD23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四个维度的Cronbach’s α系数分别为0.972、0.954、0.929和0.930，显示同维度题项具有较高的内部一致性。各题项与所属维度其余题项总分的相关介于0.746—0.932之间，说明题项与相应测评内容联系较紧密，可为后续分维度描述提供信度依据。认知与价值认同维度的一致性较高。</w:t>
      </w:r>
    </w:p>
    <w:p w14:paraId="26E44B34">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2）KMO与Bartlett检验</w:t>
      </w:r>
    </w:p>
    <w:p w14:paraId="072AA43E">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表3-13  教师问卷KMO与Bartlett球形度检验</w:t>
      </w:r>
    </w:p>
    <w:tbl>
      <w:tblPr>
        <w:tblStyle w:val="12"/>
        <w:tblW w:w="9936" w:type="dxa"/>
        <w:jc w:val="center"/>
        <w:tblLayout w:type="fixed"/>
        <w:tblCellMar>
          <w:top w:w="65" w:type="dxa"/>
          <w:left w:w="65" w:type="dxa"/>
          <w:bottom w:w="65" w:type="dxa"/>
          <w:right w:w="65" w:type="dxa"/>
        </w:tblCellMar>
      </w:tblPr>
      <w:tblGrid>
        <w:gridCol w:w="5759"/>
        <w:gridCol w:w="4177"/>
      </w:tblGrid>
      <w:tr w14:paraId="35DD8392">
        <w:tblPrEx>
          <w:tblCellMar>
            <w:top w:w="65" w:type="dxa"/>
            <w:left w:w="65" w:type="dxa"/>
            <w:bottom w:w="65" w:type="dxa"/>
            <w:right w:w="65" w:type="dxa"/>
          </w:tblCellMar>
        </w:tblPrEx>
        <w:trPr>
          <w:cantSplit/>
          <w:tblHeader/>
          <w:jc w:val="center"/>
        </w:trPr>
        <w:tc>
          <w:tcPr>
            <w:tcW w:w="5759" w:type="dxa"/>
            <w:tcBorders>
              <w:top w:val="single" w:color="000000" w:sz="10" w:space="0"/>
              <w:bottom w:val="single" w:color="000000" w:sz="6" w:space="0"/>
            </w:tcBorders>
            <w:vAlign w:val="center"/>
          </w:tcPr>
          <w:p w14:paraId="21FD1716">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sz w:val="21"/>
              </w:rPr>
              <w:t>检验项目</w:t>
            </w:r>
          </w:p>
        </w:tc>
        <w:tc>
          <w:tcPr>
            <w:tcW w:w="4177" w:type="dxa"/>
            <w:tcBorders>
              <w:top w:val="single" w:color="000000" w:sz="10" w:space="0"/>
              <w:bottom w:val="single" w:color="000000" w:sz="6" w:space="0"/>
            </w:tcBorders>
            <w:vAlign w:val="center"/>
          </w:tcPr>
          <w:p w14:paraId="0B4E57D9">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sz w:val="21"/>
              </w:rPr>
              <w:t>结果</w:t>
            </w:r>
          </w:p>
        </w:tc>
      </w:tr>
      <w:tr w14:paraId="1FB24550">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0EDD7385">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KMO</w:t>
            </w:r>
          </w:p>
        </w:tc>
        <w:tc>
          <w:tcPr>
            <w:tcW w:w="4177" w:type="dxa"/>
            <w:tcBorders>
              <w:top w:val="single" w:color="000000" w:sz="10" w:space="0"/>
              <w:bottom w:val="single" w:color="000000" w:sz="10" w:space="0"/>
            </w:tcBorders>
            <w:vAlign w:val="center"/>
          </w:tcPr>
          <w:p w14:paraId="10324416">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0.9238</w:t>
            </w:r>
          </w:p>
        </w:tc>
      </w:tr>
      <w:tr w14:paraId="0A929DC2">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474BFB3B">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Bartlett近似χ²</w:t>
            </w:r>
          </w:p>
        </w:tc>
        <w:tc>
          <w:tcPr>
            <w:tcW w:w="4177" w:type="dxa"/>
            <w:tcBorders>
              <w:top w:val="single" w:color="000000" w:sz="10" w:space="0"/>
              <w:bottom w:val="single" w:color="000000" w:sz="10" w:space="0"/>
            </w:tcBorders>
            <w:vAlign w:val="center"/>
          </w:tcPr>
          <w:p w14:paraId="320DEE53">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4356.257</w:t>
            </w:r>
          </w:p>
        </w:tc>
      </w:tr>
      <w:tr w14:paraId="6E3F963B">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1A5593E1">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自由度</w:t>
            </w:r>
          </w:p>
        </w:tc>
        <w:tc>
          <w:tcPr>
            <w:tcW w:w="4177" w:type="dxa"/>
            <w:tcBorders>
              <w:top w:val="single" w:color="000000" w:sz="10" w:space="0"/>
              <w:bottom w:val="single" w:color="000000" w:sz="10" w:space="0"/>
            </w:tcBorders>
            <w:vAlign w:val="center"/>
          </w:tcPr>
          <w:p w14:paraId="6E94BB3D">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231</w:t>
            </w:r>
          </w:p>
        </w:tc>
      </w:tr>
      <w:tr w14:paraId="001D66EF">
        <w:tblPrEx>
          <w:tblCellMar>
            <w:top w:w="65" w:type="dxa"/>
            <w:left w:w="65" w:type="dxa"/>
            <w:bottom w:w="65" w:type="dxa"/>
            <w:right w:w="65" w:type="dxa"/>
          </w:tblCellMar>
        </w:tblPrEx>
        <w:trPr>
          <w:cantSplit/>
          <w:jc w:val="center"/>
        </w:trPr>
        <w:tc>
          <w:tcPr>
            <w:tcW w:w="5759" w:type="dxa"/>
            <w:tcBorders>
              <w:top w:val="single" w:color="000000" w:sz="10" w:space="0"/>
              <w:bottom w:val="single" w:color="000000" w:sz="10" w:space="0"/>
            </w:tcBorders>
            <w:vAlign w:val="center"/>
          </w:tcPr>
          <w:p w14:paraId="3A048085">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显著性</w:t>
            </w:r>
          </w:p>
        </w:tc>
        <w:tc>
          <w:tcPr>
            <w:tcW w:w="4177" w:type="dxa"/>
            <w:tcBorders>
              <w:top w:val="single" w:color="000000" w:sz="10" w:space="0"/>
              <w:bottom w:val="single" w:color="000000" w:sz="10" w:space="0"/>
            </w:tcBorders>
            <w:vAlign w:val="center"/>
          </w:tcPr>
          <w:p w14:paraId="10DF659A">
            <w:pPr>
              <w:overflowPunct w:val="0"/>
              <w:bidi w:val="0"/>
              <w:spacing w:before="0" w:after="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＜0.001</w:t>
            </w:r>
          </w:p>
        </w:tc>
      </w:tr>
    </w:tbl>
    <w:p w14:paraId="4AA61452">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KMO值为0.9238，Bartlett球形度检验近似χ²为4356.257，自由度为231，p＜0.001，说明题项之间存在</w:t>
      </w:r>
      <w:r>
        <w:rPr>
          <w:rFonts w:hint="eastAsia" w:ascii="宋体" w:hAnsi="宋体" w:eastAsia="宋体" w:cs="宋体"/>
          <w:b w:val="0"/>
          <w:kern w:val="0"/>
          <w:sz w:val="24"/>
          <w:lang w:val="en-US" w:eastAsia="zh-CN"/>
        </w:rPr>
        <w:t>较好的</w:t>
      </w:r>
      <w:r>
        <w:rPr>
          <w:rFonts w:hint="eastAsia" w:ascii="宋体" w:hAnsi="宋体" w:eastAsia="宋体" w:cs="宋体"/>
          <w:b w:val="0"/>
          <w:kern w:val="0"/>
          <w:sz w:val="24"/>
        </w:rPr>
        <w:t>相关性。</w:t>
      </w:r>
    </w:p>
    <w:p w14:paraId="38F0A06B">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3）方差解释与效度说明</w:t>
      </w:r>
    </w:p>
    <w:p w14:paraId="307EC37D">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表3-14  教师问卷主要成分的方差解释</w:t>
      </w:r>
    </w:p>
    <w:tbl>
      <w:tblPr>
        <w:tblStyle w:val="12"/>
        <w:tblW w:w="9936" w:type="dxa"/>
        <w:jc w:val="center"/>
        <w:tblLayout w:type="fixed"/>
        <w:tblCellMar>
          <w:top w:w="65" w:type="dxa"/>
          <w:left w:w="65" w:type="dxa"/>
          <w:bottom w:w="65" w:type="dxa"/>
          <w:right w:w="65" w:type="dxa"/>
        </w:tblCellMar>
      </w:tblPr>
      <w:tblGrid>
        <w:gridCol w:w="1151"/>
        <w:gridCol w:w="1872"/>
        <w:gridCol w:w="3457"/>
        <w:gridCol w:w="3456"/>
      </w:tblGrid>
      <w:tr w14:paraId="38F4541A">
        <w:tblPrEx>
          <w:tblCellMar>
            <w:top w:w="65" w:type="dxa"/>
            <w:left w:w="65" w:type="dxa"/>
            <w:bottom w:w="65" w:type="dxa"/>
            <w:right w:w="65" w:type="dxa"/>
          </w:tblCellMar>
        </w:tblPrEx>
        <w:trPr>
          <w:cantSplit/>
          <w:tblHeader/>
          <w:jc w:val="center"/>
        </w:trPr>
        <w:tc>
          <w:tcPr>
            <w:tcW w:w="1151" w:type="dxa"/>
            <w:tcBorders>
              <w:top w:val="single" w:color="000000" w:sz="10" w:space="0"/>
              <w:bottom w:val="single" w:color="000000" w:sz="6" w:space="0"/>
            </w:tcBorders>
            <w:vAlign w:val="center"/>
          </w:tcPr>
          <w:p w14:paraId="159318B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成分</w:t>
            </w:r>
          </w:p>
        </w:tc>
        <w:tc>
          <w:tcPr>
            <w:tcW w:w="1872" w:type="dxa"/>
            <w:tcBorders>
              <w:top w:val="single" w:color="000000" w:sz="10" w:space="0"/>
              <w:bottom w:val="single" w:color="000000" w:sz="6" w:space="0"/>
            </w:tcBorders>
            <w:vAlign w:val="center"/>
          </w:tcPr>
          <w:p w14:paraId="5CDF327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特征值</w:t>
            </w:r>
          </w:p>
        </w:tc>
        <w:tc>
          <w:tcPr>
            <w:tcW w:w="3457" w:type="dxa"/>
            <w:tcBorders>
              <w:top w:val="single" w:color="000000" w:sz="10" w:space="0"/>
              <w:bottom w:val="single" w:color="000000" w:sz="6" w:space="0"/>
            </w:tcBorders>
            <w:vAlign w:val="center"/>
          </w:tcPr>
          <w:p w14:paraId="61CC9D0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方差解释率（%）</w:t>
            </w:r>
          </w:p>
        </w:tc>
        <w:tc>
          <w:tcPr>
            <w:tcW w:w="3456" w:type="dxa"/>
            <w:tcBorders>
              <w:top w:val="single" w:color="000000" w:sz="10" w:space="0"/>
              <w:bottom w:val="single" w:color="000000" w:sz="6" w:space="0"/>
            </w:tcBorders>
            <w:vAlign w:val="center"/>
          </w:tcPr>
          <w:p w14:paraId="4B39497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累计解释率（%）</w:t>
            </w:r>
          </w:p>
        </w:tc>
      </w:tr>
      <w:tr w14:paraId="2D5AB2CB">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328B15A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w:t>
            </w:r>
          </w:p>
        </w:tc>
        <w:tc>
          <w:tcPr>
            <w:tcW w:w="1872" w:type="dxa"/>
            <w:tcBorders>
              <w:top w:val="single" w:color="000000" w:sz="10" w:space="0"/>
              <w:bottom w:val="single" w:color="000000" w:sz="10" w:space="0"/>
            </w:tcBorders>
            <w:vAlign w:val="center"/>
          </w:tcPr>
          <w:p w14:paraId="487DB15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11.591</w:t>
            </w:r>
          </w:p>
        </w:tc>
        <w:tc>
          <w:tcPr>
            <w:tcW w:w="3457" w:type="dxa"/>
            <w:tcBorders>
              <w:top w:val="single" w:color="000000" w:sz="10" w:space="0"/>
              <w:bottom w:val="single" w:color="000000" w:sz="10" w:space="0"/>
            </w:tcBorders>
            <w:vAlign w:val="center"/>
          </w:tcPr>
          <w:p w14:paraId="2C8A0A1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52.69</w:t>
            </w:r>
          </w:p>
        </w:tc>
        <w:tc>
          <w:tcPr>
            <w:tcW w:w="3456" w:type="dxa"/>
            <w:tcBorders>
              <w:top w:val="single" w:color="000000" w:sz="10" w:space="0"/>
              <w:bottom w:val="single" w:color="000000" w:sz="10" w:space="0"/>
            </w:tcBorders>
            <w:vAlign w:val="center"/>
          </w:tcPr>
          <w:p w14:paraId="30FAB88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52.69</w:t>
            </w:r>
          </w:p>
        </w:tc>
      </w:tr>
      <w:tr w14:paraId="60937D64">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4D98908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w:t>
            </w:r>
          </w:p>
        </w:tc>
        <w:tc>
          <w:tcPr>
            <w:tcW w:w="1872" w:type="dxa"/>
            <w:tcBorders>
              <w:top w:val="single" w:color="000000" w:sz="10" w:space="0"/>
              <w:bottom w:val="single" w:color="000000" w:sz="10" w:space="0"/>
            </w:tcBorders>
            <w:vAlign w:val="center"/>
          </w:tcPr>
          <w:p w14:paraId="391E84D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4.226</w:t>
            </w:r>
          </w:p>
        </w:tc>
        <w:tc>
          <w:tcPr>
            <w:tcW w:w="3457" w:type="dxa"/>
            <w:tcBorders>
              <w:top w:val="single" w:color="000000" w:sz="10" w:space="0"/>
              <w:bottom w:val="single" w:color="000000" w:sz="10" w:space="0"/>
            </w:tcBorders>
            <w:vAlign w:val="center"/>
          </w:tcPr>
          <w:p w14:paraId="7564C0A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19.21</w:t>
            </w:r>
          </w:p>
        </w:tc>
        <w:tc>
          <w:tcPr>
            <w:tcW w:w="3456" w:type="dxa"/>
            <w:tcBorders>
              <w:top w:val="single" w:color="000000" w:sz="10" w:space="0"/>
              <w:bottom w:val="single" w:color="000000" w:sz="10" w:space="0"/>
            </w:tcBorders>
            <w:vAlign w:val="center"/>
          </w:tcPr>
          <w:p w14:paraId="551AD14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71.90</w:t>
            </w:r>
          </w:p>
        </w:tc>
      </w:tr>
      <w:tr w14:paraId="0674E31F">
        <w:tblPrEx>
          <w:tblCellMar>
            <w:top w:w="65" w:type="dxa"/>
            <w:left w:w="65" w:type="dxa"/>
            <w:bottom w:w="65" w:type="dxa"/>
            <w:right w:w="65" w:type="dxa"/>
          </w:tblCellMar>
        </w:tblPrEx>
        <w:trPr>
          <w:cantSplit/>
          <w:jc w:val="center"/>
        </w:trPr>
        <w:tc>
          <w:tcPr>
            <w:tcW w:w="1151" w:type="dxa"/>
            <w:tcBorders>
              <w:top w:val="single" w:color="000000" w:sz="10" w:space="0"/>
              <w:bottom w:val="single" w:color="000000" w:sz="10" w:space="0"/>
            </w:tcBorders>
            <w:vAlign w:val="center"/>
          </w:tcPr>
          <w:p w14:paraId="7563A404">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w:t>
            </w:r>
          </w:p>
        </w:tc>
        <w:tc>
          <w:tcPr>
            <w:tcW w:w="1872" w:type="dxa"/>
            <w:tcBorders>
              <w:top w:val="single" w:color="000000" w:sz="10" w:space="0"/>
              <w:bottom w:val="single" w:color="000000" w:sz="10" w:space="0"/>
            </w:tcBorders>
            <w:vAlign w:val="center"/>
          </w:tcPr>
          <w:p w14:paraId="3A3B4BF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1.831</w:t>
            </w:r>
          </w:p>
        </w:tc>
        <w:tc>
          <w:tcPr>
            <w:tcW w:w="3457" w:type="dxa"/>
            <w:tcBorders>
              <w:top w:val="single" w:color="000000" w:sz="10" w:space="0"/>
              <w:bottom w:val="single" w:color="000000" w:sz="10" w:space="0"/>
            </w:tcBorders>
            <w:vAlign w:val="center"/>
          </w:tcPr>
          <w:p w14:paraId="441E3B8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8.32</w:t>
            </w:r>
          </w:p>
        </w:tc>
        <w:tc>
          <w:tcPr>
            <w:tcW w:w="3456" w:type="dxa"/>
            <w:tcBorders>
              <w:top w:val="single" w:color="000000" w:sz="10" w:space="0"/>
              <w:bottom w:val="single" w:color="000000" w:sz="10" w:space="0"/>
            </w:tcBorders>
            <w:vAlign w:val="center"/>
          </w:tcPr>
          <w:p w14:paraId="55EFBA8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80.22</w:t>
            </w:r>
          </w:p>
        </w:tc>
      </w:tr>
    </w:tbl>
    <w:p w14:paraId="415EF25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为简要呈现题项共同信息的集中程度，对22道评分题的相关矩阵进行主成分提取。前三个成分的特征值大于1，累计解释总方差的80.22%。这一结果表明，较少的成分可以概括题项中的较多信息。问卷内容覆盖教师认识、课堂行动、实施信心与现实条件，与前测诊断目的具有对应关系。综合来看，本问卷各维度具有较高内部一致性，题项关联与方差解释结果为开展现状分析提供了支持。</w:t>
      </w:r>
    </w:p>
    <w:p w14:paraId="458A5EF4">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kern w:val="0"/>
          <w:sz w:val="24"/>
          <w:lang w:val="en-US" w:eastAsia="zh-CN"/>
        </w:rPr>
      </w:pPr>
      <w:bookmarkStart w:id="61" w:name="_Toc22951"/>
      <w:r>
        <w:rPr>
          <w:rFonts w:hint="eastAsia" w:ascii="宋体" w:hAnsi="宋体" w:eastAsia="宋体" w:cs="宋体"/>
          <w:b w:val="0"/>
          <w:kern w:val="0"/>
          <w:sz w:val="24"/>
          <w:lang w:val="en-US" w:eastAsia="zh-CN"/>
        </w:rPr>
        <w:t>（3）教师高阶能力培育基础情况的问卷调查与分析</w:t>
      </w:r>
      <w:bookmarkEnd w:id="61"/>
    </w:p>
    <w:p w14:paraId="71F23B23">
      <w:pPr>
        <w:keepNext/>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1）教师基本情况</w:t>
      </w:r>
    </w:p>
    <w:p w14:paraId="15FB1548">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表3-15  受访教师基本情况</w:t>
      </w:r>
    </w:p>
    <w:tbl>
      <w:tblPr>
        <w:tblStyle w:val="12"/>
        <w:tblW w:w="9796" w:type="dxa"/>
        <w:jc w:val="center"/>
        <w:tblLayout w:type="fixed"/>
        <w:tblCellMar>
          <w:top w:w="65" w:type="dxa"/>
          <w:left w:w="65" w:type="dxa"/>
          <w:bottom w:w="65" w:type="dxa"/>
          <w:right w:w="65" w:type="dxa"/>
        </w:tblCellMar>
      </w:tblPr>
      <w:tblGrid>
        <w:gridCol w:w="1947"/>
        <w:gridCol w:w="3702"/>
        <w:gridCol w:w="1777"/>
        <w:gridCol w:w="2370"/>
      </w:tblGrid>
      <w:tr w14:paraId="02E6BC4D">
        <w:tblPrEx>
          <w:tblCellMar>
            <w:top w:w="65" w:type="dxa"/>
            <w:left w:w="65" w:type="dxa"/>
            <w:bottom w:w="65" w:type="dxa"/>
            <w:right w:w="65" w:type="dxa"/>
          </w:tblCellMar>
        </w:tblPrEx>
        <w:trPr>
          <w:cantSplit/>
          <w:trHeight w:val="603" w:hRule="atLeast"/>
          <w:tblHeader/>
          <w:jc w:val="center"/>
        </w:trPr>
        <w:tc>
          <w:tcPr>
            <w:tcW w:w="1947" w:type="dxa"/>
            <w:tcBorders>
              <w:top w:val="single" w:color="000000" w:sz="10" w:space="0"/>
              <w:bottom w:val="single" w:color="000000" w:sz="6" w:space="0"/>
            </w:tcBorders>
            <w:vAlign w:val="center"/>
          </w:tcPr>
          <w:p w14:paraId="2909DB9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项目</w:t>
            </w:r>
          </w:p>
        </w:tc>
        <w:tc>
          <w:tcPr>
            <w:tcW w:w="3702" w:type="dxa"/>
            <w:tcBorders>
              <w:top w:val="single" w:color="000000" w:sz="10" w:space="0"/>
              <w:bottom w:val="single" w:color="000000" w:sz="6" w:space="0"/>
            </w:tcBorders>
            <w:vAlign w:val="center"/>
          </w:tcPr>
          <w:p w14:paraId="4BBD2E5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类别</w:t>
            </w:r>
          </w:p>
        </w:tc>
        <w:tc>
          <w:tcPr>
            <w:tcW w:w="1777" w:type="dxa"/>
            <w:tcBorders>
              <w:top w:val="single" w:color="000000" w:sz="10" w:space="0"/>
              <w:bottom w:val="single" w:color="000000" w:sz="6" w:space="0"/>
            </w:tcBorders>
            <w:vAlign w:val="center"/>
          </w:tcPr>
          <w:p w14:paraId="1C102CC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人数</w:t>
            </w:r>
          </w:p>
        </w:tc>
        <w:tc>
          <w:tcPr>
            <w:tcW w:w="2370" w:type="dxa"/>
            <w:tcBorders>
              <w:top w:val="single" w:color="000000" w:sz="10" w:space="0"/>
              <w:bottom w:val="single" w:color="000000" w:sz="6" w:space="0"/>
            </w:tcBorders>
            <w:vAlign w:val="center"/>
          </w:tcPr>
          <w:p w14:paraId="6FD6007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比例（%）</w:t>
            </w:r>
          </w:p>
        </w:tc>
      </w:tr>
      <w:tr w14:paraId="2B643FC1">
        <w:tblPrEx>
          <w:tblCellMar>
            <w:top w:w="65" w:type="dxa"/>
            <w:left w:w="65" w:type="dxa"/>
            <w:bottom w:w="65" w:type="dxa"/>
            <w:right w:w="65" w:type="dxa"/>
          </w:tblCellMar>
        </w:tblPrEx>
        <w:trPr>
          <w:cantSplit/>
          <w:trHeight w:val="256" w:hRule="atLeast"/>
          <w:jc w:val="center"/>
        </w:trPr>
        <w:tc>
          <w:tcPr>
            <w:tcW w:w="1947" w:type="dxa"/>
            <w:vMerge w:val="restart"/>
            <w:tcBorders>
              <w:top w:val="single" w:color="000000" w:sz="10" w:space="0"/>
              <w:bottom w:val="single" w:color="000000" w:sz="10" w:space="0"/>
            </w:tcBorders>
            <w:vAlign w:val="center"/>
          </w:tcPr>
          <w:p w14:paraId="7CB2040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教龄</w:t>
            </w:r>
          </w:p>
        </w:tc>
        <w:tc>
          <w:tcPr>
            <w:tcW w:w="3702" w:type="dxa"/>
            <w:tcBorders>
              <w:top w:val="single" w:color="000000" w:sz="10" w:space="0"/>
              <w:bottom w:val="single" w:color="000000" w:sz="10" w:space="0"/>
            </w:tcBorders>
            <w:vAlign w:val="center"/>
          </w:tcPr>
          <w:p w14:paraId="1C129B6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3年以下</w:t>
            </w:r>
          </w:p>
        </w:tc>
        <w:tc>
          <w:tcPr>
            <w:tcW w:w="1777" w:type="dxa"/>
            <w:tcBorders>
              <w:top w:val="single" w:color="000000" w:sz="10" w:space="0"/>
              <w:bottom w:val="single" w:color="000000" w:sz="10" w:space="0"/>
            </w:tcBorders>
            <w:vAlign w:val="center"/>
          </w:tcPr>
          <w:p w14:paraId="0BBD12A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29</w:t>
            </w:r>
          </w:p>
        </w:tc>
        <w:tc>
          <w:tcPr>
            <w:tcW w:w="2370" w:type="dxa"/>
            <w:tcBorders>
              <w:top w:val="single" w:color="000000" w:sz="10" w:space="0"/>
              <w:bottom w:val="single" w:color="000000" w:sz="10" w:space="0"/>
            </w:tcBorders>
            <w:vAlign w:val="center"/>
          </w:tcPr>
          <w:p w14:paraId="223736A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17.79</w:t>
            </w:r>
          </w:p>
        </w:tc>
      </w:tr>
      <w:tr w14:paraId="0C7BAF80">
        <w:tblPrEx>
          <w:tblCellMar>
            <w:top w:w="65" w:type="dxa"/>
            <w:left w:w="65" w:type="dxa"/>
            <w:bottom w:w="65" w:type="dxa"/>
            <w:right w:w="65" w:type="dxa"/>
          </w:tblCellMar>
        </w:tblPrEx>
        <w:trPr>
          <w:cantSplit/>
          <w:trHeight w:val="113" w:hRule="atLeast"/>
          <w:jc w:val="center"/>
        </w:trPr>
        <w:tc>
          <w:tcPr>
            <w:tcW w:w="1947" w:type="dxa"/>
            <w:vMerge w:val="continue"/>
            <w:tcBorders>
              <w:top w:val="single" w:color="000000" w:sz="10" w:space="0"/>
              <w:bottom w:val="single" w:color="000000" w:sz="10" w:space="0"/>
            </w:tcBorders>
            <w:vAlign w:val="center"/>
          </w:tcPr>
          <w:p w14:paraId="4C2FAC43">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AD8034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3—5年</w:t>
            </w:r>
          </w:p>
        </w:tc>
        <w:tc>
          <w:tcPr>
            <w:tcW w:w="1777" w:type="dxa"/>
            <w:tcBorders>
              <w:top w:val="single" w:color="000000" w:sz="10" w:space="0"/>
              <w:bottom w:val="single" w:color="000000" w:sz="10" w:space="0"/>
            </w:tcBorders>
            <w:vAlign w:val="center"/>
          </w:tcPr>
          <w:p w14:paraId="7ED7C31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33</w:t>
            </w:r>
          </w:p>
        </w:tc>
        <w:tc>
          <w:tcPr>
            <w:tcW w:w="2370" w:type="dxa"/>
            <w:tcBorders>
              <w:top w:val="single" w:color="000000" w:sz="10" w:space="0"/>
              <w:bottom w:val="single" w:color="000000" w:sz="10" w:space="0"/>
            </w:tcBorders>
            <w:vAlign w:val="center"/>
          </w:tcPr>
          <w:p w14:paraId="7AD6FA3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20.25</w:t>
            </w:r>
          </w:p>
        </w:tc>
      </w:tr>
      <w:tr w14:paraId="1CBBACA1">
        <w:tblPrEx>
          <w:tblCellMar>
            <w:top w:w="65" w:type="dxa"/>
            <w:left w:w="65" w:type="dxa"/>
            <w:bottom w:w="65" w:type="dxa"/>
            <w:right w:w="65" w:type="dxa"/>
          </w:tblCellMar>
        </w:tblPrEx>
        <w:trPr>
          <w:cantSplit/>
          <w:trHeight w:val="90" w:hRule="atLeast"/>
          <w:jc w:val="center"/>
        </w:trPr>
        <w:tc>
          <w:tcPr>
            <w:tcW w:w="1947" w:type="dxa"/>
            <w:vMerge w:val="continue"/>
            <w:tcBorders>
              <w:top w:val="single" w:color="000000" w:sz="10" w:space="0"/>
              <w:bottom w:val="single" w:color="000000" w:sz="10" w:space="0"/>
            </w:tcBorders>
            <w:vAlign w:val="center"/>
          </w:tcPr>
          <w:p w14:paraId="6316AEDA">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6BAB71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6—10年</w:t>
            </w:r>
          </w:p>
        </w:tc>
        <w:tc>
          <w:tcPr>
            <w:tcW w:w="1777" w:type="dxa"/>
            <w:tcBorders>
              <w:top w:val="single" w:color="000000" w:sz="10" w:space="0"/>
              <w:bottom w:val="single" w:color="000000" w:sz="10" w:space="0"/>
            </w:tcBorders>
            <w:vAlign w:val="center"/>
          </w:tcPr>
          <w:p w14:paraId="4284C01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29</w:t>
            </w:r>
          </w:p>
        </w:tc>
        <w:tc>
          <w:tcPr>
            <w:tcW w:w="2370" w:type="dxa"/>
            <w:tcBorders>
              <w:top w:val="single" w:color="000000" w:sz="10" w:space="0"/>
              <w:bottom w:val="single" w:color="000000" w:sz="10" w:space="0"/>
            </w:tcBorders>
            <w:vAlign w:val="center"/>
          </w:tcPr>
          <w:p w14:paraId="6A481E2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17.79</w:t>
            </w:r>
          </w:p>
        </w:tc>
      </w:tr>
      <w:tr w14:paraId="144E0CCB">
        <w:tblPrEx>
          <w:tblCellMar>
            <w:top w:w="65" w:type="dxa"/>
            <w:left w:w="65" w:type="dxa"/>
            <w:bottom w:w="65" w:type="dxa"/>
            <w:right w:w="65" w:type="dxa"/>
          </w:tblCellMar>
        </w:tblPrEx>
        <w:trPr>
          <w:cantSplit/>
          <w:trHeight w:val="124" w:hRule="atLeast"/>
          <w:jc w:val="center"/>
        </w:trPr>
        <w:tc>
          <w:tcPr>
            <w:tcW w:w="1947" w:type="dxa"/>
            <w:vMerge w:val="continue"/>
            <w:tcBorders>
              <w:top w:val="single" w:color="000000" w:sz="10" w:space="0"/>
              <w:bottom w:val="single" w:color="000000" w:sz="10" w:space="0"/>
            </w:tcBorders>
            <w:vAlign w:val="center"/>
          </w:tcPr>
          <w:p w14:paraId="6621A08A">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A57754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10年以上</w:t>
            </w:r>
          </w:p>
        </w:tc>
        <w:tc>
          <w:tcPr>
            <w:tcW w:w="1777" w:type="dxa"/>
            <w:tcBorders>
              <w:top w:val="single" w:color="000000" w:sz="10" w:space="0"/>
              <w:bottom w:val="single" w:color="000000" w:sz="10" w:space="0"/>
            </w:tcBorders>
            <w:vAlign w:val="center"/>
          </w:tcPr>
          <w:p w14:paraId="0B67FF9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72</w:t>
            </w:r>
          </w:p>
        </w:tc>
        <w:tc>
          <w:tcPr>
            <w:tcW w:w="2370" w:type="dxa"/>
            <w:tcBorders>
              <w:top w:val="single" w:color="000000" w:sz="10" w:space="0"/>
              <w:bottom w:val="single" w:color="000000" w:sz="10" w:space="0"/>
            </w:tcBorders>
            <w:vAlign w:val="center"/>
          </w:tcPr>
          <w:p w14:paraId="6E6B44E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44.17</w:t>
            </w:r>
          </w:p>
        </w:tc>
      </w:tr>
      <w:tr w14:paraId="43101AF5">
        <w:tblPrEx>
          <w:tblCellMar>
            <w:top w:w="65" w:type="dxa"/>
            <w:left w:w="65" w:type="dxa"/>
            <w:bottom w:w="65" w:type="dxa"/>
            <w:right w:w="65" w:type="dxa"/>
          </w:tblCellMar>
        </w:tblPrEx>
        <w:trPr>
          <w:cantSplit/>
          <w:trHeight w:val="264" w:hRule="atLeast"/>
          <w:jc w:val="center"/>
        </w:trPr>
        <w:tc>
          <w:tcPr>
            <w:tcW w:w="1947" w:type="dxa"/>
            <w:vMerge w:val="restart"/>
            <w:tcBorders>
              <w:top w:val="single" w:color="000000" w:sz="10" w:space="0"/>
              <w:bottom w:val="single" w:color="000000" w:sz="10" w:space="0"/>
            </w:tcBorders>
            <w:vAlign w:val="center"/>
          </w:tcPr>
          <w:p w14:paraId="7677CF1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职称</w:t>
            </w:r>
          </w:p>
        </w:tc>
        <w:tc>
          <w:tcPr>
            <w:tcW w:w="3702" w:type="dxa"/>
            <w:tcBorders>
              <w:top w:val="single" w:color="000000" w:sz="10" w:space="0"/>
              <w:bottom w:val="single" w:color="000000" w:sz="10" w:space="0"/>
            </w:tcBorders>
            <w:vAlign w:val="center"/>
          </w:tcPr>
          <w:p w14:paraId="1BDDAEC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初级</w:t>
            </w:r>
          </w:p>
        </w:tc>
        <w:tc>
          <w:tcPr>
            <w:tcW w:w="1777" w:type="dxa"/>
            <w:tcBorders>
              <w:top w:val="single" w:color="000000" w:sz="10" w:space="0"/>
              <w:bottom w:val="single" w:color="000000" w:sz="10" w:space="0"/>
            </w:tcBorders>
            <w:vAlign w:val="center"/>
          </w:tcPr>
          <w:p w14:paraId="34AD859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63</w:t>
            </w:r>
          </w:p>
        </w:tc>
        <w:tc>
          <w:tcPr>
            <w:tcW w:w="2370" w:type="dxa"/>
            <w:tcBorders>
              <w:top w:val="single" w:color="000000" w:sz="10" w:space="0"/>
              <w:bottom w:val="single" w:color="000000" w:sz="10" w:space="0"/>
            </w:tcBorders>
            <w:vAlign w:val="center"/>
          </w:tcPr>
          <w:p w14:paraId="13384D6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38.65</w:t>
            </w:r>
          </w:p>
        </w:tc>
      </w:tr>
      <w:tr w14:paraId="65250A58">
        <w:tblPrEx>
          <w:tblCellMar>
            <w:top w:w="65" w:type="dxa"/>
            <w:left w:w="65" w:type="dxa"/>
            <w:bottom w:w="65" w:type="dxa"/>
            <w:right w:w="65" w:type="dxa"/>
          </w:tblCellMar>
        </w:tblPrEx>
        <w:trPr>
          <w:cantSplit/>
          <w:trHeight w:val="113" w:hRule="atLeast"/>
          <w:jc w:val="center"/>
        </w:trPr>
        <w:tc>
          <w:tcPr>
            <w:tcW w:w="1947" w:type="dxa"/>
            <w:vMerge w:val="continue"/>
            <w:tcBorders>
              <w:top w:val="single" w:color="000000" w:sz="10" w:space="0"/>
              <w:bottom w:val="single" w:color="000000" w:sz="10" w:space="0"/>
            </w:tcBorders>
            <w:vAlign w:val="center"/>
          </w:tcPr>
          <w:p w14:paraId="32CA336F">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7347FD6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中级</w:t>
            </w:r>
          </w:p>
        </w:tc>
        <w:tc>
          <w:tcPr>
            <w:tcW w:w="1777" w:type="dxa"/>
            <w:tcBorders>
              <w:top w:val="single" w:color="000000" w:sz="10" w:space="0"/>
              <w:bottom w:val="single" w:color="000000" w:sz="10" w:space="0"/>
            </w:tcBorders>
            <w:vAlign w:val="center"/>
          </w:tcPr>
          <w:p w14:paraId="6B5D56D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75</w:t>
            </w:r>
          </w:p>
        </w:tc>
        <w:tc>
          <w:tcPr>
            <w:tcW w:w="2370" w:type="dxa"/>
            <w:tcBorders>
              <w:top w:val="single" w:color="000000" w:sz="10" w:space="0"/>
              <w:bottom w:val="single" w:color="000000" w:sz="10" w:space="0"/>
            </w:tcBorders>
            <w:vAlign w:val="center"/>
          </w:tcPr>
          <w:p w14:paraId="577B9BE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46.01</w:t>
            </w:r>
          </w:p>
        </w:tc>
      </w:tr>
      <w:tr w14:paraId="7A181AAA">
        <w:tblPrEx>
          <w:tblCellMar>
            <w:top w:w="65" w:type="dxa"/>
            <w:left w:w="65" w:type="dxa"/>
            <w:bottom w:w="65" w:type="dxa"/>
            <w:right w:w="65" w:type="dxa"/>
          </w:tblCellMar>
        </w:tblPrEx>
        <w:trPr>
          <w:cantSplit/>
          <w:trHeight w:val="129" w:hRule="atLeast"/>
          <w:jc w:val="center"/>
        </w:trPr>
        <w:tc>
          <w:tcPr>
            <w:tcW w:w="1947" w:type="dxa"/>
            <w:vMerge w:val="continue"/>
            <w:tcBorders>
              <w:top w:val="single" w:color="000000" w:sz="10" w:space="0"/>
              <w:bottom w:val="single" w:color="000000" w:sz="10" w:space="0"/>
            </w:tcBorders>
            <w:vAlign w:val="center"/>
          </w:tcPr>
          <w:p w14:paraId="1F33C61F">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2F4A0A9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高级及以上</w:t>
            </w:r>
          </w:p>
        </w:tc>
        <w:tc>
          <w:tcPr>
            <w:tcW w:w="1777" w:type="dxa"/>
            <w:tcBorders>
              <w:top w:val="single" w:color="000000" w:sz="10" w:space="0"/>
              <w:bottom w:val="single" w:color="000000" w:sz="10" w:space="0"/>
            </w:tcBorders>
            <w:vAlign w:val="center"/>
          </w:tcPr>
          <w:p w14:paraId="17DCCB7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25</w:t>
            </w:r>
          </w:p>
        </w:tc>
        <w:tc>
          <w:tcPr>
            <w:tcW w:w="2370" w:type="dxa"/>
            <w:tcBorders>
              <w:top w:val="single" w:color="000000" w:sz="10" w:space="0"/>
              <w:bottom w:val="single" w:color="000000" w:sz="10" w:space="0"/>
            </w:tcBorders>
            <w:vAlign w:val="center"/>
          </w:tcPr>
          <w:p w14:paraId="386B13E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15.34</w:t>
            </w:r>
          </w:p>
        </w:tc>
      </w:tr>
      <w:tr w14:paraId="64186EF8">
        <w:tblPrEx>
          <w:tblCellMar>
            <w:top w:w="65" w:type="dxa"/>
            <w:left w:w="65" w:type="dxa"/>
            <w:bottom w:w="65" w:type="dxa"/>
            <w:right w:w="65" w:type="dxa"/>
          </w:tblCellMar>
        </w:tblPrEx>
        <w:trPr>
          <w:cantSplit/>
          <w:trHeight w:val="181" w:hRule="atLeast"/>
          <w:jc w:val="center"/>
        </w:trPr>
        <w:tc>
          <w:tcPr>
            <w:tcW w:w="1947" w:type="dxa"/>
            <w:vMerge w:val="restart"/>
            <w:tcBorders>
              <w:top w:val="single" w:color="000000" w:sz="10" w:space="0"/>
              <w:bottom w:val="single" w:color="000000" w:sz="10" w:space="0"/>
            </w:tcBorders>
            <w:vAlign w:val="center"/>
          </w:tcPr>
          <w:p w14:paraId="7A616E8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任教学段</w:t>
            </w:r>
          </w:p>
        </w:tc>
        <w:tc>
          <w:tcPr>
            <w:tcW w:w="3702" w:type="dxa"/>
            <w:tcBorders>
              <w:top w:val="single" w:color="000000" w:sz="10" w:space="0"/>
              <w:bottom w:val="single" w:color="000000" w:sz="10" w:space="0"/>
            </w:tcBorders>
            <w:vAlign w:val="center"/>
          </w:tcPr>
          <w:p w14:paraId="24183A0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初中</w:t>
            </w:r>
          </w:p>
        </w:tc>
        <w:tc>
          <w:tcPr>
            <w:tcW w:w="1777" w:type="dxa"/>
            <w:tcBorders>
              <w:top w:val="single" w:color="000000" w:sz="10" w:space="0"/>
              <w:bottom w:val="single" w:color="000000" w:sz="10" w:space="0"/>
            </w:tcBorders>
            <w:vAlign w:val="center"/>
          </w:tcPr>
          <w:p w14:paraId="73E031D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114</w:t>
            </w:r>
          </w:p>
        </w:tc>
        <w:tc>
          <w:tcPr>
            <w:tcW w:w="2370" w:type="dxa"/>
            <w:tcBorders>
              <w:top w:val="single" w:color="000000" w:sz="10" w:space="0"/>
              <w:bottom w:val="single" w:color="000000" w:sz="10" w:space="0"/>
            </w:tcBorders>
            <w:vAlign w:val="center"/>
          </w:tcPr>
          <w:p w14:paraId="1A55173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69.94</w:t>
            </w:r>
          </w:p>
        </w:tc>
      </w:tr>
      <w:tr w14:paraId="61CE784D">
        <w:tblPrEx>
          <w:tblCellMar>
            <w:top w:w="65" w:type="dxa"/>
            <w:left w:w="65" w:type="dxa"/>
            <w:bottom w:w="65" w:type="dxa"/>
            <w:right w:w="65" w:type="dxa"/>
          </w:tblCellMar>
        </w:tblPrEx>
        <w:trPr>
          <w:cantSplit/>
          <w:trHeight w:val="144" w:hRule="atLeast"/>
          <w:jc w:val="center"/>
        </w:trPr>
        <w:tc>
          <w:tcPr>
            <w:tcW w:w="1947" w:type="dxa"/>
            <w:vMerge w:val="continue"/>
            <w:tcBorders>
              <w:top w:val="single" w:color="000000" w:sz="10" w:space="0"/>
              <w:bottom w:val="single" w:color="000000" w:sz="10" w:space="0"/>
            </w:tcBorders>
            <w:vAlign w:val="center"/>
          </w:tcPr>
          <w:p w14:paraId="197AA4D8">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662217C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高中</w:t>
            </w:r>
          </w:p>
        </w:tc>
        <w:tc>
          <w:tcPr>
            <w:tcW w:w="1777" w:type="dxa"/>
            <w:tcBorders>
              <w:top w:val="single" w:color="000000" w:sz="10" w:space="0"/>
              <w:bottom w:val="single" w:color="000000" w:sz="10" w:space="0"/>
            </w:tcBorders>
            <w:vAlign w:val="center"/>
          </w:tcPr>
          <w:p w14:paraId="5D5E040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49</w:t>
            </w:r>
          </w:p>
        </w:tc>
        <w:tc>
          <w:tcPr>
            <w:tcW w:w="2370" w:type="dxa"/>
            <w:tcBorders>
              <w:top w:val="single" w:color="000000" w:sz="10" w:space="0"/>
              <w:bottom w:val="single" w:color="000000" w:sz="10" w:space="0"/>
            </w:tcBorders>
            <w:vAlign w:val="center"/>
          </w:tcPr>
          <w:p w14:paraId="5656217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30.06</w:t>
            </w:r>
          </w:p>
        </w:tc>
      </w:tr>
      <w:tr w14:paraId="743E18C4">
        <w:tblPrEx>
          <w:tblCellMar>
            <w:top w:w="65" w:type="dxa"/>
            <w:left w:w="65" w:type="dxa"/>
            <w:bottom w:w="65" w:type="dxa"/>
            <w:right w:w="65" w:type="dxa"/>
          </w:tblCellMar>
        </w:tblPrEx>
        <w:trPr>
          <w:cantSplit/>
          <w:trHeight w:val="90" w:hRule="atLeast"/>
          <w:jc w:val="center"/>
        </w:trPr>
        <w:tc>
          <w:tcPr>
            <w:tcW w:w="1947" w:type="dxa"/>
            <w:vMerge w:val="restart"/>
            <w:tcBorders>
              <w:top w:val="single" w:color="000000" w:sz="10" w:space="0"/>
              <w:bottom w:val="single" w:color="000000" w:sz="10" w:space="0"/>
            </w:tcBorders>
            <w:vAlign w:val="center"/>
          </w:tcPr>
          <w:p w14:paraId="489C1FC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相关培训经历</w:t>
            </w:r>
          </w:p>
        </w:tc>
        <w:tc>
          <w:tcPr>
            <w:tcW w:w="3702" w:type="dxa"/>
            <w:tcBorders>
              <w:top w:val="single" w:color="000000" w:sz="10" w:space="0"/>
              <w:bottom w:val="single" w:color="000000" w:sz="10" w:space="0"/>
            </w:tcBorders>
            <w:vAlign w:val="center"/>
          </w:tcPr>
          <w:p w14:paraId="4FB614B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参加过</w:t>
            </w:r>
          </w:p>
        </w:tc>
        <w:tc>
          <w:tcPr>
            <w:tcW w:w="1777" w:type="dxa"/>
            <w:tcBorders>
              <w:top w:val="single" w:color="000000" w:sz="10" w:space="0"/>
              <w:bottom w:val="single" w:color="000000" w:sz="10" w:space="0"/>
            </w:tcBorders>
            <w:vAlign w:val="center"/>
          </w:tcPr>
          <w:p w14:paraId="7D87281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130</w:t>
            </w:r>
          </w:p>
        </w:tc>
        <w:tc>
          <w:tcPr>
            <w:tcW w:w="2370" w:type="dxa"/>
            <w:tcBorders>
              <w:top w:val="single" w:color="000000" w:sz="10" w:space="0"/>
              <w:bottom w:val="single" w:color="000000" w:sz="10" w:space="0"/>
            </w:tcBorders>
            <w:vAlign w:val="center"/>
          </w:tcPr>
          <w:p w14:paraId="0F1220A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79.75</w:t>
            </w:r>
          </w:p>
        </w:tc>
      </w:tr>
      <w:tr w14:paraId="52CE23B8">
        <w:tblPrEx>
          <w:tblCellMar>
            <w:top w:w="65" w:type="dxa"/>
            <w:left w:w="65" w:type="dxa"/>
            <w:bottom w:w="65" w:type="dxa"/>
            <w:right w:w="65" w:type="dxa"/>
          </w:tblCellMar>
        </w:tblPrEx>
        <w:trPr>
          <w:cantSplit/>
          <w:trHeight w:val="90" w:hRule="atLeast"/>
          <w:jc w:val="center"/>
        </w:trPr>
        <w:tc>
          <w:tcPr>
            <w:tcW w:w="1947" w:type="dxa"/>
            <w:vMerge w:val="continue"/>
            <w:tcBorders>
              <w:top w:val="single" w:color="000000" w:sz="10" w:space="0"/>
              <w:bottom w:val="single" w:color="000000" w:sz="10" w:space="0"/>
            </w:tcBorders>
            <w:vAlign w:val="center"/>
          </w:tcPr>
          <w:p w14:paraId="67B39428">
            <w:pPr>
              <w:overflowPunct w:val="0"/>
              <w:bidi w:val="0"/>
              <w:spacing w:before="20" w:after="20" w:line="360" w:lineRule="auto"/>
              <w:ind w:firstLineChars="200"/>
              <w:jc w:val="center"/>
              <w:textAlignment w:val="auto"/>
              <w:rPr>
                <w:rFonts w:hint="eastAsia" w:ascii="宋体" w:hAnsi="宋体" w:eastAsia="宋体" w:cs="宋体"/>
                <w:sz w:val="24"/>
                <w:szCs w:val="32"/>
              </w:rPr>
            </w:pPr>
          </w:p>
        </w:tc>
        <w:tc>
          <w:tcPr>
            <w:tcW w:w="3702" w:type="dxa"/>
            <w:tcBorders>
              <w:top w:val="single" w:color="000000" w:sz="10" w:space="0"/>
              <w:bottom w:val="single" w:color="000000" w:sz="10" w:space="0"/>
            </w:tcBorders>
            <w:vAlign w:val="center"/>
          </w:tcPr>
          <w:p w14:paraId="3DCB1E8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未参加过</w:t>
            </w:r>
          </w:p>
        </w:tc>
        <w:tc>
          <w:tcPr>
            <w:tcW w:w="1777" w:type="dxa"/>
            <w:tcBorders>
              <w:top w:val="single" w:color="000000" w:sz="10" w:space="0"/>
              <w:bottom w:val="single" w:color="000000" w:sz="10" w:space="0"/>
            </w:tcBorders>
            <w:vAlign w:val="center"/>
          </w:tcPr>
          <w:p w14:paraId="29EB068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33</w:t>
            </w:r>
          </w:p>
        </w:tc>
        <w:tc>
          <w:tcPr>
            <w:tcW w:w="2370" w:type="dxa"/>
            <w:tcBorders>
              <w:top w:val="single" w:color="000000" w:sz="10" w:space="0"/>
              <w:bottom w:val="single" w:color="000000" w:sz="10" w:space="0"/>
            </w:tcBorders>
            <w:vAlign w:val="center"/>
          </w:tcPr>
          <w:p w14:paraId="5B01BE9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20.25</w:t>
            </w:r>
          </w:p>
        </w:tc>
      </w:tr>
    </w:tbl>
    <w:p w14:paraId="25C5DD30">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本次参与调查的163位教师覆盖不同教龄、职称及初高中学段。其中，教龄10年以上的教师占44.17%，中级职称教师占46.01%，初中教师占69.94%。参加过高阶思维或高阶能力相关培训、专题教研活动的教师有130人，占79.75%，说明多数受访教师已有相关学习经历。后续研修可在这一基础上，进一步聚焦学科任务设计和课堂实施中的具体问题。</w:t>
      </w:r>
    </w:p>
    <w:p w14:paraId="67A39B3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2）教师高阶能力培育维度的调查与分析</w:t>
      </w:r>
    </w:p>
    <w:p w14:paraId="3F0DDCC7">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表3-16  教师前测各维度总体表现</w:t>
      </w:r>
    </w:p>
    <w:tbl>
      <w:tblPr>
        <w:tblStyle w:val="12"/>
        <w:tblW w:w="8379" w:type="dxa"/>
        <w:jc w:val="center"/>
        <w:tblLayout w:type="fixed"/>
        <w:tblCellMar>
          <w:top w:w="65" w:type="dxa"/>
          <w:left w:w="65" w:type="dxa"/>
          <w:bottom w:w="65" w:type="dxa"/>
          <w:right w:w="65" w:type="dxa"/>
        </w:tblCellMar>
      </w:tblPr>
      <w:tblGrid>
        <w:gridCol w:w="4293"/>
        <w:gridCol w:w="2043"/>
        <w:gridCol w:w="2043"/>
      </w:tblGrid>
      <w:tr w14:paraId="6F17742E">
        <w:trPr>
          <w:cantSplit/>
          <w:trHeight w:val="334" w:hRule="atLeast"/>
          <w:tblHeader/>
          <w:jc w:val="center"/>
        </w:trPr>
        <w:tc>
          <w:tcPr>
            <w:tcW w:w="4293" w:type="dxa"/>
            <w:tcBorders>
              <w:top w:val="single" w:color="000000" w:sz="10" w:space="0"/>
              <w:bottom w:val="single" w:color="000000" w:sz="6" w:space="0"/>
            </w:tcBorders>
            <w:vAlign w:val="center"/>
          </w:tcPr>
          <w:p w14:paraId="017E286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维度</w:t>
            </w:r>
          </w:p>
        </w:tc>
        <w:tc>
          <w:tcPr>
            <w:tcW w:w="2043" w:type="dxa"/>
            <w:tcBorders>
              <w:top w:val="single" w:color="000000" w:sz="10" w:space="0"/>
              <w:bottom w:val="single" w:color="000000" w:sz="6" w:space="0"/>
            </w:tcBorders>
            <w:vAlign w:val="center"/>
          </w:tcPr>
          <w:p w14:paraId="09DB38B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2043" w:type="dxa"/>
            <w:tcBorders>
              <w:top w:val="single" w:color="000000" w:sz="10" w:space="0"/>
              <w:bottom w:val="single" w:color="000000" w:sz="6" w:space="0"/>
            </w:tcBorders>
            <w:vAlign w:val="center"/>
          </w:tcPr>
          <w:p w14:paraId="2F4A5302">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r>
      <w:tr w14:paraId="297519C7">
        <w:tblPrEx>
          <w:tblCellMar>
            <w:top w:w="65" w:type="dxa"/>
            <w:left w:w="65" w:type="dxa"/>
            <w:bottom w:w="65" w:type="dxa"/>
            <w:right w:w="65" w:type="dxa"/>
          </w:tblCellMar>
        </w:tblPrEx>
        <w:trPr>
          <w:cantSplit/>
          <w:trHeight w:val="242" w:hRule="atLeast"/>
          <w:jc w:val="center"/>
        </w:trPr>
        <w:tc>
          <w:tcPr>
            <w:tcW w:w="4293" w:type="dxa"/>
            <w:tcBorders>
              <w:top w:val="single" w:color="000000" w:sz="10" w:space="0"/>
              <w:bottom w:val="single" w:color="000000" w:sz="10" w:space="0"/>
            </w:tcBorders>
            <w:vAlign w:val="center"/>
          </w:tcPr>
          <w:p w14:paraId="18349B0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认知与价值认同</w:t>
            </w:r>
          </w:p>
        </w:tc>
        <w:tc>
          <w:tcPr>
            <w:tcW w:w="2043" w:type="dxa"/>
            <w:tcBorders>
              <w:top w:val="single" w:color="000000" w:sz="10" w:space="0"/>
              <w:bottom w:val="single" w:color="000000" w:sz="10" w:space="0"/>
            </w:tcBorders>
            <w:vAlign w:val="center"/>
          </w:tcPr>
          <w:p w14:paraId="303C300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4.35</w:t>
            </w:r>
          </w:p>
        </w:tc>
        <w:tc>
          <w:tcPr>
            <w:tcW w:w="2043" w:type="dxa"/>
            <w:tcBorders>
              <w:top w:val="single" w:color="000000" w:sz="10" w:space="0"/>
              <w:bottom w:val="single" w:color="000000" w:sz="10" w:space="0"/>
            </w:tcBorders>
            <w:vAlign w:val="center"/>
          </w:tcPr>
          <w:p w14:paraId="68BB620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0.75</w:t>
            </w:r>
          </w:p>
        </w:tc>
      </w:tr>
      <w:tr w14:paraId="7B9E21A0">
        <w:tblPrEx>
          <w:tblCellMar>
            <w:top w:w="65" w:type="dxa"/>
            <w:left w:w="65" w:type="dxa"/>
            <w:bottom w:w="65" w:type="dxa"/>
            <w:right w:w="65" w:type="dxa"/>
          </w:tblCellMar>
        </w:tblPrEx>
        <w:trPr>
          <w:cantSplit/>
          <w:trHeight w:val="153" w:hRule="atLeast"/>
          <w:jc w:val="center"/>
        </w:trPr>
        <w:tc>
          <w:tcPr>
            <w:tcW w:w="4293" w:type="dxa"/>
            <w:tcBorders>
              <w:top w:val="single" w:color="000000" w:sz="10" w:space="0"/>
              <w:bottom w:val="single" w:color="000000" w:sz="10" w:space="0"/>
            </w:tcBorders>
            <w:vAlign w:val="center"/>
          </w:tcPr>
          <w:p w14:paraId="1909AB0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课堂实践</w:t>
            </w:r>
          </w:p>
        </w:tc>
        <w:tc>
          <w:tcPr>
            <w:tcW w:w="2043" w:type="dxa"/>
            <w:tcBorders>
              <w:top w:val="single" w:color="000000" w:sz="10" w:space="0"/>
              <w:bottom w:val="single" w:color="000000" w:sz="10" w:space="0"/>
            </w:tcBorders>
            <w:vAlign w:val="center"/>
          </w:tcPr>
          <w:p w14:paraId="44B1C2C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4.26</w:t>
            </w:r>
          </w:p>
        </w:tc>
        <w:tc>
          <w:tcPr>
            <w:tcW w:w="2043" w:type="dxa"/>
            <w:tcBorders>
              <w:top w:val="single" w:color="000000" w:sz="10" w:space="0"/>
              <w:bottom w:val="single" w:color="000000" w:sz="10" w:space="0"/>
            </w:tcBorders>
            <w:vAlign w:val="center"/>
          </w:tcPr>
          <w:p w14:paraId="7EBF00F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0.68</w:t>
            </w:r>
          </w:p>
        </w:tc>
      </w:tr>
      <w:tr w14:paraId="401550E8">
        <w:tblPrEx>
          <w:tblCellMar>
            <w:top w:w="65" w:type="dxa"/>
            <w:left w:w="65" w:type="dxa"/>
            <w:bottom w:w="65" w:type="dxa"/>
            <w:right w:w="65" w:type="dxa"/>
          </w:tblCellMar>
        </w:tblPrEx>
        <w:trPr>
          <w:cantSplit/>
          <w:trHeight w:val="90" w:hRule="atLeast"/>
          <w:jc w:val="center"/>
        </w:trPr>
        <w:tc>
          <w:tcPr>
            <w:tcW w:w="4293" w:type="dxa"/>
            <w:tcBorders>
              <w:top w:val="single" w:color="000000" w:sz="10" w:space="0"/>
              <w:bottom w:val="single" w:color="000000" w:sz="10" w:space="0"/>
            </w:tcBorders>
            <w:vAlign w:val="center"/>
          </w:tcPr>
          <w:p w14:paraId="7F92840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教学自我效能</w:t>
            </w:r>
          </w:p>
        </w:tc>
        <w:tc>
          <w:tcPr>
            <w:tcW w:w="2043" w:type="dxa"/>
            <w:tcBorders>
              <w:top w:val="single" w:color="000000" w:sz="10" w:space="0"/>
              <w:bottom w:val="single" w:color="000000" w:sz="10" w:space="0"/>
            </w:tcBorders>
            <w:vAlign w:val="center"/>
          </w:tcPr>
          <w:p w14:paraId="5C386DA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4.09</w:t>
            </w:r>
          </w:p>
        </w:tc>
        <w:tc>
          <w:tcPr>
            <w:tcW w:w="2043" w:type="dxa"/>
            <w:tcBorders>
              <w:top w:val="single" w:color="000000" w:sz="10" w:space="0"/>
              <w:bottom w:val="single" w:color="000000" w:sz="10" w:space="0"/>
            </w:tcBorders>
            <w:vAlign w:val="center"/>
          </w:tcPr>
          <w:p w14:paraId="2D0A42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0.70</w:t>
            </w:r>
          </w:p>
        </w:tc>
      </w:tr>
      <w:tr w14:paraId="2C171D86">
        <w:tblPrEx>
          <w:tblCellMar>
            <w:top w:w="65" w:type="dxa"/>
            <w:left w:w="65" w:type="dxa"/>
            <w:bottom w:w="65" w:type="dxa"/>
            <w:right w:w="65" w:type="dxa"/>
          </w:tblCellMar>
        </w:tblPrEx>
        <w:trPr>
          <w:cantSplit/>
          <w:trHeight w:val="90" w:hRule="atLeast"/>
          <w:jc w:val="center"/>
        </w:trPr>
        <w:tc>
          <w:tcPr>
            <w:tcW w:w="4293" w:type="dxa"/>
            <w:tcBorders>
              <w:top w:val="single" w:color="000000" w:sz="10" w:space="0"/>
              <w:bottom w:val="single" w:color="000000" w:sz="10" w:space="0"/>
            </w:tcBorders>
            <w:vAlign w:val="center"/>
          </w:tcPr>
          <w:p w14:paraId="520E8C7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现实阻碍</w:t>
            </w:r>
          </w:p>
        </w:tc>
        <w:tc>
          <w:tcPr>
            <w:tcW w:w="2043" w:type="dxa"/>
            <w:tcBorders>
              <w:top w:val="single" w:color="000000" w:sz="10" w:space="0"/>
              <w:bottom w:val="single" w:color="000000" w:sz="10" w:space="0"/>
            </w:tcBorders>
            <w:vAlign w:val="center"/>
          </w:tcPr>
          <w:p w14:paraId="47DBBB1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3.64</w:t>
            </w:r>
          </w:p>
        </w:tc>
        <w:tc>
          <w:tcPr>
            <w:tcW w:w="2043" w:type="dxa"/>
            <w:tcBorders>
              <w:top w:val="single" w:color="000000" w:sz="10" w:space="0"/>
              <w:bottom w:val="single" w:color="000000" w:sz="10" w:space="0"/>
            </w:tcBorders>
            <w:vAlign w:val="center"/>
          </w:tcPr>
          <w:p w14:paraId="6FADC4D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0.95</w:t>
            </w:r>
          </w:p>
        </w:tc>
      </w:tr>
    </w:tbl>
    <w:p w14:paraId="4869416F">
      <w:pPr>
        <w:pageBreakBefore w:val="0"/>
        <w:overflowPunct w:val="0"/>
        <w:bidi w:val="0"/>
        <w:spacing w:before="0" w:after="120" w:line="240" w:lineRule="auto"/>
        <w:ind w:firstLineChars="200"/>
        <w:jc w:val="left"/>
        <w:textAlignment w:val="auto"/>
        <w:rPr>
          <w:rFonts w:hint="eastAsia" w:ascii="宋体" w:hAnsi="宋体" w:eastAsia="宋体" w:cs="宋体"/>
        </w:rPr>
      </w:pPr>
      <w:r>
        <w:rPr>
          <w:rFonts w:hint="eastAsia" w:ascii="宋体" w:hAnsi="宋体" w:eastAsia="宋体" w:cs="宋体"/>
          <w:b w:val="0"/>
          <w:sz w:val="21"/>
        </w:rPr>
        <w:t>注：现实阻碍与前三个维度的解释方向不同，分别报告，不合成为单一总分。</w:t>
      </w:r>
    </w:p>
    <w:p w14:paraId="3286D9C3">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认知与价值认同均值为4.35，课堂实践为4.26，教学自我效能为4.09，表明教师对高阶能力培育总体持积极态度，并报告了相应教学尝试。教学自我效能均值相对较低，提示理念认同与具体实施把握之间仍有需要加强的环节。现实阻碍均值为3.64，标准差为0.95，反映教师在积极推进的同时，也感受到课时、学情及教学资源等方面的约束。</w:t>
      </w:r>
    </w:p>
    <w:p w14:paraId="16CB3E71">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在整体判断中，60位教师认为可行性较高，占36.81%；95位教师认为适合小范围、部分课时尝试，占58.28%。价值判断方面，67位教师认为价值很大，占41.10%；95位教师认为有价值但需结合教学现实取舍，占58.28%。这说明教师总体认可培育价值，同时倾向于从适宜内容和具体课例逐步推进。</w:t>
      </w:r>
    </w:p>
    <w:p w14:paraId="55F88255">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①认知与价值认同</w:t>
      </w:r>
    </w:p>
    <w:p w14:paraId="7F66A944">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表3-17  认知与价值认同维度题项统计</w:t>
      </w:r>
    </w:p>
    <w:tbl>
      <w:tblPr>
        <w:tblStyle w:val="12"/>
        <w:tblW w:w="9323" w:type="dxa"/>
        <w:jc w:val="center"/>
        <w:tblLayout w:type="fixed"/>
        <w:tblCellMar>
          <w:top w:w="65" w:type="dxa"/>
          <w:left w:w="65" w:type="dxa"/>
          <w:bottom w:w="65" w:type="dxa"/>
          <w:right w:w="65" w:type="dxa"/>
        </w:tblCellMar>
      </w:tblPr>
      <w:tblGrid>
        <w:gridCol w:w="936"/>
        <w:gridCol w:w="4968"/>
        <w:gridCol w:w="936"/>
        <w:gridCol w:w="936"/>
        <w:gridCol w:w="1547"/>
      </w:tblGrid>
      <w:tr w14:paraId="0EBDE847">
        <w:tblPrEx>
          <w:tblCellMar>
            <w:top w:w="65" w:type="dxa"/>
            <w:left w:w="65" w:type="dxa"/>
            <w:bottom w:w="65" w:type="dxa"/>
            <w:right w:w="65" w:type="dxa"/>
          </w:tblCellMar>
        </w:tblPrEx>
        <w:trPr>
          <w:cantSplit/>
          <w:tblHeader/>
          <w:jc w:val="center"/>
        </w:trPr>
        <w:tc>
          <w:tcPr>
            <w:tcW w:w="936" w:type="dxa"/>
            <w:tcBorders>
              <w:top w:val="single" w:color="000000" w:sz="10" w:space="0"/>
              <w:bottom w:val="single" w:color="000000" w:sz="6" w:space="0"/>
            </w:tcBorders>
            <w:vAlign w:val="center"/>
          </w:tcPr>
          <w:p w14:paraId="1595997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题号</w:t>
            </w:r>
          </w:p>
        </w:tc>
        <w:tc>
          <w:tcPr>
            <w:tcW w:w="4968" w:type="dxa"/>
            <w:tcBorders>
              <w:top w:val="single" w:color="000000" w:sz="10" w:space="0"/>
              <w:bottom w:val="single" w:color="000000" w:sz="6" w:space="0"/>
            </w:tcBorders>
            <w:vAlign w:val="center"/>
          </w:tcPr>
          <w:p w14:paraId="5955F79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题项内容</w:t>
            </w:r>
          </w:p>
        </w:tc>
        <w:tc>
          <w:tcPr>
            <w:tcW w:w="936" w:type="dxa"/>
            <w:tcBorders>
              <w:top w:val="single" w:color="000000" w:sz="10" w:space="0"/>
              <w:bottom w:val="single" w:color="000000" w:sz="6" w:space="0"/>
            </w:tcBorders>
            <w:vAlign w:val="center"/>
          </w:tcPr>
          <w:p w14:paraId="2C54AFC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936" w:type="dxa"/>
            <w:tcBorders>
              <w:top w:val="single" w:color="000000" w:sz="10" w:space="0"/>
              <w:bottom w:val="single" w:color="000000" w:sz="6" w:space="0"/>
            </w:tcBorders>
            <w:vAlign w:val="center"/>
          </w:tcPr>
          <w:p w14:paraId="05459B3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c>
          <w:tcPr>
            <w:tcW w:w="1547" w:type="dxa"/>
            <w:tcBorders>
              <w:top w:val="single" w:color="000000" w:sz="10" w:space="0"/>
              <w:bottom w:val="single" w:color="000000" w:sz="6" w:space="0"/>
            </w:tcBorders>
            <w:vAlign w:val="center"/>
          </w:tcPr>
          <w:p w14:paraId="7DD3693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符合</w:t>
            </w:r>
            <w:r>
              <w:rPr>
                <w:rFonts w:hint="eastAsia" w:ascii="宋体" w:hAnsi="宋体" w:eastAsia="宋体" w:cs="宋体"/>
                <w:b/>
                <w:sz w:val="21"/>
                <w:szCs w:val="28"/>
                <w:lang w:val="en-US" w:eastAsia="zh-CN"/>
              </w:rPr>
              <w:t>与完全符合</w:t>
            </w:r>
            <w:r>
              <w:rPr>
                <w:rFonts w:hint="eastAsia" w:ascii="宋体" w:hAnsi="宋体" w:eastAsia="宋体" w:cs="宋体"/>
                <w:b/>
                <w:sz w:val="21"/>
                <w:szCs w:val="28"/>
              </w:rPr>
              <w:t>比例（%）</w:t>
            </w:r>
          </w:p>
        </w:tc>
      </w:tr>
      <w:tr w14:paraId="0AFE2445">
        <w:tblPrEx>
          <w:tblCellMar>
            <w:top w:w="65" w:type="dxa"/>
            <w:left w:w="65" w:type="dxa"/>
            <w:bottom w:w="65" w:type="dxa"/>
            <w:right w:w="65" w:type="dxa"/>
          </w:tblCellMar>
        </w:tblPrEx>
        <w:trPr>
          <w:cantSplit/>
          <w:trHeight w:val="198" w:hRule="atLeast"/>
          <w:jc w:val="center"/>
        </w:trPr>
        <w:tc>
          <w:tcPr>
            <w:tcW w:w="936" w:type="dxa"/>
            <w:tcBorders>
              <w:top w:val="single" w:color="000000" w:sz="10" w:space="0"/>
              <w:bottom w:val="single" w:color="000000" w:sz="10" w:space="0"/>
            </w:tcBorders>
            <w:vAlign w:val="center"/>
          </w:tcPr>
          <w:p w14:paraId="387D5CA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Q7_1</w:t>
            </w:r>
          </w:p>
        </w:tc>
        <w:tc>
          <w:tcPr>
            <w:tcW w:w="4968" w:type="dxa"/>
            <w:tcBorders>
              <w:top w:val="single" w:color="000000" w:sz="10" w:space="0"/>
              <w:bottom w:val="single" w:color="000000" w:sz="10" w:space="0"/>
            </w:tcBorders>
            <w:vAlign w:val="center"/>
          </w:tcPr>
          <w:p w14:paraId="5AE4B9CF">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我能够分清什么是低阶学习（记忆、背诵、简单理解），什么是高阶能力学习（分析、评判、创新）</w:t>
            </w:r>
          </w:p>
        </w:tc>
        <w:tc>
          <w:tcPr>
            <w:tcW w:w="936" w:type="dxa"/>
            <w:tcBorders>
              <w:top w:val="single" w:color="000000" w:sz="10" w:space="0"/>
              <w:bottom w:val="single" w:color="000000" w:sz="10" w:space="0"/>
            </w:tcBorders>
            <w:vAlign w:val="center"/>
          </w:tcPr>
          <w:p w14:paraId="52DD6C9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4.28</w:t>
            </w:r>
          </w:p>
        </w:tc>
        <w:tc>
          <w:tcPr>
            <w:tcW w:w="936" w:type="dxa"/>
            <w:tcBorders>
              <w:top w:val="single" w:color="000000" w:sz="10" w:space="0"/>
              <w:bottom w:val="single" w:color="000000" w:sz="10" w:space="0"/>
            </w:tcBorders>
            <w:vAlign w:val="center"/>
          </w:tcPr>
          <w:p w14:paraId="05FB2D5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w:t>
            </w:r>
          </w:p>
        </w:tc>
        <w:tc>
          <w:tcPr>
            <w:tcW w:w="1547" w:type="dxa"/>
            <w:tcBorders>
              <w:top w:val="single" w:color="000000" w:sz="10" w:space="0"/>
              <w:bottom w:val="single" w:color="000000" w:sz="10" w:space="0"/>
            </w:tcBorders>
            <w:vAlign w:val="center"/>
          </w:tcPr>
          <w:p w14:paraId="1C14983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91.41</w:t>
            </w:r>
          </w:p>
        </w:tc>
      </w:tr>
      <w:tr w14:paraId="1FA6BE7D">
        <w:tblPrEx>
          <w:tblCellMar>
            <w:top w:w="65" w:type="dxa"/>
            <w:left w:w="65" w:type="dxa"/>
            <w:bottom w:w="65" w:type="dxa"/>
            <w:right w:w="65" w:type="dxa"/>
          </w:tblCellMar>
        </w:tblPrEx>
        <w:trPr>
          <w:cantSplit/>
          <w:trHeight w:val="198" w:hRule="atLeast"/>
          <w:jc w:val="center"/>
        </w:trPr>
        <w:tc>
          <w:tcPr>
            <w:tcW w:w="936" w:type="dxa"/>
            <w:tcBorders>
              <w:top w:val="single" w:color="000000" w:sz="10" w:space="0"/>
              <w:bottom w:val="single" w:color="000000" w:sz="10" w:space="0"/>
            </w:tcBorders>
            <w:vAlign w:val="center"/>
          </w:tcPr>
          <w:p w14:paraId="0B0809A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Q7_2</w:t>
            </w:r>
          </w:p>
        </w:tc>
        <w:tc>
          <w:tcPr>
            <w:tcW w:w="4968" w:type="dxa"/>
            <w:tcBorders>
              <w:top w:val="single" w:color="000000" w:sz="10" w:space="0"/>
              <w:bottom w:val="single" w:color="000000" w:sz="10" w:space="0"/>
            </w:tcBorders>
            <w:vAlign w:val="center"/>
          </w:tcPr>
          <w:p w14:paraId="55FB6954">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我清楚高阶能力不只是思维，也包含学生合作探究、反思质疑等综合能力</w:t>
            </w:r>
          </w:p>
        </w:tc>
        <w:tc>
          <w:tcPr>
            <w:tcW w:w="936" w:type="dxa"/>
            <w:tcBorders>
              <w:top w:val="single" w:color="000000" w:sz="10" w:space="0"/>
              <w:bottom w:val="single" w:color="000000" w:sz="10" w:space="0"/>
            </w:tcBorders>
            <w:vAlign w:val="center"/>
          </w:tcPr>
          <w:p w14:paraId="43429C5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4.39</w:t>
            </w:r>
          </w:p>
        </w:tc>
        <w:tc>
          <w:tcPr>
            <w:tcW w:w="936" w:type="dxa"/>
            <w:tcBorders>
              <w:top w:val="single" w:color="000000" w:sz="10" w:space="0"/>
              <w:bottom w:val="single" w:color="000000" w:sz="10" w:space="0"/>
            </w:tcBorders>
            <w:vAlign w:val="center"/>
          </w:tcPr>
          <w:p w14:paraId="7F47496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0.82</w:t>
            </w:r>
          </w:p>
        </w:tc>
        <w:tc>
          <w:tcPr>
            <w:tcW w:w="1547" w:type="dxa"/>
            <w:tcBorders>
              <w:top w:val="single" w:color="000000" w:sz="10" w:space="0"/>
              <w:bottom w:val="single" w:color="000000" w:sz="10" w:space="0"/>
            </w:tcBorders>
            <w:vAlign w:val="center"/>
          </w:tcPr>
          <w:p w14:paraId="7D7ECA4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r w14:paraId="15AC956D">
        <w:tblPrEx>
          <w:tblCellMar>
            <w:top w:w="65" w:type="dxa"/>
            <w:left w:w="65" w:type="dxa"/>
            <w:bottom w:w="65" w:type="dxa"/>
            <w:right w:w="65" w:type="dxa"/>
          </w:tblCellMar>
        </w:tblPrEx>
        <w:trPr>
          <w:cantSplit/>
          <w:trHeight w:val="491" w:hRule="atLeast"/>
          <w:jc w:val="center"/>
        </w:trPr>
        <w:tc>
          <w:tcPr>
            <w:tcW w:w="936" w:type="dxa"/>
            <w:tcBorders>
              <w:top w:val="single" w:color="000000" w:sz="10" w:space="0"/>
              <w:bottom w:val="single" w:color="000000" w:sz="10" w:space="0"/>
            </w:tcBorders>
            <w:vAlign w:val="center"/>
          </w:tcPr>
          <w:p w14:paraId="43CC88E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Q7_3</w:t>
            </w:r>
          </w:p>
        </w:tc>
        <w:tc>
          <w:tcPr>
            <w:tcW w:w="4968" w:type="dxa"/>
            <w:tcBorders>
              <w:top w:val="single" w:color="000000" w:sz="10" w:space="0"/>
              <w:bottom w:val="single" w:color="000000" w:sz="10" w:space="0"/>
            </w:tcBorders>
            <w:vAlign w:val="center"/>
          </w:tcPr>
          <w:p w14:paraId="7FCE7DBE">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我认为培养学生高阶能力，是本学科课堂教学应当兼顾的目标</w:t>
            </w:r>
          </w:p>
        </w:tc>
        <w:tc>
          <w:tcPr>
            <w:tcW w:w="936" w:type="dxa"/>
            <w:tcBorders>
              <w:top w:val="single" w:color="000000" w:sz="10" w:space="0"/>
              <w:bottom w:val="single" w:color="000000" w:sz="10" w:space="0"/>
            </w:tcBorders>
            <w:vAlign w:val="center"/>
          </w:tcPr>
          <w:p w14:paraId="498C2A3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4.33</w:t>
            </w:r>
          </w:p>
        </w:tc>
        <w:tc>
          <w:tcPr>
            <w:tcW w:w="936" w:type="dxa"/>
            <w:tcBorders>
              <w:top w:val="single" w:color="000000" w:sz="10" w:space="0"/>
              <w:bottom w:val="single" w:color="000000" w:sz="10" w:space="0"/>
            </w:tcBorders>
            <w:vAlign w:val="center"/>
          </w:tcPr>
          <w:p w14:paraId="7A2CE32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0.83</w:t>
            </w:r>
          </w:p>
        </w:tc>
        <w:tc>
          <w:tcPr>
            <w:tcW w:w="1547" w:type="dxa"/>
            <w:tcBorders>
              <w:top w:val="single" w:color="000000" w:sz="10" w:space="0"/>
              <w:bottom w:val="single" w:color="000000" w:sz="10" w:space="0"/>
            </w:tcBorders>
            <w:vAlign w:val="center"/>
          </w:tcPr>
          <w:p w14:paraId="4FA645A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r w14:paraId="42AF094F">
        <w:tblPrEx>
          <w:tblCellMar>
            <w:top w:w="65" w:type="dxa"/>
            <w:left w:w="65" w:type="dxa"/>
            <w:bottom w:w="65" w:type="dxa"/>
            <w:right w:w="65" w:type="dxa"/>
          </w:tblCellMar>
        </w:tblPrEx>
        <w:trPr>
          <w:cantSplit/>
          <w:trHeight w:val="273" w:hRule="atLeast"/>
          <w:jc w:val="center"/>
        </w:trPr>
        <w:tc>
          <w:tcPr>
            <w:tcW w:w="936" w:type="dxa"/>
            <w:tcBorders>
              <w:top w:val="single" w:color="000000" w:sz="10" w:space="0"/>
              <w:bottom w:val="single" w:color="000000" w:sz="10" w:space="0"/>
            </w:tcBorders>
            <w:vAlign w:val="center"/>
          </w:tcPr>
          <w:p w14:paraId="2061948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Q7_4</w:t>
            </w:r>
          </w:p>
        </w:tc>
        <w:tc>
          <w:tcPr>
            <w:tcW w:w="4968" w:type="dxa"/>
            <w:tcBorders>
              <w:top w:val="single" w:color="000000" w:sz="10" w:space="0"/>
              <w:bottom w:val="single" w:color="000000" w:sz="10" w:space="0"/>
            </w:tcBorders>
            <w:vAlign w:val="center"/>
          </w:tcPr>
          <w:p w14:paraId="0D481BE4">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即便面临考试升学压力，我依然认为课堂有必要兼顾高阶能力培养</w:t>
            </w:r>
          </w:p>
        </w:tc>
        <w:tc>
          <w:tcPr>
            <w:tcW w:w="936" w:type="dxa"/>
            <w:tcBorders>
              <w:top w:val="single" w:color="000000" w:sz="10" w:space="0"/>
              <w:bottom w:val="single" w:color="000000" w:sz="10" w:space="0"/>
            </w:tcBorders>
            <w:vAlign w:val="center"/>
          </w:tcPr>
          <w:p w14:paraId="6987DD0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4.31</w:t>
            </w:r>
          </w:p>
        </w:tc>
        <w:tc>
          <w:tcPr>
            <w:tcW w:w="936" w:type="dxa"/>
            <w:tcBorders>
              <w:top w:val="single" w:color="000000" w:sz="10" w:space="0"/>
              <w:bottom w:val="single" w:color="000000" w:sz="10" w:space="0"/>
            </w:tcBorders>
            <w:vAlign w:val="center"/>
          </w:tcPr>
          <w:p w14:paraId="0FD28D3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w:t>
            </w:r>
          </w:p>
        </w:tc>
        <w:tc>
          <w:tcPr>
            <w:tcW w:w="1547" w:type="dxa"/>
            <w:tcBorders>
              <w:top w:val="single" w:color="000000" w:sz="10" w:space="0"/>
              <w:bottom w:val="single" w:color="000000" w:sz="10" w:space="0"/>
            </w:tcBorders>
            <w:vAlign w:val="center"/>
          </w:tcPr>
          <w:p w14:paraId="0BCF1F6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92.64</w:t>
            </w:r>
          </w:p>
        </w:tc>
      </w:tr>
      <w:tr w14:paraId="1819A74D">
        <w:tblPrEx>
          <w:tblCellMar>
            <w:top w:w="65" w:type="dxa"/>
            <w:left w:w="65" w:type="dxa"/>
            <w:bottom w:w="65" w:type="dxa"/>
            <w:right w:w="65" w:type="dxa"/>
          </w:tblCellMar>
        </w:tblPrEx>
        <w:trPr>
          <w:cantSplit/>
          <w:trHeight w:val="288" w:hRule="atLeast"/>
          <w:jc w:val="center"/>
        </w:trPr>
        <w:tc>
          <w:tcPr>
            <w:tcW w:w="936" w:type="dxa"/>
            <w:tcBorders>
              <w:top w:val="single" w:color="000000" w:sz="10" w:space="0"/>
              <w:bottom w:val="single" w:color="000000" w:sz="10" w:space="0"/>
            </w:tcBorders>
            <w:vAlign w:val="center"/>
          </w:tcPr>
          <w:p w14:paraId="598DCAD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Q7_5</w:t>
            </w:r>
          </w:p>
        </w:tc>
        <w:tc>
          <w:tcPr>
            <w:tcW w:w="4968" w:type="dxa"/>
            <w:tcBorders>
              <w:top w:val="single" w:color="000000" w:sz="10" w:space="0"/>
              <w:bottom w:val="single" w:color="000000" w:sz="10" w:space="0"/>
            </w:tcBorders>
            <w:vAlign w:val="center"/>
          </w:tcPr>
          <w:p w14:paraId="3BF63A6B">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高阶能力的培养，对学生长远发展、解决现实生活问题很有帮助</w:t>
            </w:r>
          </w:p>
        </w:tc>
        <w:tc>
          <w:tcPr>
            <w:tcW w:w="936" w:type="dxa"/>
            <w:tcBorders>
              <w:top w:val="single" w:color="000000" w:sz="10" w:space="0"/>
              <w:bottom w:val="single" w:color="000000" w:sz="10" w:space="0"/>
            </w:tcBorders>
            <w:vAlign w:val="center"/>
          </w:tcPr>
          <w:p w14:paraId="4DA522E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4.40</w:t>
            </w:r>
          </w:p>
        </w:tc>
        <w:tc>
          <w:tcPr>
            <w:tcW w:w="936" w:type="dxa"/>
            <w:tcBorders>
              <w:top w:val="single" w:color="000000" w:sz="10" w:space="0"/>
              <w:bottom w:val="single" w:color="000000" w:sz="10" w:space="0"/>
            </w:tcBorders>
            <w:vAlign w:val="center"/>
          </w:tcPr>
          <w:p w14:paraId="3809DA4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0.77</w:t>
            </w:r>
          </w:p>
        </w:tc>
        <w:tc>
          <w:tcPr>
            <w:tcW w:w="1547" w:type="dxa"/>
            <w:tcBorders>
              <w:top w:val="single" w:color="000000" w:sz="10" w:space="0"/>
              <w:bottom w:val="single" w:color="000000" w:sz="10" w:space="0"/>
            </w:tcBorders>
            <w:vAlign w:val="center"/>
          </w:tcPr>
          <w:p w14:paraId="729932A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95.71</w:t>
            </w:r>
          </w:p>
        </w:tc>
      </w:tr>
      <w:tr w14:paraId="38C1618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487D5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Q7_6</w:t>
            </w:r>
          </w:p>
        </w:tc>
        <w:tc>
          <w:tcPr>
            <w:tcW w:w="4968" w:type="dxa"/>
            <w:tcBorders>
              <w:top w:val="single" w:color="000000" w:sz="10" w:space="0"/>
              <w:bottom w:val="single" w:color="000000" w:sz="10" w:space="0"/>
            </w:tcBorders>
            <w:vAlign w:val="center"/>
          </w:tcPr>
          <w:p w14:paraId="1E14C83A">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高阶能力培养不是某几个学科的专属任务，各个学科都可以适度落实</w:t>
            </w:r>
          </w:p>
        </w:tc>
        <w:tc>
          <w:tcPr>
            <w:tcW w:w="936" w:type="dxa"/>
            <w:tcBorders>
              <w:top w:val="single" w:color="000000" w:sz="10" w:space="0"/>
              <w:bottom w:val="single" w:color="000000" w:sz="10" w:space="0"/>
            </w:tcBorders>
            <w:vAlign w:val="center"/>
          </w:tcPr>
          <w:p w14:paraId="4A88B2B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4.37</w:t>
            </w:r>
          </w:p>
        </w:tc>
        <w:tc>
          <w:tcPr>
            <w:tcW w:w="936" w:type="dxa"/>
            <w:tcBorders>
              <w:top w:val="single" w:color="000000" w:sz="10" w:space="0"/>
              <w:bottom w:val="single" w:color="000000" w:sz="10" w:space="0"/>
            </w:tcBorders>
            <w:vAlign w:val="center"/>
          </w:tcPr>
          <w:p w14:paraId="5A9B7F5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0.82</w:t>
            </w:r>
          </w:p>
        </w:tc>
        <w:tc>
          <w:tcPr>
            <w:tcW w:w="1547" w:type="dxa"/>
            <w:tcBorders>
              <w:top w:val="single" w:color="000000" w:sz="10" w:space="0"/>
              <w:bottom w:val="single" w:color="000000" w:sz="10" w:space="0"/>
            </w:tcBorders>
            <w:vAlign w:val="center"/>
          </w:tcPr>
          <w:p w14:paraId="0BA1786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93.25</w:t>
            </w:r>
          </w:p>
        </w:tc>
      </w:tr>
      <w:tr w14:paraId="68F3BB4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01B840E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Q7_7</w:t>
            </w:r>
          </w:p>
        </w:tc>
        <w:tc>
          <w:tcPr>
            <w:tcW w:w="4968" w:type="dxa"/>
            <w:tcBorders>
              <w:top w:val="single" w:color="000000" w:sz="10" w:space="0"/>
              <w:bottom w:val="single" w:color="000000" w:sz="10" w:space="0"/>
            </w:tcBorders>
            <w:vAlign w:val="center"/>
          </w:tcPr>
          <w:p w14:paraId="2D5BEF2A">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想要落实高阶能力培养，教师需要改变部分固有的课堂教学方式</w:t>
            </w:r>
          </w:p>
        </w:tc>
        <w:tc>
          <w:tcPr>
            <w:tcW w:w="936" w:type="dxa"/>
            <w:tcBorders>
              <w:top w:val="single" w:color="000000" w:sz="10" w:space="0"/>
              <w:bottom w:val="single" w:color="000000" w:sz="10" w:space="0"/>
            </w:tcBorders>
            <w:vAlign w:val="center"/>
          </w:tcPr>
          <w:p w14:paraId="439B0DD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4.37</w:t>
            </w:r>
          </w:p>
        </w:tc>
        <w:tc>
          <w:tcPr>
            <w:tcW w:w="936" w:type="dxa"/>
            <w:tcBorders>
              <w:top w:val="single" w:color="000000" w:sz="10" w:space="0"/>
              <w:bottom w:val="single" w:color="000000" w:sz="10" w:space="0"/>
            </w:tcBorders>
            <w:vAlign w:val="center"/>
          </w:tcPr>
          <w:p w14:paraId="31B53E74">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0.76</w:t>
            </w:r>
          </w:p>
        </w:tc>
        <w:tc>
          <w:tcPr>
            <w:tcW w:w="1547" w:type="dxa"/>
            <w:tcBorders>
              <w:top w:val="single" w:color="000000" w:sz="10" w:space="0"/>
              <w:bottom w:val="single" w:color="000000" w:sz="10" w:space="0"/>
            </w:tcBorders>
            <w:vAlign w:val="center"/>
          </w:tcPr>
          <w:p w14:paraId="0D5A3C1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95.09</w:t>
            </w:r>
          </w:p>
        </w:tc>
      </w:tr>
    </w:tbl>
    <w:p w14:paraId="04AE2BAB">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认知与价值认同维度均值为4.35。教师对高阶能力有助于学生长远发展与现实问题解决的认同最高，均值4.40，符合比例95.71%；对高阶能力综合内涵的认识均值为4.39。区分低阶学习与高阶能力学习的均值为4.28，在该维度中相对较低。结果表明，教师已有较积极的价值认识，后续研修可进一步通过学科任务、学生回答和作品样例，帮助教师辨别不同层次的学习要求，使理念认识转化为清晰的教学判断。</w:t>
      </w:r>
    </w:p>
    <w:p w14:paraId="1CA25C2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②课堂实践</w:t>
      </w:r>
    </w:p>
    <w:p w14:paraId="45238BDC">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表3-18  课堂实践维度题项统计</w:t>
      </w:r>
    </w:p>
    <w:tbl>
      <w:tblPr>
        <w:tblStyle w:val="12"/>
        <w:tblW w:w="9363" w:type="dxa"/>
        <w:jc w:val="center"/>
        <w:tblLayout w:type="fixed"/>
        <w:tblCellMar>
          <w:top w:w="65" w:type="dxa"/>
          <w:left w:w="65" w:type="dxa"/>
          <w:bottom w:w="65" w:type="dxa"/>
          <w:right w:w="65" w:type="dxa"/>
        </w:tblCellMar>
      </w:tblPr>
      <w:tblGrid>
        <w:gridCol w:w="936"/>
        <w:gridCol w:w="5298"/>
        <w:gridCol w:w="976"/>
        <w:gridCol w:w="832"/>
        <w:gridCol w:w="1321"/>
      </w:tblGrid>
      <w:tr w14:paraId="0D4D4DCA">
        <w:tblPrEx>
          <w:tblCellMar>
            <w:top w:w="65" w:type="dxa"/>
            <w:left w:w="65" w:type="dxa"/>
            <w:bottom w:w="65" w:type="dxa"/>
            <w:right w:w="65" w:type="dxa"/>
          </w:tblCellMar>
        </w:tblPrEx>
        <w:trPr>
          <w:cantSplit/>
          <w:tblHeader/>
          <w:jc w:val="center"/>
        </w:trPr>
        <w:tc>
          <w:tcPr>
            <w:tcW w:w="936" w:type="dxa"/>
            <w:tcBorders>
              <w:top w:val="single" w:color="000000" w:sz="10" w:space="0"/>
              <w:bottom w:val="single" w:color="000000" w:sz="6" w:space="0"/>
            </w:tcBorders>
            <w:vAlign w:val="center"/>
          </w:tcPr>
          <w:p w14:paraId="5AB92E1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题号</w:t>
            </w:r>
          </w:p>
        </w:tc>
        <w:tc>
          <w:tcPr>
            <w:tcW w:w="5298" w:type="dxa"/>
            <w:tcBorders>
              <w:top w:val="single" w:color="000000" w:sz="10" w:space="0"/>
              <w:bottom w:val="single" w:color="000000" w:sz="6" w:space="0"/>
            </w:tcBorders>
            <w:vAlign w:val="center"/>
          </w:tcPr>
          <w:p w14:paraId="6F6A72EB">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题项内容</w:t>
            </w:r>
          </w:p>
        </w:tc>
        <w:tc>
          <w:tcPr>
            <w:tcW w:w="976" w:type="dxa"/>
            <w:tcBorders>
              <w:top w:val="single" w:color="000000" w:sz="10" w:space="0"/>
              <w:bottom w:val="single" w:color="000000" w:sz="6" w:space="0"/>
            </w:tcBorders>
            <w:vAlign w:val="center"/>
          </w:tcPr>
          <w:p w14:paraId="50DCED6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均值</w:t>
            </w:r>
          </w:p>
        </w:tc>
        <w:tc>
          <w:tcPr>
            <w:tcW w:w="832" w:type="dxa"/>
            <w:tcBorders>
              <w:top w:val="single" w:color="000000" w:sz="10" w:space="0"/>
              <w:bottom w:val="single" w:color="000000" w:sz="6" w:space="0"/>
            </w:tcBorders>
            <w:vAlign w:val="center"/>
          </w:tcPr>
          <w:p w14:paraId="4A39109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标准差</w:t>
            </w:r>
          </w:p>
        </w:tc>
        <w:tc>
          <w:tcPr>
            <w:tcW w:w="1321" w:type="dxa"/>
            <w:tcBorders>
              <w:top w:val="single" w:color="000000" w:sz="10" w:space="0"/>
              <w:bottom w:val="single" w:color="000000" w:sz="6" w:space="0"/>
            </w:tcBorders>
            <w:vAlign w:val="center"/>
          </w:tcPr>
          <w:p w14:paraId="357EE2D7">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sz w:val="21"/>
                <w:szCs w:val="28"/>
              </w:rPr>
              <w:t>符合</w:t>
            </w:r>
            <w:r>
              <w:rPr>
                <w:rFonts w:hint="eastAsia" w:ascii="宋体" w:hAnsi="宋体" w:eastAsia="宋体" w:cs="宋体"/>
                <w:b/>
                <w:sz w:val="21"/>
                <w:szCs w:val="28"/>
                <w:lang w:val="en-US" w:eastAsia="zh-CN"/>
              </w:rPr>
              <w:t>与完全符合</w:t>
            </w:r>
            <w:r>
              <w:rPr>
                <w:rFonts w:hint="eastAsia" w:ascii="宋体" w:hAnsi="宋体" w:eastAsia="宋体" w:cs="宋体"/>
                <w:b/>
                <w:sz w:val="21"/>
                <w:szCs w:val="28"/>
              </w:rPr>
              <w:t>比例（%）</w:t>
            </w:r>
          </w:p>
        </w:tc>
      </w:tr>
      <w:tr w14:paraId="2FA1F87E">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781AB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Q8_1</w:t>
            </w:r>
          </w:p>
        </w:tc>
        <w:tc>
          <w:tcPr>
            <w:tcW w:w="5298" w:type="dxa"/>
            <w:tcBorders>
              <w:top w:val="single" w:color="000000" w:sz="10" w:space="0"/>
              <w:bottom w:val="single" w:color="000000" w:sz="10" w:space="0"/>
            </w:tcBorders>
            <w:vAlign w:val="center"/>
          </w:tcPr>
          <w:p w14:paraId="2C611DFB">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备课时，我会有意识设计任务，引导学生开展分析、评判或者创造性思考</w:t>
            </w:r>
          </w:p>
        </w:tc>
        <w:tc>
          <w:tcPr>
            <w:tcW w:w="976" w:type="dxa"/>
            <w:tcBorders>
              <w:top w:val="single" w:color="000000" w:sz="10" w:space="0"/>
              <w:bottom w:val="single" w:color="000000" w:sz="10" w:space="0"/>
            </w:tcBorders>
            <w:vAlign w:val="center"/>
          </w:tcPr>
          <w:p w14:paraId="29E96AC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4.24</w:t>
            </w:r>
          </w:p>
        </w:tc>
        <w:tc>
          <w:tcPr>
            <w:tcW w:w="832" w:type="dxa"/>
            <w:tcBorders>
              <w:top w:val="single" w:color="000000" w:sz="10" w:space="0"/>
              <w:bottom w:val="single" w:color="000000" w:sz="10" w:space="0"/>
            </w:tcBorders>
            <w:vAlign w:val="center"/>
          </w:tcPr>
          <w:p w14:paraId="6151B08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0.71</w:t>
            </w:r>
          </w:p>
        </w:tc>
        <w:tc>
          <w:tcPr>
            <w:tcW w:w="1321" w:type="dxa"/>
            <w:tcBorders>
              <w:top w:val="single" w:color="000000" w:sz="10" w:space="0"/>
              <w:bottom w:val="single" w:color="000000" w:sz="10" w:space="0"/>
            </w:tcBorders>
            <w:vAlign w:val="center"/>
          </w:tcPr>
          <w:p w14:paraId="21D1CDC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93.25</w:t>
            </w:r>
          </w:p>
        </w:tc>
      </w:tr>
      <w:tr w14:paraId="25554D10">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67C48378">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Q8_2</w:t>
            </w:r>
          </w:p>
        </w:tc>
        <w:tc>
          <w:tcPr>
            <w:tcW w:w="5298" w:type="dxa"/>
            <w:tcBorders>
              <w:top w:val="single" w:color="000000" w:sz="10" w:space="0"/>
              <w:bottom w:val="single" w:color="000000" w:sz="10" w:space="0"/>
            </w:tcBorders>
            <w:vAlign w:val="center"/>
          </w:tcPr>
          <w:p w14:paraId="3C4C5447">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我会尝试使用项目式、问题探究式学习，带动学生深度思考</w:t>
            </w:r>
          </w:p>
        </w:tc>
        <w:tc>
          <w:tcPr>
            <w:tcW w:w="976" w:type="dxa"/>
            <w:tcBorders>
              <w:top w:val="single" w:color="000000" w:sz="10" w:space="0"/>
              <w:bottom w:val="single" w:color="000000" w:sz="10" w:space="0"/>
            </w:tcBorders>
            <w:vAlign w:val="center"/>
          </w:tcPr>
          <w:p w14:paraId="1F70B63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4.21</w:t>
            </w:r>
          </w:p>
        </w:tc>
        <w:tc>
          <w:tcPr>
            <w:tcW w:w="832" w:type="dxa"/>
            <w:tcBorders>
              <w:top w:val="single" w:color="000000" w:sz="10" w:space="0"/>
              <w:bottom w:val="single" w:color="000000" w:sz="10" w:space="0"/>
            </w:tcBorders>
            <w:vAlign w:val="center"/>
          </w:tcPr>
          <w:p w14:paraId="55013DA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0.75</w:t>
            </w:r>
          </w:p>
        </w:tc>
        <w:tc>
          <w:tcPr>
            <w:tcW w:w="1321" w:type="dxa"/>
            <w:tcBorders>
              <w:top w:val="single" w:color="000000" w:sz="10" w:space="0"/>
              <w:bottom w:val="single" w:color="000000" w:sz="10" w:space="0"/>
            </w:tcBorders>
            <w:vAlign w:val="center"/>
          </w:tcPr>
          <w:p w14:paraId="0EF85DD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90.80</w:t>
            </w:r>
          </w:p>
        </w:tc>
      </w:tr>
      <w:tr w14:paraId="57007105">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D2AD5F">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Q8_3</w:t>
            </w:r>
          </w:p>
        </w:tc>
        <w:tc>
          <w:tcPr>
            <w:tcW w:w="5298" w:type="dxa"/>
            <w:tcBorders>
              <w:top w:val="single" w:color="000000" w:sz="10" w:space="0"/>
              <w:bottom w:val="single" w:color="000000" w:sz="10" w:space="0"/>
            </w:tcBorders>
            <w:vAlign w:val="center"/>
          </w:tcPr>
          <w:p w14:paraId="0B3E389D">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我设计的探究任务，会尽量联系生活、社会真实情境</w:t>
            </w:r>
          </w:p>
        </w:tc>
        <w:tc>
          <w:tcPr>
            <w:tcW w:w="976" w:type="dxa"/>
            <w:tcBorders>
              <w:top w:val="single" w:color="000000" w:sz="10" w:space="0"/>
              <w:bottom w:val="single" w:color="000000" w:sz="10" w:space="0"/>
            </w:tcBorders>
            <w:vAlign w:val="center"/>
          </w:tcPr>
          <w:p w14:paraId="45097C9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4.29</w:t>
            </w:r>
          </w:p>
        </w:tc>
        <w:tc>
          <w:tcPr>
            <w:tcW w:w="832" w:type="dxa"/>
            <w:tcBorders>
              <w:top w:val="single" w:color="000000" w:sz="10" w:space="0"/>
              <w:bottom w:val="single" w:color="000000" w:sz="10" w:space="0"/>
            </w:tcBorders>
            <w:vAlign w:val="center"/>
          </w:tcPr>
          <w:p w14:paraId="41B9D35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0.80</w:t>
            </w:r>
          </w:p>
        </w:tc>
        <w:tc>
          <w:tcPr>
            <w:tcW w:w="1321" w:type="dxa"/>
            <w:tcBorders>
              <w:top w:val="single" w:color="000000" w:sz="10" w:space="0"/>
              <w:bottom w:val="single" w:color="000000" w:sz="10" w:space="0"/>
            </w:tcBorders>
            <w:vAlign w:val="center"/>
          </w:tcPr>
          <w:p w14:paraId="4E609E8D">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92.02</w:t>
            </w:r>
          </w:p>
        </w:tc>
      </w:tr>
      <w:tr w14:paraId="0ACEB4D9">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76BC71B1">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Q8_4</w:t>
            </w:r>
          </w:p>
        </w:tc>
        <w:tc>
          <w:tcPr>
            <w:tcW w:w="5298" w:type="dxa"/>
            <w:tcBorders>
              <w:top w:val="single" w:color="000000" w:sz="10" w:space="0"/>
              <w:bottom w:val="single" w:color="000000" w:sz="10" w:space="0"/>
            </w:tcBorders>
            <w:vAlign w:val="center"/>
          </w:tcPr>
          <w:p w14:paraId="4CF4F387">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课堂讨论时，我经常提开放性问题，鼓励多角度作答，而不是只追求标准答案</w:t>
            </w:r>
          </w:p>
        </w:tc>
        <w:tc>
          <w:tcPr>
            <w:tcW w:w="976" w:type="dxa"/>
            <w:tcBorders>
              <w:top w:val="single" w:color="000000" w:sz="10" w:space="0"/>
              <w:bottom w:val="single" w:color="000000" w:sz="10" w:space="0"/>
            </w:tcBorders>
            <w:vAlign w:val="center"/>
          </w:tcPr>
          <w:p w14:paraId="25FC438A">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4.34</w:t>
            </w:r>
          </w:p>
        </w:tc>
        <w:tc>
          <w:tcPr>
            <w:tcW w:w="832" w:type="dxa"/>
            <w:tcBorders>
              <w:top w:val="single" w:color="000000" w:sz="10" w:space="0"/>
              <w:bottom w:val="single" w:color="000000" w:sz="10" w:space="0"/>
            </w:tcBorders>
            <w:vAlign w:val="center"/>
          </w:tcPr>
          <w:p w14:paraId="6797656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0.72</w:t>
            </w:r>
          </w:p>
        </w:tc>
        <w:tc>
          <w:tcPr>
            <w:tcW w:w="1321" w:type="dxa"/>
            <w:tcBorders>
              <w:top w:val="single" w:color="000000" w:sz="10" w:space="0"/>
              <w:bottom w:val="single" w:color="000000" w:sz="10" w:space="0"/>
            </w:tcBorders>
            <w:vAlign w:val="center"/>
          </w:tcPr>
          <w:p w14:paraId="3BB30B1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95.71</w:t>
            </w:r>
          </w:p>
        </w:tc>
      </w:tr>
      <w:tr w14:paraId="1D9563A9">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17A5F39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Q8_5</w:t>
            </w:r>
          </w:p>
        </w:tc>
        <w:tc>
          <w:tcPr>
            <w:tcW w:w="5298" w:type="dxa"/>
            <w:tcBorders>
              <w:top w:val="single" w:color="000000" w:sz="10" w:space="0"/>
              <w:bottom w:val="single" w:color="000000" w:sz="10" w:space="0"/>
            </w:tcBorders>
            <w:vAlign w:val="center"/>
          </w:tcPr>
          <w:p w14:paraId="5545952D">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我会利用多媒体、数字资源等工具辅助学生开展探究思考</w:t>
            </w:r>
          </w:p>
        </w:tc>
        <w:tc>
          <w:tcPr>
            <w:tcW w:w="976" w:type="dxa"/>
            <w:tcBorders>
              <w:top w:val="single" w:color="000000" w:sz="10" w:space="0"/>
              <w:bottom w:val="single" w:color="000000" w:sz="10" w:space="0"/>
            </w:tcBorders>
            <w:vAlign w:val="center"/>
          </w:tcPr>
          <w:p w14:paraId="2F502DE5">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4.33</w:t>
            </w:r>
          </w:p>
        </w:tc>
        <w:tc>
          <w:tcPr>
            <w:tcW w:w="832" w:type="dxa"/>
            <w:tcBorders>
              <w:top w:val="single" w:color="000000" w:sz="10" w:space="0"/>
              <w:bottom w:val="single" w:color="000000" w:sz="10" w:space="0"/>
            </w:tcBorders>
            <w:vAlign w:val="center"/>
          </w:tcPr>
          <w:p w14:paraId="188EC5AE">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0.72</w:t>
            </w:r>
          </w:p>
        </w:tc>
        <w:tc>
          <w:tcPr>
            <w:tcW w:w="1321" w:type="dxa"/>
            <w:tcBorders>
              <w:top w:val="single" w:color="000000" w:sz="10" w:space="0"/>
              <w:bottom w:val="single" w:color="000000" w:sz="10" w:space="0"/>
            </w:tcBorders>
            <w:vAlign w:val="center"/>
          </w:tcPr>
          <w:p w14:paraId="418A09A3">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94.48</w:t>
            </w:r>
          </w:p>
        </w:tc>
      </w:tr>
      <w:tr w14:paraId="1A01F21D">
        <w:tblPrEx>
          <w:tblCellMar>
            <w:top w:w="65" w:type="dxa"/>
            <w:left w:w="65" w:type="dxa"/>
            <w:bottom w:w="65" w:type="dxa"/>
            <w:right w:w="65" w:type="dxa"/>
          </w:tblCellMar>
        </w:tblPrEx>
        <w:trPr>
          <w:cantSplit/>
          <w:jc w:val="center"/>
        </w:trPr>
        <w:tc>
          <w:tcPr>
            <w:tcW w:w="936" w:type="dxa"/>
            <w:tcBorders>
              <w:top w:val="single" w:color="000000" w:sz="10" w:space="0"/>
              <w:bottom w:val="single" w:color="000000" w:sz="10" w:space="0"/>
            </w:tcBorders>
            <w:vAlign w:val="center"/>
          </w:tcPr>
          <w:p w14:paraId="2D0AA14C">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Q8_6</w:t>
            </w:r>
          </w:p>
        </w:tc>
        <w:tc>
          <w:tcPr>
            <w:tcW w:w="5298" w:type="dxa"/>
            <w:tcBorders>
              <w:top w:val="single" w:color="000000" w:sz="10" w:space="0"/>
              <w:bottom w:val="single" w:color="000000" w:sz="10" w:space="0"/>
            </w:tcBorders>
            <w:vAlign w:val="center"/>
          </w:tcPr>
          <w:p w14:paraId="0A4D85A3">
            <w:pPr>
              <w:overflowPunct w:val="0"/>
              <w:bidi w:val="0"/>
              <w:spacing w:before="0" w:after="0" w:line="240" w:lineRule="auto"/>
              <w:ind w:firstLineChars="200"/>
              <w:jc w:val="left"/>
              <w:textAlignment w:val="auto"/>
              <w:rPr>
                <w:rFonts w:hint="eastAsia" w:ascii="宋体" w:hAnsi="宋体" w:eastAsia="宋体" w:cs="宋体"/>
                <w:sz w:val="22"/>
                <w:szCs w:val="28"/>
              </w:rPr>
            </w:pPr>
            <w:r>
              <w:rPr>
                <w:rFonts w:hint="eastAsia" w:ascii="宋体" w:hAnsi="宋体" w:eastAsia="宋体" w:cs="宋体"/>
                <w:b w:val="0"/>
                <w:sz w:val="21"/>
                <w:szCs w:val="28"/>
              </w:rPr>
              <w:t>课堂上，我会留出充足时间，让学生自主思考、小组研讨</w:t>
            </w:r>
          </w:p>
        </w:tc>
        <w:tc>
          <w:tcPr>
            <w:tcW w:w="976" w:type="dxa"/>
            <w:tcBorders>
              <w:top w:val="single" w:color="000000" w:sz="10" w:space="0"/>
              <w:bottom w:val="single" w:color="000000" w:sz="10" w:space="0"/>
            </w:tcBorders>
            <w:vAlign w:val="center"/>
          </w:tcPr>
          <w:p w14:paraId="5C3AB6C0">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4.15</w:t>
            </w:r>
          </w:p>
        </w:tc>
        <w:tc>
          <w:tcPr>
            <w:tcW w:w="832" w:type="dxa"/>
            <w:tcBorders>
              <w:top w:val="single" w:color="000000" w:sz="10" w:space="0"/>
              <w:bottom w:val="single" w:color="000000" w:sz="10" w:space="0"/>
            </w:tcBorders>
            <w:vAlign w:val="center"/>
          </w:tcPr>
          <w:p w14:paraId="4F1D4456">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0.79</w:t>
            </w:r>
          </w:p>
        </w:tc>
        <w:tc>
          <w:tcPr>
            <w:tcW w:w="1321" w:type="dxa"/>
            <w:tcBorders>
              <w:top w:val="single" w:color="000000" w:sz="10" w:space="0"/>
              <w:bottom w:val="single" w:color="000000" w:sz="10" w:space="0"/>
            </w:tcBorders>
            <w:vAlign w:val="center"/>
          </w:tcPr>
          <w:p w14:paraId="1E62F519">
            <w:pPr>
              <w:overflowPunct w:val="0"/>
              <w:bidi w:val="0"/>
              <w:spacing w:before="0" w:after="0" w:line="240" w:lineRule="auto"/>
              <w:ind w:firstLineChars="200"/>
              <w:jc w:val="center"/>
              <w:textAlignment w:val="auto"/>
              <w:rPr>
                <w:rFonts w:hint="eastAsia" w:ascii="宋体" w:hAnsi="宋体" w:eastAsia="宋体" w:cs="宋体"/>
                <w:sz w:val="22"/>
                <w:szCs w:val="28"/>
              </w:rPr>
            </w:pPr>
            <w:r>
              <w:rPr>
                <w:rFonts w:hint="eastAsia" w:ascii="宋体" w:hAnsi="宋体" w:eastAsia="宋体" w:cs="宋体"/>
                <w:b w:val="0"/>
                <w:sz w:val="21"/>
                <w:szCs w:val="28"/>
              </w:rPr>
              <w:t>87.73</w:t>
            </w:r>
          </w:p>
        </w:tc>
      </w:tr>
    </w:tbl>
    <w:p w14:paraId="766C625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课堂实践维度均值为4.26。开放性提问与鼓励多角度作答均值4.34，数字资源辅助探究均值4.33，体现教师在提问方式与资源运用上的积极尝试。留出充足自主思考与研讨时间均值4.15，符合比例87.73%，</w:t>
      </w:r>
      <w:r>
        <w:rPr>
          <w:rFonts w:hint="eastAsia" w:ascii="宋体" w:hAnsi="宋体" w:eastAsia="宋体" w:cs="宋体"/>
          <w:b w:val="0"/>
          <w:kern w:val="0"/>
          <w:sz w:val="24"/>
          <w:lang w:val="en-US" w:eastAsia="zh-CN"/>
        </w:rPr>
        <w:t>比例</w:t>
      </w:r>
      <w:r>
        <w:rPr>
          <w:rFonts w:hint="eastAsia" w:ascii="宋体" w:hAnsi="宋体" w:eastAsia="宋体" w:cs="宋体"/>
          <w:b w:val="0"/>
          <w:kern w:val="0"/>
          <w:sz w:val="24"/>
        </w:rPr>
        <w:t>相对较低项；项目式、问题探究式学习均值4.21</w:t>
      </w:r>
      <w:r>
        <w:rPr>
          <w:rFonts w:hint="eastAsia" w:ascii="宋体" w:hAnsi="宋体" w:eastAsia="宋体" w:cs="宋体"/>
          <w:b w:val="0"/>
          <w:kern w:val="0"/>
          <w:sz w:val="24"/>
          <w:lang w:eastAsia="zh-CN"/>
        </w:rPr>
        <w:t>，符合比例90.80%，是课堂实践维度中得分相对偏低的项目，反映出教师在常态化设计并实施深度探究性学习任务时，仍存在一定的难度。</w:t>
      </w:r>
      <w:r>
        <w:rPr>
          <w:rFonts w:hint="eastAsia" w:ascii="宋体" w:hAnsi="宋体" w:eastAsia="宋体" w:cs="宋体"/>
          <w:b w:val="0"/>
          <w:kern w:val="0"/>
          <w:sz w:val="24"/>
        </w:rPr>
        <w:t>后续改进应关注探究时间是否真正得到保障，以及学生是否有机会展开分析、交流理由并修订观点。</w:t>
      </w:r>
    </w:p>
    <w:p w14:paraId="1DA0FD60">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③教学自我效能</w:t>
      </w:r>
    </w:p>
    <w:p w14:paraId="122EAE77">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表3-19  教学自我效能维度题项统计</w:t>
      </w:r>
    </w:p>
    <w:tbl>
      <w:tblPr>
        <w:tblStyle w:val="12"/>
        <w:tblW w:w="9404" w:type="dxa"/>
        <w:jc w:val="center"/>
        <w:tblLayout w:type="fixed"/>
        <w:tblCellMar>
          <w:top w:w="65" w:type="dxa"/>
          <w:left w:w="65" w:type="dxa"/>
          <w:bottom w:w="65" w:type="dxa"/>
          <w:right w:w="65" w:type="dxa"/>
        </w:tblCellMar>
      </w:tblPr>
      <w:tblGrid>
        <w:gridCol w:w="935"/>
        <w:gridCol w:w="4968"/>
        <w:gridCol w:w="937"/>
        <w:gridCol w:w="936"/>
        <w:gridCol w:w="1628"/>
      </w:tblGrid>
      <w:tr w14:paraId="361AFA1A">
        <w:tblPrEx>
          <w:tblCellMar>
            <w:top w:w="65" w:type="dxa"/>
            <w:left w:w="65" w:type="dxa"/>
            <w:bottom w:w="65" w:type="dxa"/>
            <w:right w:w="65" w:type="dxa"/>
          </w:tblCellMar>
        </w:tblPrEx>
        <w:trPr>
          <w:cantSplit/>
          <w:tblHeader/>
          <w:jc w:val="center"/>
        </w:trPr>
        <w:tc>
          <w:tcPr>
            <w:tcW w:w="935" w:type="dxa"/>
            <w:tcBorders>
              <w:top w:val="single" w:color="000000" w:sz="10" w:space="0"/>
              <w:bottom w:val="single" w:color="000000" w:sz="6" w:space="0"/>
            </w:tcBorders>
            <w:vAlign w:val="center"/>
          </w:tcPr>
          <w:p w14:paraId="66020C8F">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题号</w:t>
            </w:r>
          </w:p>
        </w:tc>
        <w:tc>
          <w:tcPr>
            <w:tcW w:w="4968" w:type="dxa"/>
            <w:tcBorders>
              <w:top w:val="single" w:color="000000" w:sz="10" w:space="0"/>
              <w:bottom w:val="single" w:color="000000" w:sz="6" w:space="0"/>
            </w:tcBorders>
            <w:vAlign w:val="center"/>
          </w:tcPr>
          <w:p w14:paraId="5056764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题项内容</w:t>
            </w:r>
          </w:p>
        </w:tc>
        <w:tc>
          <w:tcPr>
            <w:tcW w:w="937" w:type="dxa"/>
            <w:tcBorders>
              <w:top w:val="single" w:color="000000" w:sz="10" w:space="0"/>
              <w:bottom w:val="single" w:color="000000" w:sz="6" w:space="0"/>
            </w:tcBorders>
            <w:vAlign w:val="center"/>
          </w:tcPr>
          <w:p w14:paraId="36E9BB4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均值</w:t>
            </w:r>
          </w:p>
        </w:tc>
        <w:tc>
          <w:tcPr>
            <w:tcW w:w="936" w:type="dxa"/>
            <w:tcBorders>
              <w:top w:val="single" w:color="000000" w:sz="10" w:space="0"/>
              <w:bottom w:val="single" w:color="000000" w:sz="6" w:space="0"/>
            </w:tcBorders>
            <w:vAlign w:val="center"/>
          </w:tcPr>
          <w:p w14:paraId="0E89ADD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标准差</w:t>
            </w:r>
          </w:p>
        </w:tc>
        <w:tc>
          <w:tcPr>
            <w:tcW w:w="1628" w:type="dxa"/>
            <w:tcBorders>
              <w:top w:val="single" w:color="000000" w:sz="10" w:space="0"/>
              <w:bottom w:val="single" w:color="000000" w:sz="6" w:space="0"/>
            </w:tcBorders>
            <w:vAlign w:val="center"/>
          </w:tcPr>
          <w:p w14:paraId="783713E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符合比例（%）</w:t>
            </w:r>
          </w:p>
        </w:tc>
      </w:tr>
      <w:tr w14:paraId="6015334C">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169CB5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Q9_1</w:t>
            </w:r>
          </w:p>
        </w:tc>
        <w:tc>
          <w:tcPr>
            <w:tcW w:w="4968" w:type="dxa"/>
            <w:tcBorders>
              <w:top w:val="single" w:color="000000" w:sz="10" w:space="0"/>
              <w:bottom w:val="single" w:color="000000" w:sz="10" w:space="0"/>
            </w:tcBorders>
            <w:vAlign w:val="center"/>
          </w:tcPr>
          <w:p w14:paraId="68B3924D">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我有信心设计出适合本班学生、指向高阶能力的学习任务</w:t>
            </w:r>
          </w:p>
        </w:tc>
        <w:tc>
          <w:tcPr>
            <w:tcW w:w="937" w:type="dxa"/>
            <w:tcBorders>
              <w:top w:val="single" w:color="000000" w:sz="10" w:space="0"/>
              <w:bottom w:val="single" w:color="000000" w:sz="10" w:space="0"/>
            </w:tcBorders>
            <w:vAlign w:val="center"/>
          </w:tcPr>
          <w:p w14:paraId="2154301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4.05</w:t>
            </w:r>
          </w:p>
        </w:tc>
        <w:tc>
          <w:tcPr>
            <w:tcW w:w="936" w:type="dxa"/>
            <w:tcBorders>
              <w:top w:val="single" w:color="000000" w:sz="10" w:space="0"/>
              <w:bottom w:val="single" w:color="000000" w:sz="10" w:space="0"/>
            </w:tcBorders>
            <w:vAlign w:val="center"/>
          </w:tcPr>
          <w:p w14:paraId="07371A3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0.77</w:t>
            </w:r>
          </w:p>
        </w:tc>
        <w:tc>
          <w:tcPr>
            <w:tcW w:w="1628" w:type="dxa"/>
            <w:tcBorders>
              <w:top w:val="single" w:color="000000" w:sz="10" w:space="0"/>
              <w:bottom w:val="single" w:color="000000" w:sz="10" w:space="0"/>
            </w:tcBorders>
            <w:vAlign w:val="center"/>
          </w:tcPr>
          <w:p w14:paraId="267AEF2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84.66</w:t>
            </w:r>
          </w:p>
        </w:tc>
      </w:tr>
      <w:tr w14:paraId="27D08A32">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3D5114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Q9_2</w:t>
            </w:r>
          </w:p>
        </w:tc>
        <w:tc>
          <w:tcPr>
            <w:tcW w:w="4968" w:type="dxa"/>
            <w:tcBorders>
              <w:top w:val="single" w:color="000000" w:sz="10" w:space="0"/>
              <w:bottom w:val="single" w:color="000000" w:sz="10" w:space="0"/>
            </w:tcBorders>
            <w:vAlign w:val="center"/>
          </w:tcPr>
          <w:p w14:paraId="6F8AFEC7">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在课堂上，我知道怎么通过提问、点拨，推动学生高阶思考</w:t>
            </w:r>
          </w:p>
        </w:tc>
        <w:tc>
          <w:tcPr>
            <w:tcW w:w="937" w:type="dxa"/>
            <w:tcBorders>
              <w:top w:val="single" w:color="000000" w:sz="10" w:space="0"/>
              <w:bottom w:val="single" w:color="000000" w:sz="10" w:space="0"/>
            </w:tcBorders>
            <w:vAlign w:val="center"/>
          </w:tcPr>
          <w:p w14:paraId="4978F7A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4.06</w:t>
            </w:r>
          </w:p>
        </w:tc>
        <w:tc>
          <w:tcPr>
            <w:tcW w:w="936" w:type="dxa"/>
            <w:tcBorders>
              <w:top w:val="single" w:color="000000" w:sz="10" w:space="0"/>
              <w:bottom w:val="single" w:color="000000" w:sz="10" w:space="0"/>
            </w:tcBorders>
            <w:vAlign w:val="center"/>
          </w:tcPr>
          <w:p w14:paraId="037A95A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0.76</w:t>
            </w:r>
          </w:p>
        </w:tc>
        <w:tc>
          <w:tcPr>
            <w:tcW w:w="1628" w:type="dxa"/>
            <w:tcBorders>
              <w:top w:val="single" w:color="000000" w:sz="10" w:space="0"/>
              <w:bottom w:val="single" w:color="000000" w:sz="10" w:space="0"/>
            </w:tcBorders>
            <w:vAlign w:val="center"/>
          </w:tcPr>
          <w:p w14:paraId="278AF4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85.89</w:t>
            </w:r>
          </w:p>
        </w:tc>
      </w:tr>
      <w:tr w14:paraId="7A4A5B73">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307B26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Q9_3</w:t>
            </w:r>
          </w:p>
        </w:tc>
        <w:tc>
          <w:tcPr>
            <w:tcW w:w="4968" w:type="dxa"/>
            <w:tcBorders>
              <w:top w:val="single" w:color="000000" w:sz="10" w:space="0"/>
              <w:bottom w:val="single" w:color="000000" w:sz="10" w:space="0"/>
            </w:tcBorders>
            <w:vAlign w:val="center"/>
          </w:tcPr>
          <w:p w14:paraId="6F5FF22B">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我能够观察识别学生有没有表现出质疑、分析、创新等高阶表现</w:t>
            </w:r>
          </w:p>
        </w:tc>
        <w:tc>
          <w:tcPr>
            <w:tcW w:w="937" w:type="dxa"/>
            <w:tcBorders>
              <w:top w:val="single" w:color="000000" w:sz="10" w:space="0"/>
              <w:bottom w:val="single" w:color="000000" w:sz="10" w:space="0"/>
            </w:tcBorders>
            <w:vAlign w:val="center"/>
          </w:tcPr>
          <w:p w14:paraId="120276F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4.16</w:t>
            </w:r>
          </w:p>
        </w:tc>
        <w:tc>
          <w:tcPr>
            <w:tcW w:w="936" w:type="dxa"/>
            <w:tcBorders>
              <w:top w:val="single" w:color="000000" w:sz="10" w:space="0"/>
              <w:bottom w:val="single" w:color="000000" w:sz="10" w:space="0"/>
            </w:tcBorders>
            <w:vAlign w:val="center"/>
          </w:tcPr>
          <w:p w14:paraId="64694AB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0.71</w:t>
            </w:r>
          </w:p>
        </w:tc>
        <w:tc>
          <w:tcPr>
            <w:tcW w:w="1628" w:type="dxa"/>
            <w:tcBorders>
              <w:top w:val="single" w:color="000000" w:sz="10" w:space="0"/>
              <w:bottom w:val="single" w:color="000000" w:sz="10" w:space="0"/>
            </w:tcBorders>
            <w:vAlign w:val="center"/>
          </w:tcPr>
          <w:p w14:paraId="14DFA8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92.02</w:t>
            </w:r>
          </w:p>
        </w:tc>
      </w:tr>
    </w:tbl>
    <w:p w14:paraId="5E306A4A">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教学自我效能维度均值为4.09。识别学生高阶表现均值4.16，符合比例92.02%；通过提问、点拨推动思考均值4.06；设计适合本班学生的高阶任务均值4.05，符合比例84.66%。教师对观察识别的自评略高于任务设计与现场引导。校本研修可围绕具体学情开展任务设计、问题链打磨和课堂片段研讨，增强教师将能力目标落实到学习过程的把握。</w:t>
      </w:r>
    </w:p>
    <w:p w14:paraId="7BBB57D8">
      <w:pPr>
        <w:keepNext/>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kern w:val="0"/>
          <w:sz w:val="24"/>
          <w:lang w:val="en-US" w:eastAsia="zh-CN"/>
        </w:rPr>
      </w:pPr>
      <w:r>
        <w:rPr>
          <w:rFonts w:hint="eastAsia" w:ascii="宋体" w:hAnsi="宋体" w:eastAsia="宋体" w:cs="宋体"/>
          <w:b w:val="0"/>
          <w:kern w:val="0"/>
          <w:sz w:val="24"/>
          <w:lang w:val="en-US" w:eastAsia="zh-CN"/>
        </w:rPr>
        <w:t>④现实阻碍</w:t>
      </w:r>
    </w:p>
    <w:p w14:paraId="3F0F2095">
      <w:pPr>
        <w:keepNext/>
        <w:pageBreakBefore w:val="0"/>
        <w:overflowPunct w:val="0"/>
        <w:bidi w:val="0"/>
        <w:spacing w:before="60" w:after="8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表3-20  现实阻碍维度题项统计</w:t>
      </w:r>
    </w:p>
    <w:tbl>
      <w:tblPr>
        <w:tblStyle w:val="12"/>
        <w:tblW w:w="9498" w:type="dxa"/>
        <w:jc w:val="center"/>
        <w:tblLayout w:type="fixed"/>
        <w:tblCellMar>
          <w:top w:w="65" w:type="dxa"/>
          <w:left w:w="65" w:type="dxa"/>
          <w:bottom w:w="65" w:type="dxa"/>
          <w:right w:w="65" w:type="dxa"/>
        </w:tblCellMar>
      </w:tblPr>
      <w:tblGrid>
        <w:gridCol w:w="935"/>
        <w:gridCol w:w="5757"/>
        <w:gridCol w:w="848"/>
        <w:gridCol w:w="884"/>
        <w:gridCol w:w="1074"/>
      </w:tblGrid>
      <w:tr w14:paraId="6D33B4B4">
        <w:tblPrEx>
          <w:tblCellMar>
            <w:top w:w="65" w:type="dxa"/>
            <w:left w:w="65" w:type="dxa"/>
            <w:bottom w:w="65" w:type="dxa"/>
            <w:right w:w="65" w:type="dxa"/>
          </w:tblCellMar>
        </w:tblPrEx>
        <w:trPr>
          <w:cantSplit/>
          <w:tblHeader/>
          <w:jc w:val="center"/>
        </w:trPr>
        <w:tc>
          <w:tcPr>
            <w:tcW w:w="935" w:type="dxa"/>
            <w:tcBorders>
              <w:top w:val="single" w:color="000000" w:sz="10" w:space="0"/>
              <w:bottom w:val="single" w:color="000000" w:sz="6" w:space="0"/>
            </w:tcBorders>
            <w:vAlign w:val="center"/>
          </w:tcPr>
          <w:p w14:paraId="51BB8CF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题号</w:t>
            </w:r>
          </w:p>
        </w:tc>
        <w:tc>
          <w:tcPr>
            <w:tcW w:w="5757" w:type="dxa"/>
            <w:tcBorders>
              <w:top w:val="single" w:color="000000" w:sz="10" w:space="0"/>
              <w:bottom w:val="single" w:color="000000" w:sz="6" w:space="0"/>
            </w:tcBorders>
            <w:vAlign w:val="center"/>
          </w:tcPr>
          <w:p w14:paraId="68D3F5C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题项内容</w:t>
            </w:r>
          </w:p>
        </w:tc>
        <w:tc>
          <w:tcPr>
            <w:tcW w:w="848" w:type="dxa"/>
            <w:tcBorders>
              <w:top w:val="single" w:color="000000" w:sz="10" w:space="0"/>
              <w:bottom w:val="single" w:color="000000" w:sz="6" w:space="0"/>
            </w:tcBorders>
            <w:vAlign w:val="center"/>
          </w:tcPr>
          <w:p w14:paraId="0279BB5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均值</w:t>
            </w:r>
          </w:p>
        </w:tc>
        <w:tc>
          <w:tcPr>
            <w:tcW w:w="884" w:type="dxa"/>
            <w:tcBorders>
              <w:top w:val="single" w:color="000000" w:sz="10" w:space="0"/>
              <w:bottom w:val="single" w:color="000000" w:sz="6" w:space="0"/>
            </w:tcBorders>
            <w:vAlign w:val="center"/>
          </w:tcPr>
          <w:p w14:paraId="0C98632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标准差</w:t>
            </w:r>
          </w:p>
        </w:tc>
        <w:tc>
          <w:tcPr>
            <w:tcW w:w="1074" w:type="dxa"/>
            <w:tcBorders>
              <w:top w:val="single" w:color="000000" w:sz="10" w:space="0"/>
              <w:bottom w:val="single" w:color="000000" w:sz="6" w:space="0"/>
            </w:tcBorders>
            <w:vAlign w:val="center"/>
          </w:tcPr>
          <w:p w14:paraId="04711F4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sz w:val="21"/>
                <w:szCs w:val="32"/>
              </w:rPr>
              <w:t>符合比例（%）</w:t>
            </w:r>
          </w:p>
        </w:tc>
      </w:tr>
      <w:tr w14:paraId="2CCA64F6">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7D4356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Q10_1</w:t>
            </w:r>
          </w:p>
        </w:tc>
        <w:tc>
          <w:tcPr>
            <w:tcW w:w="5757" w:type="dxa"/>
            <w:tcBorders>
              <w:top w:val="single" w:color="000000" w:sz="10" w:space="0"/>
              <w:bottom w:val="single" w:color="000000" w:sz="10" w:space="0"/>
            </w:tcBorders>
            <w:vAlign w:val="center"/>
          </w:tcPr>
          <w:p w14:paraId="604A656A">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教学课时紧、课本教学任务重，很难腾出时间开展高阶探究类活动</w:t>
            </w:r>
          </w:p>
        </w:tc>
        <w:tc>
          <w:tcPr>
            <w:tcW w:w="848" w:type="dxa"/>
            <w:tcBorders>
              <w:top w:val="single" w:color="000000" w:sz="10" w:space="0"/>
              <w:bottom w:val="single" w:color="000000" w:sz="10" w:space="0"/>
            </w:tcBorders>
            <w:vAlign w:val="center"/>
          </w:tcPr>
          <w:p w14:paraId="4EF6AF1D">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3.74</w:t>
            </w:r>
          </w:p>
        </w:tc>
        <w:tc>
          <w:tcPr>
            <w:tcW w:w="884" w:type="dxa"/>
            <w:tcBorders>
              <w:top w:val="single" w:color="000000" w:sz="10" w:space="0"/>
              <w:bottom w:val="single" w:color="000000" w:sz="10" w:space="0"/>
            </w:tcBorders>
            <w:vAlign w:val="center"/>
          </w:tcPr>
          <w:p w14:paraId="422FB60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1.06</w:t>
            </w:r>
          </w:p>
        </w:tc>
        <w:tc>
          <w:tcPr>
            <w:tcW w:w="1074" w:type="dxa"/>
            <w:tcBorders>
              <w:top w:val="single" w:color="000000" w:sz="10" w:space="0"/>
              <w:bottom w:val="single" w:color="000000" w:sz="10" w:space="0"/>
            </w:tcBorders>
            <w:vAlign w:val="center"/>
          </w:tcPr>
          <w:p w14:paraId="0185046B">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70.55</w:t>
            </w:r>
          </w:p>
        </w:tc>
      </w:tr>
      <w:tr w14:paraId="70E56691">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7B74B327">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Q10_2</w:t>
            </w:r>
          </w:p>
        </w:tc>
        <w:tc>
          <w:tcPr>
            <w:tcW w:w="5757" w:type="dxa"/>
            <w:tcBorders>
              <w:top w:val="single" w:color="000000" w:sz="10" w:space="0"/>
              <w:bottom w:val="single" w:color="000000" w:sz="10" w:space="0"/>
            </w:tcBorders>
            <w:vAlign w:val="center"/>
          </w:tcPr>
          <w:p w14:paraId="6C848398">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考试评价导向，会让我不敢过多投入高阶能力相关教学</w:t>
            </w:r>
          </w:p>
        </w:tc>
        <w:tc>
          <w:tcPr>
            <w:tcW w:w="848" w:type="dxa"/>
            <w:tcBorders>
              <w:top w:val="single" w:color="000000" w:sz="10" w:space="0"/>
              <w:bottom w:val="single" w:color="000000" w:sz="10" w:space="0"/>
            </w:tcBorders>
            <w:vAlign w:val="center"/>
          </w:tcPr>
          <w:p w14:paraId="25BF3E14">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3.48</w:t>
            </w:r>
          </w:p>
        </w:tc>
        <w:tc>
          <w:tcPr>
            <w:tcW w:w="884" w:type="dxa"/>
            <w:tcBorders>
              <w:top w:val="single" w:color="000000" w:sz="10" w:space="0"/>
              <w:bottom w:val="single" w:color="000000" w:sz="10" w:space="0"/>
            </w:tcBorders>
            <w:vAlign w:val="center"/>
          </w:tcPr>
          <w:p w14:paraId="6B6AD31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1.17</w:t>
            </w:r>
          </w:p>
        </w:tc>
        <w:tc>
          <w:tcPr>
            <w:tcW w:w="1074" w:type="dxa"/>
            <w:tcBorders>
              <w:top w:val="single" w:color="000000" w:sz="10" w:space="0"/>
              <w:bottom w:val="single" w:color="000000" w:sz="10" w:space="0"/>
            </w:tcBorders>
            <w:vAlign w:val="center"/>
          </w:tcPr>
          <w:p w14:paraId="47F8763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60.74</w:t>
            </w:r>
          </w:p>
        </w:tc>
      </w:tr>
      <w:tr w14:paraId="49EC7CA7">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43DFA03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Q10_3</w:t>
            </w:r>
          </w:p>
        </w:tc>
        <w:tc>
          <w:tcPr>
            <w:tcW w:w="5757" w:type="dxa"/>
            <w:tcBorders>
              <w:top w:val="single" w:color="000000" w:sz="10" w:space="0"/>
              <w:bottom w:val="single" w:color="000000" w:sz="10" w:space="0"/>
            </w:tcBorders>
            <w:vAlign w:val="center"/>
          </w:tcPr>
          <w:p w14:paraId="5B98DC95">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缺少现成可用的教学设计、课例素材，不知道具体怎么落地</w:t>
            </w:r>
          </w:p>
        </w:tc>
        <w:tc>
          <w:tcPr>
            <w:tcW w:w="848" w:type="dxa"/>
            <w:tcBorders>
              <w:top w:val="single" w:color="000000" w:sz="10" w:space="0"/>
              <w:bottom w:val="single" w:color="000000" w:sz="10" w:space="0"/>
            </w:tcBorders>
            <w:vAlign w:val="center"/>
          </w:tcPr>
          <w:p w14:paraId="1679DE0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3.63</w:t>
            </w:r>
          </w:p>
        </w:tc>
        <w:tc>
          <w:tcPr>
            <w:tcW w:w="884" w:type="dxa"/>
            <w:tcBorders>
              <w:top w:val="single" w:color="000000" w:sz="10" w:space="0"/>
              <w:bottom w:val="single" w:color="000000" w:sz="10" w:space="0"/>
            </w:tcBorders>
            <w:vAlign w:val="center"/>
          </w:tcPr>
          <w:p w14:paraId="098B8573">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1.09</w:t>
            </w:r>
          </w:p>
        </w:tc>
        <w:tc>
          <w:tcPr>
            <w:tcW w:w="1074" w:type="dxa"/>
            <w:tcBorders>
              <w:top w:val="single" w:color="000000" w:sz="10" w:space="0"/>
              <w:bottom w:val="single" w:color="000000" w:sz="10" w:space="0"/>
            </w:tcBorders>
            <w:vAlign w:val="center"/>
          </w:tcPr>
          <w:p w14:paraId="46BACF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69.94</w:t>
            </w:r>
          </w:p>
        </w:tc>
      </w:tr>
      <w:tr w14:paraId="76FCB59C">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7C7B3C71">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Q10_4</w:t>
            </w:r>
          </w:p>
        </w:tc>
        <w:tc>
          <w:tcPr>
            <w:tcW w:w="5757" w:type="dxa"/>
            <w:tcBorders>
              <w:top w:val="single" w:color="000000" w:sz="10" w:space="0"/>
              <w:bottom w:val="single" w:color="000000" w:sz="10" w:space="0"/>
            </w:tcBorders>
            <w:vAlign w:val="center"/>
          </w:tcPr>
          <w:p w14:paraId="7C57B7C6">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班级学生基础参差不齐，部分学生跟不上探究类高阶任务</w:t>
            </w:r>
          </w:p>
        </w:tc>
        <w:tc>
          <w:tcPr>
            <w:tcW w:w="848" w:type="dxa"/>
            <w:tcBorders>
              <w:top w:val="single" w:color="000000" w:sz="10" w:space="0"/>
              <w:bottom w:val="single" w:color="000000" w:sz="10" w:space="0"/>
            </w:tcBorders>
            <w:vAlign w:val="center"/>
          </w:tcPr>
          <w:p w14:paraId="0922864A">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3.93</w:t>
            </w:r>
          </w:p>
        </w:tc>
        <w:tc>
          <w:tcPr>
            <w:tcW w:w="884" w:type="dxa"/>
            <w:tcBorders>
              <w:top w:val="single" w:color="000000" w:sz="10" w:space="0"/>
              <w:bottom w:val="single" w:color="000000" w:sz="10" w:space="0"/>
            </w:tcBorders>
            <w:vAlign w:val="center"/>
          </w:tcPr>
          <w:p w14:paraId="3DBB419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0.98</w:t>
            </w:r>
          </w:p>
        </w:tc>
        <w:tc>
          <w:tcPr>
            <w:tcW w:w="1074" w:type="dxa"/>
            <w:tcBorders>
              <w:top w:val="single" w:color="000000" w:sz="10" w:space="0"/>
              <w:bottom w:val="single" w:color="000000" w:sz="10" w:space="0"/>
            </w:tcBorders>
            <w:vAlign w:val="center"/>
          </w:tcPr>
          <w:p w14:paraId="7974CE5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81.60</w:t>
            </w:r>
          </w:p>
        </w:tc>
      </w:tr>
      <w:tr w14:paraId="7019A7A7">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229A586">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Q10_5</w:t>
            </w:r>
          </w:p>
        </w:tc>
        <w:tc>
          <w:tcPr>
            <w:tcW w:w="5757" w:type="dxa"/>
            <w:tcBorders>
              <w:top w:val="single" w:color="000000" w:sz="10" w:space="0"/>
              <w:bottom w:val="single" w:color="000000" w:sz="10" w:space="0"/>
            </w:tcBorders>
            <w:vAlign w:val="center"/>
          </w:tcPr>
          <w:p w14:paraId="51DF4CE3">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学校教研培训中，关于高阶能力落地的实操指导比较少</w:t>
            </w:r>
          </w:p>
        </w:tc>
        <w:tc>
          <w:tcPr>
            <w:tcW w:w="848" w:type="dxa"/>
            <w:tcBorders>
              <w:top w:val="single" w:color="000000" w:sz="10" w:space="0"/>
              <w:bottom w:val="single" w:color="000000" w:sz="10" w:space="0"/>
            </w:tcBorders>
            <w:vAlign w:val="center"/>
          </w:tcPr>
          <w:p w14:paraId="1A949C98">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3.44</w:t>
            </w:r>
          </w:p>
        </w:tc>
        <w:tc>
          <w:tcPr>
            <w:tcW w:w="884" w:type="dxa"/>
            <w:tcBorders>
              <w:top w:val="single" w:color="000000" w:sz="10" w:space="0"/>
              <w:bottom w:val="single" w:color="000000" w:sz="10" w:space="0"/>
            </w:tcBorders>
            <w:vAlign w:val="center"/>
          </w:tcPr>
          <w:p w14:paraId="76253BBC">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1.17</w:t>
            </w:r>
          </w:p>
        </w:tc>
        <w:tc>
          <w:tcPr>
            <w:tcW w:w="1074" w:type="dxa"/>
            <w:tcBorders>
              <w:top w:val="single" w:color="000000" w:sz="10" w:space="0"/>
              <w:bottom w:val="single" w:color="000000" w:sz="10" w:space="0"/>
            </w:tcBorders>
            <w:vAlign w:val="center"/>
          </w:tcPr>
          <w:p w14:paraId="65BB2A49">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60.12</w:t>
            </w:r>
          </w:p>
        </w:tc>
      </w:tr>
      <w:tr w14:paraId="640D7225">
        <w:tblPrEx>
          <w:tblCellMar>
            <w:top w:w="65" w:type="dxa"/>
            <w:left w:w="65" w:type="dxa"/>
            <w:bottom w:w="65" w:type="dxa"/>
            <w:right w:w="65" w:type="dxa"/>
          </w:tblCellMar>
        </w:tblPrEx>
        <w:trPr>
          <w:cantSplit/>
          <w:jc w:val="center"/>
        </w:trPr>
        <w:tc>
          <w:tcPr>
            <w:tcW w:w="935" w:type="dxa"/>
            <w:tcBorders>
              <w:top w:val="single" w:color="000000" w:sz="10" w:space="0"/>
              <w:bottom w:val="single" w:color="000000" w:sz="10" w:space="0"/>
            </w:tcBorders>
            <w:vAlign w:val="center"/>
          </w:tcPr>
          <w:p w14:paraId="5855B1E5">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Q10_6</w:t>
            </w:r>
          </w:p>
        </w:tc>
        <w:tc>
          <w:tcPr>
            <w:tcW w:w="5757" w:type="dxa"/>
            <w:tcBorders>
              <w:top w:val="single" w:color="000000" w:sz="10" w:space="0"/>
              <w:bottom w:val="single" w:color="000000" w:sz="10" w:space="0"/>
            </w:tcBorders>
            <w:vAlign w:val="center"/>
          </w:tcPr>
          <w:p w14:paraId="6D69622C">
            <w:pPr>
              <w:overflowPunct w:val="0"/>
              <w:bidi w:val="0"/>
              <w:spacing w:before="0" w:after="0" w:line="240" w:lineRule="auto"/>
              <w:ind w:firstLineChars="200"/>
              <w:jc w:val="left"/>
              <w:textAlignment w:val="auto"/>
              <w:rPr>
                <w:rFonts w:hint="eastAsia" w:ascii="宋体" w:hAnsi="宋体" w:eastAsia="宋体" w:cs="宋体"/>
                <w:sz w:val="24"/>
                <w:szCs w:val="32"/>
              </w:rPr>
            </w:pPr>
            <w:r>
              <w:rPr>
                <w:rFonts w:hint="eastAsia" w:ascii="宋体" w:hAnsi="宋体" w:eastAsia="宋体" w:cs="宋体"/>
                <w:b w:val="0"/>
                <w:sz w:val="21"/>
                <w:szCs w:val="32"/>
              </w:rPr>
              <w:t>高阶课堂组织管理难度大，容易出现课堂秩序不好把控的情况</w:t>
            </w:r>
          </w:p>
        </w:tc>
        <w:tc>
          <w:tcPr>
            <w:tcW w:w="848" w:type="dxa"/>
            <w:tcBorders>
              <w:top w:val="single" w:color="000000" w:sz="10" w:space="0"/>
              <w:bottom w:val="single" w:color="000000" w:sz="10" w:space="0"/>
            </w:tcBorders>
            <w:vAlign w:val="center"/>
          </w:tcPr>
          <w:p w14:paraId="7DEA1F60">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3.62</w:t>
            </w:r>
          </w:p>
        </w:tc>
        <w:tc>
          <w:tcPr>
            <w:tcW w:w="884" w:type="dxa"/>
            <w:tcBorders>
              <w:top w:val="single" w:color="000000" w:sz="10" w:space="0"/>
              <w:bottom w:val="single" w:color="000000" w:sz="10" w:space="0"/>
            </w:tcBorders>
            <w:vAlign w:val="center"/>
          </w:tcPr>
          <w:p w14:paraId="449AC0CE">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1.15</w:t>
            </w:r>
          </w:p>
        </w:tc>
        <w:tc>
          <w:tcPr>
            <w:tcW w:w="1074" w:type="dxa"/>
            <w:tcBorders>
              <w:top w:val="single" w:color="000000" w:sz="10" w:space="0"/>
              <w:bottom w:val="single" w:color="000000" w:sz="10" w:space="0"/>
            </w:tcBorders>
            <w:vAlign w:val="center"/>
          </w:tcPr>
          <w:p w14:paraId="2FCCFA62">
            <w:pPr>
              <w:overflowPunct w:val="0"/>
              <w:bidi w:val="0"/>
              <w:spacing w:before="0" w:after="0" w:line="240" w:lineRule="auto"/>
              <w:ind w:firstLineChars="200"/>
              <w:jc w:val="center"/>
              <w:textAlignment w:val="auto"/>
              <w:rPr>
                <w:rFonts w:hint="eastAsia" w:ascii="宋体" w:hAnsi="宋体" w:eastAsia="宋体" w:cs="宋体"/>
                <w:sz w:val="24"/>
                <w:szCs w:val="32"/>
              </w:rPr>
            </w:pPr>
            <w:r>
              <w:rPr>
                <w:rFonts w:hint="eastAsia" w:ascii="宋体" w:hAnsi="宋体" w:eastAsia="宋体" w:cs="宋体"/>
                <w:b w:val="0"/>
                <w:sz w:val="21"/>
                <w:szCs w:val="32"/>
              </w:rPr>
              <w:t>67.48</w:t>
            </w:r>
          </w:p>
        </w:tc>
      </w:tr>
    </w:tbl>
    <w:p w14:paraId="1FB67A2F">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现实阻碍维度均值为3.64。学生基础差异导致部分学生难以跟上探究任务的均值最高，为3.93，符合比例81.60%；课时紧、任务重均值3.74，符合比例70.55%。缺少可用课例素材与课堂组织困难均值分别为3.63和3.62。教师的困难</w:t>
      </w:r>
      <w:r>
        <w:rPr>
          <w:rFonts w:hint="eastAsia" w:ascii="宋体" w:hAnsi="宋体" w:eastAsia="宋体" w:cs="宋体"/>
          <w:b w:val="0"/>
          <w:kern w:val="0"/>
          <w:sz w:val="24"/>
          <w:lang w:val="en-US" w:eastAsia="zh-CN"/>
        </w:rPr>
        <w:t>主要</w:t>
      </w:r>
      <w:r>
        <w:rPr>
          <w:rFonts w:hint="eastAsia" w:ascii="宋体" w:hAnsi="宋体" w:eastAsia="宋体" w:cs="宋体"/>
          <w:b w:val="0"/>
          <w:kern w:val="0"/>
          <w:sz w:val="24"/>
        </w:rPr>
        <w:t>集中</w:t>
      </w:r>
      <w:r>
        <w:rPr>
          <w:rFonts w:hint="eastAsia" w:ascii="宋体" w:hAnsi="宋体" w:eastAsia="宋体" w:cs="宋体"/>
          <w:b w:val="0"/>
          <w:kern w:val="0"/>
          <w:sz w:val="24"/>
          <w:lang w:val="en-US" w:eastAsia="zh-CN"/>
        </w:rPr>
        <w:t>在</w:t>
      </w:r>
      <w:r>
        <w:rPr>
          <w:rFonts w:hint="eastAsia" w:ascii="宋体" w:hAnsi="宋体" w:eastAsia="宋体" w:cs="宋体"/>
          <w:b w:val="0"/>
          <w:kern w:val="0"/>
          <w:sz w:val="24"/>
        </w:rPr>
        <w:t>兼顾不同学生、安排探究时间与组织实施</w:t>
      </w:r>
      <w:r>
        <w:rPr>
          <w:rFonts w:hint="eastAsia" w:ascii="宋体" w:hAnsi="宋体" w:eastAsia="宋体" w:cs="宋体"/>
          <w:b w:val="0"/>
          <w:kern w:val="0"/>
          <w:sz w:val="24"/>
          <w:lang w:val="en-US" w:eastAsia="zh-CN"/>
        </w:rPr>
        <w:t>上</w:t>
      </w:r>
      <w:r>
        <w:rPr>
          <w:rFonts w:hint="eastAsia" w:ascii="宋体" w:hAnsi="宋体" w:eastAsia="宋体" w:cs="宋体"/>
          <w:b w:val="0"/>
          <w:kern w:val="0"/>
          <w:sz w:val="24"/>
        </w:rPr>
        <w:t>。后续实践应加强任务</w:t>
      </w:r>
      <w:r>
        <w:rPr>
          <w:rFonts w:hint="eastAsia" w:ascii="宋体" w:hAnsi="宋体" w:eastAsia="宋体" w:cs="宋体"/>
          <w:b w:val="0"/>
          <w:kern w:val="0"/>
          <w:sz w:val="24"/>
          <w:lang w:val="en-US" w:eastAsia="zh-CN"/>
        </w:rPr>
        <w:t>分层</w:t>
      </w:r>
      <w:r>
        <w:rPr>
          <w:rFonts w:hint="eastAsia" w:ascii="宋体" w:hAnsi="宋体" w:eastAsia="宋体" w:cs="宋体"/>
          <w:b w:val="0"/>
          <w:kern w:val="0"/>
          <w:sz w:val="24"/>
        </w:rPr>
        <w:t>、</w:t>
      </w:r>
      <w:r>
        <w:rPr>
          <w:rFonts w:hint="eastAsia" w:ascii="宋体" w:hAnsi="宋体" w:eastAsia="宋体" w:cs="宋体"/>
          <w:b w:val="0"/>
          <w:kern w:val="0"/>
          <w:sz w:val="24"/>
          <w:lang w:val="en-US" w:eastAsia="zh-CN"/>
        </w:rPr>
        <w:t>适时提供学习</w:t>
      </w:r>
      <w:r>
        <w:rPr>
          <w:rFonts w:hint="eastAsia" w:ascii="宋体" w:hAnsi="宋体" w:eastAsia="宋体" w:cs="宋体"/>
          <w:b w:val="0"/>
          <w:kern w:val="0"/>
          <w:sz w:val="24"/>
        </w:rPr>
        <w:t>支架和</w:t>
      </w:r>
      <w:r>
        <w:rPr>
          <w:rFonts w:hint="eastAsia" w:ascii="宋体" w:hAnsi="宋体" w:eastAsia="宋体" w:cs="宋体"/>
          <w:b w:val="0"/>
          <w:kern w:val="0"/>
          <w:sz w:val="24"/>
          <w:lang w:val="en-US" w:eastAsia="zh-CN"/>
        </w:rPr>
        <w:t>反馈</w:t>
      </w:r>
      <w:r>
        <w:rPr>
          <w:rFonts w:hint="eastAsia" w:ascii="宋体" w:hAnsi="宋体" w:eastAsia="宋体" w:cs="宋体"/>
          <w:b w:val="0"/>
          <w:kern w:val="0"/>
          <w:sz w:val="24"/>
        </w:rPr>
        <w:t>支持，避免</w:t>
      </w:r>
      <w:r>
        <w:rPr>
          <w:rFonts w:hint="eastAsia" w:ascii="宋体" w:hAnsi="宋体" w:eastAsia="宋体" w:cs="宋体"/>
          <w:b w:val="0"/>
          <w:kern w:val="0"/>
          <w:sz w:val="24"/>
          <w:lang w:val="en-US" w:eastAsia="zh-CN"/>
        </w:rPr>
        <w:t>一刀切</w:t>
      </w:r>
      <w:r>
        <w:rPr>
          <w:rFonts w:hint="eastAsia" w:ascii="宋体" w:hAnsi="宋体" w:eastAsia="宋体" w:cs="宋体"/>
          <w:b w:val="0"/>
          <w:kern w:val="0"/>
          <w:sz w:val="24"/>
        </w:rPr>
        <w:t>。</w:t>
      </w:r>
    </w:p>
    <w:p w14:paraId="64FDE8DA">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kern w:val="0"/>
          <w:sz w:val="24"/>
        </w:rPr>
        <w:t>支持需求多选题中，</w:t>
      </w:r>
      <w:r>
        <w:rPr>
          <w:rFonts w:hint="eastAsia" w:ascii="宋体" w:hAnsi="宋体" w:eastAsia="宋体" w:cs="宋体"/>
          <w:b w:val="0"/>
          <w:kern w:val="0"/>
          <w:sz w:val="24"/>
          <w:lang w:val="en-US" w:eastAsia="zh-CN"/>
        </w:rPr>
        <w:t>对</w:t>
      </w:r>
      <w:r>
        <w:rPr>
          <w:rFonts w:hint="eastAsia" w:ascii="宋体" w:hAnsi="宋体" w:eastAsia="宋体" w:cs="宋体"/>
          <w:b w:val="0"/>
          <w:kern w:val="0"/>
          <w:sz w:val="24"/>
        </w:rPr>
        <w:t>实操培训与教研研讨</w:t>
      </w:r>
      <w:r>
        <w:rPr>
          <w:rFonts w:hint="eastAsia" w:ascii="宋体" w:hAnsi="宋体" w:eastAsia="宋体" w:cs="宋体"/>
          <w:b w:val="0"/>
          <w:kern w:val="0"/>
          <w:sz w:val="24"/>
          <w:lang w:val="en-US" w:eastAsia="zh-CN"/>
        </w:rPr>
        <w:t>有需求的</w:t>
      </w:r>
      <w:r>
        <w:rPr>
          <w:rFonts w:hint="eastAsia" w:ascii="宋体" w:hAnsi="宋体" w:eastAsia="宋体" w:cs="宋体"/>
          <w:b w:val="0"/>
          <w:kern w:val="0"/>
          <w:sz w:val="24"/>
        </w:rPr>
        <w:t>有120人，占73.62%；</w:t>
      </w:r>
      <w:r>
        <w:rPr>
          <w:rFonts w:hint="eastAsia" w:ascii="宋体" w:hAnsi="宋体" w:eastAsia="宋体" w:cs="宋体"/>
          <w:b w:val="0"/>
          <w:kern w:val="0"/>
          <w:sz w:val="24"/>
          <w:lang w:val="en-US" w:eastAsia="zh-CN"/>
        </w:rPr>
        <w:t>对</w:t>
      </w:r>
      <w:r>
        <w:rPr>
          <w:rFonts w:hint="eastAsia" w:ascii="宋体" w:hAnsi="宋体" w:eastAsia="宋体" w:cs="宋体"/>
          <w:b w:val="0"/>
          <w:kern w:val="0"/>
          <w:sz w:val="24"/>
        </w:rPr>
        <w:t>教案、实录与优秀课例资源有</w:t>
      </w:r>
      <w:r>
        <w:rPr>
          <w:rFonts w:hint="eastAsia" w:ascii="宋体" w:hAnsi="宋体" w:eastAsia="宋体" w:cs="宋体"/>
          <w:b w:val="0"/>
          <w:kern w:val="0"/>
          <w:sz w:val="24"/>
          <w:lang w:val="en-US" w:eastAsia="zh-CN"/>
        </w:rPr>
        <w:t>需求的有</w:t>
      </w:r>
      <w:r>
        <w:rPr>
          <w:rFonts w:hint="eastAsia" w:ascii="宋体" w:hAnsi="宋体" w:eastAsia="宋体" w:cs="宋体"/>
          <w:b w:val="0"/>
          <w:kern w:val="0"/>
          <w:sz w:val="24"/>
        </w:rPr>
        <w:t>118人，占72.39%；</w:t>
      </w:r>
      <w:r>
        <w:rPr>
          <w:rFonts w:hint="eastAsia" w:ascii="宋体" w:hAnsi="宋体" w:eastAsia="宋体" w:cs="宋体"/>
          <w:b w:val="0"/>
          <w:kern w:val="0"/>
          <w:sz w:val="24"/>
          <w:lang w:val="en-US" w:eastAsia="zh-CN"/>
        </w:rPr>
        <w:t>同时，有93人呼吁</w:t>
      </w:r>
      <w:r>
        <w:rPr>
          <w:rFonts w:hint="eastAsia" w:ascii="宋体" w:hAnsi="宋体" w:eastAsia="宋体" w:cs="宋体"/>
          <w:b w:val="0"/>
          <w:kern w:val="0"/>
          <w:sz w:val="24"/>
        </w:rPr>
        <w:t>减轻课时压力与优化作业评价，占57.06%。教师的需求较集中地指向可用于课堂的专业支持，与任务设计、课时安排及学情适配方面的困难相呼应。</w:t>
      </w:r>
      <w:r>
        <w:rPr>
          <w:rFonts w:hint="eastAsia" w:ascii="宋体" w:hAnsi="宋体" w:eastAsia="宋体" w:cs="宋体"/>
          <w:b w:val="0"/>
          <w:kern w:val="0"/>
          <w:sz w:val="24"/>
        </w:rPr>
        <w:br w:type="textWrapping"/>
      </w:r>
      <w:r>
        <w:rPr>
          <w:rFonts w:hint="eastAsia" w:ascii="宋体" w:hAnsi="宋体" w:eastAsia="宋体" w:cs="宋体"/>
          <w:b w:val="0"/>
          <w:color w:val="C00000"/>
          <w:kern w:val="0"/>
          <w:sz w:val="24"/>
          <w:lang w:val="en-US" w:eastAsia="zh-CN"/>
        </w:rPr>
        <w:t>3）开放性问题的质性分析</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调查</w:t>
      </w:r>
      <w:r>
        <w:rPr>
          <w:rFonts w:hint="eastAsia" w:ascii="宋体" w:hAnsi="宋体" w:eastAsia="宋体" w:cs="宋体"/>
          <w:b w:val="0"/>
          <w:color w:val="C00000"/>
          <w:kern w:val="0"/>
          <w:sz w:val="24"/>
        </w:rPr>
        <w:t>显示，</w:t>
      </w:r>
      <w:r>
        <w:rPr>
          <w:rFonts w:hint="eastAsia" w:ascii="宋体" w:hAnsi="宋体" w:eastAsia="宋体" w:cs="宋体"/>
          <w:b w:val="0"/>
          <w:color w:val="C00000"/>
          <w:kern w:val="0"/>
          <w:sz w:val="24"/>
          <w:lang w:val="en-US" w:eastAsia="zh-CN"/>
        </w:rPr>
        <w:t>教师</w:t>
      </w:r>
      <w:r>
        <w:rPr>
          <w:rFonts w:hint="eastAsia" w:ascii="宋体" w:hAnsi="宋体" w:eastAsia="宋体" w:cs="宋体"/>
          <w:b w:val="0"/>
          <w:color w:val="C00000"/>
          <w:kern w:val="0"/>
          <w:sz w:val="24"/>
        </w:rPr>
        <w:t>对在中学课堂开展高阶能力培育总体持肯定态度，认为其必要且重要，关系课堂深度与广度、学科核心素养落地、中考改革方向以及终身学习能力形成。同时，担忧集中在应试压力、课时紧张、学情差异、评价方式与教师实操能力等方面。建议以稳妥试点、分层推进、系统支持为基本思路。</w:t>
      </w:r>
    </w:p>
    <w:p w14:paraId="76E326DB">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color w:val="C00000"/>
          <w:kern w:val="0"/>
          <w:sz w:val="24"/>
        </w:rPr>
      </w:pPr>
      <w:r>
        <w:rPr>
          <w:rFonts w:hint="eastAsia" w:ascii="宋体" w:hAnsi="宋体" w:eastAsia="宋体" w:cs="宋体"/>
          <w:b w:val="0"/>
          <w:color w:val="C00000"/>
          <w:kern w:val="0"/>
          <w:sz w:val="24"/>
          <w:lang w:val="en-US" w:eastAsia="zh-CN"/>
        </w:rPr>
        <w:t>①主要观点与建议</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一是价值认同。高阶能力培养与中考改革、初高中衔接、为国育才方向一致，不仅不与应试目标冲突，反而有助于深度学习与核心素养落实。</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二是实施路径。可先在部分课例、拓展课、社团课中尝试，逐步推进；日常教学中也应设计问题链和探究思辨活动；小班教学更利于开展；需要统筹课时，减轻师生课业负担，为思维训练留出时间。</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三是分层与学情。根据学生差异设计不同梯度问题，兼顾基础落实与思维提升，关注后进生如何跟上课堂思维节奏，避免只面向少数学生。</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四是教学方式。强调真实情境、项目式学习、多学科融合、大思政、德育美育等载体，搭建探究、思辨类活动，促进高阶思维训练。</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五是教师支持。希望获得专题培训、具体指导、优秀案例、数字化工具、可落地课程大纲和学科团队共进，推动从理念灌输转向实训与教学设计能力提升。</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六是评价改革。现有纸笔测试难以有效衡量高阶能力，课堂评价偏主观，需要调整考核方式，探索更客观、多元的评价标准。</w:t>
      </w:r>
    </w:p>
    <w:p w14:paraId="238C6A2F">
      <w:pPr>
        <w:pageBreakBefore w:val="0"/>
        <w:overflowPunct w:val="0"/>
        <w:bidi w:val="0"/>
        <w:snapToGrid w:val="0"/>
        <w:spacing w:before="0" w:after="0" w:line="360" w:lineRule="auto"/>
        <w:ind w:firstLine="480" w:firstLineChars="200"/>
        <w:jc w:val="both"/>
        <w:textAlignment w:val="auto"/>
        <w:outlineLvl w:val="5"/>
        <w:rPr>
          <w:rFonts w:hint="eastAsia" w:ascii="宋体" w:hAnsi="宋体" w:eastAsia="宋体" w:cs="宋体"/>
          <w:b/>
          <w:color w:val="C00000"/>
          <w:kern w:val="0"/>
          <w:sz w:val="24"/>
          <w:lang w:val="en-US" w:eastAsia="zh-CN"/>
        </w:rPr>
      </w:pPr>
      <w:r>
        <w:rPr>
          <w:rFonts w:hint="eastAsia" w:ascii="宋体" w:hAnsi="宋体" w:eastAsia="宋体" w:cs="宋体"/>
          <w:b w:val="0"/>
          <w:color w:val="C00000"/>
          <w:kern w:val="0"/>
          <w:sz w:val="24"/>
          <w:lang w:val="en-US" w:eastAsia="zh-CN"/>
        </w:rPr>
        <w:t>②主要顾虑与挑战</w:t>
      </w:r>
    </w:p>
    <w:p w14:paraId="359B51B0">
      <w:pPr>
        <w:pageBreakBefore w:val="0"/>
        <w:overflowPunct w:val="0"/>
        <w:bidi w:val="0"/>
        <w:snapToGrid w:val="0"/>
        <w:spacing w:before="0" w:after="0" w:line="360" w:lineRule="auto"/>
        <w:ind w:firstLineChars="200"/>
        <w:jc w:val="both"/>
        <w:textAlignment w:val="auto"/>
        <w:rPr>
          <w:rFonts w:hint="eastAsia" w:ascii="宋体" w:hAnsi="宋体" w:eastAsia="宋体" w:cs="宋体"/>
          <w:color w:val="C00000"/>
          <w:kern w:val="0"/>
          <w:sz w:val="24"/>
        </w:rPr>
      </w:pPr>
      <w:r>
        <w:rPr>
          <w:rFonts w:hint="eastAsia" w:ascii="宋体" w:hAnsi="宋体" w:eastAsia="宋体" w:cs="宋体"/>
          <w:b w:val="0"/>
          <w:color w:val="C00000"/>
          <w:kern w:val="0"/>
          <w:sz w:val="24"/>
        </w:rPr>
        <w:t>一是应试考核与高阶培养存在张力。纸笔测试仍占主导，高阶思维依赖真实情境、多学科融合和开放答案，耗时耗力，教师担心影响应试安排并难以获得家长支持。</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二是课时与进度压力突出。教学任务多、进度紧、成绩压力大，常规课堂难以安排充足时间开展深度学习。</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三是学生差异大。学生水平参差不齐，高阶任务可能脱离学情，课堂把控和纪律管理难度增加，全体兼顾困难。</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lang w:val="en-US" w:eastAsia="zh-CN"/>
        </w:rPr>
        <w:t xml:space="preserve">    </w:t>
      </w:r>
      <w:r>
        <w:rPr>
          <w:rFonts w:hint="eastAsia" w:ascii="宋体" w:hAnsi="宋体" w:eastAsia="宋体" w:cs="宋体"/>
          <w:b w:val="0"/>
          <w:color w:val="C00000"/>
          <w:kern w:val="0"/>
          <w:sz w:val="24"/>
        </w:rPr>
        <w:t>四是评价与测量困难。如何判断一节课是否真正培养高阶能力，目前方式较主观或传统，缺乏明确标准。</w:t>
      </w:r>
      <w:r>
        <w:rPr>
          <w:rFonts w:hint="eastAsia" w:ascii="宋体" w:hAnsi="宋体" w:eastAsia="宋体" w:cs="宋体"/>
          <w:b w:val="0"/>
          <w:color w:val="C00000"/>
          <w:kern w:val="0"/>
          <w:sz w:val="24"/>
        </w:rPr>
        <w:br w:type="textWrapping"/>
      </w:r>
      <w:r>
        <w:rPr>
          <w:rFonts w:hint="eastAsia" w:ascii="宋体" w:hAnsi="宋体" w:eastAsia="宋体" w:cs="宋体"/>
          <w:b w:val="0"/>
          <w:color w:val="C00000"/>
          <w:kern w:val="0"/>
          <w:sz w:val="24"/>
        </w:rPr>
        <w:t>五是保障不足。需要明文保障、课时统筹、家长理解与系统培训，否则难以持续落实。</w:t>
      </w:r>
    </w:p>
    <w:p w14:paraId="46854649">
      <w:pPr>
        <w:pageBreakBefore w:val="0"/>
        <w:overflowPunct w:val="0"/>
        <w:bidi w:val="0"/>
        <w:spacing w:line="360" w:lineRule="auto"/>
        <w:ind w:firstLineChars="200"/>
        <w:jc w:val="center"/>
        <w:textAlignment w:val="auto"/>
        <w:rPr>
          <w:rFonts w:hint="eastAsia" w:ascii="宋体" w:hAnsi="宋体" w:eastAsia="宋体" w:cs="宋体"/>
          <w:lang w:val="en-US" w:eastAsia="zh-CN"/>
        </w:rPr>
      </w:pPr>
      <w:r>
        <w:rPr>
          <w:rFonts w:hint="eastAsia" w:ascii="宋体" w:hAnsi="宋体" w:eastAsia="宋体" w:cs="宋体"/>
          <w:lang w:val="en-US" w:eastAsia="zh-CN"/>
        </w:rPr>
        <w:br w:type="textWrapping"/>
      </w:r>
      <w:r>
        <w:rPr>
          <w:rFonts w:hint="eastAsia" w:ascii="宋体" w:hAnsi="宋体" w:eastAsia="宋体" w:cs="宋体"/>
        </w:rPr>
        <w:drawing>
          <wp:inline distT="0" distB="0" distL="0" distR="0">
            <wp:extent cx="4872355" cy="2180590"/>
            <wp:effectExtent l="0" t="0" r="4445" b="635"/>
            <wp:docPr id="5" name="图片 5" descr="54a9d8c5-11a6-447a-9fb1-562338f58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a9d8c5-11a6-447a-9fb1-562338f58d81"/>
                    <pic:cNvPicPr>
                      <a:picLocks noChangeAspect="1" noChangeArrowheads="1"/>
                    </pic:cNvPicPr>
                  </pic:nvPicPr>
                  <pic:blipFill>
                    <a:blip r:embed="rId9"/>
                    <a:stretch>
                      <a:fillRect/>
                    </a:stretch>
                  </pic:blipFill>
                  <pic:spPr>
                    <a:xfrm>
                      <a:off x="0" y="0"/>
                      <a:ext cx="4872355" cy="2180590"/>
                    </a:xfrm>
                    <a:prstGeom prst="rect">
                      <a:avLst/>
                    </a:prstGeom>
                    <a:noFill/>
                  </pic:spPr>
                </pic:pic>
              </a:graphicData>
            </a:graphic>
          </wp:inline>
        </w:drawing>
      </w:r>
    </w:p>
    <w:p w14:paraId="7C44B270">
      <w:pPr>
        <w:pageBreakBefore w:val="0"/>
        <w:numPr>
          <w:ilvl w:val="0"/>
          <w:numId w:val="0"/>
        </w:numPr>
        <w:overflowPunct w:val="0"/>
        <w:bidi w:val="0"/>
        <w:spacing w:before="0" w:after="0" w:line="360" w:lineRule="auto"/>
        <w:ind w:left="0" w:leftChars="0" w:firstLine="480" w:firstLineChars="200"/>
        <w:jc w:val="both"/>
        <w:textAlignment w:val="auto"/>
        <w:outlineLvl w:val="3"/>
        <w:rPr>
          <w:rFonts w:hint="eastAsia" w:ascii="宋体" w:hAnsi="宋体" w:eastAsia="宋体" w:cs="宋体"/>
          <w:b/>
          <w:bCs/>
          <w:color w:val="C00000"/>
          <w:sz w:val="28"/>
          <w:szCs w:val="36"/>
          <w:lang w:val="en-US" w:eastAsia="zh-CN"/>
        </w:rPr>
      </w:pPr>
      <w:bookmarkStart w:id="62" w:name="_Toc19797"/>
      <w:r>
        <w:rPr>
          <w:rFonts w:hint="eastAsia" w:ascii="宋体" w:hAnsi="宋体" w:eastAsia="宋体" w:cs="宋体"/>
          <w:b w:val="0"/>
          <w:bCs/>
          <w:color w:val="C00000"/>
          <w:sz w:val="24"/>
          <w:szCs w:val="36"/>
          <w:lang w:val="en-US" w:eastAsia="zh-CN"/>
        </w:rPr>
        <w:t>（4）小结</w:t>
      </w:r>
      <w:bookmarkEnd w:id="62"/>
    </w:p>
    <w:p w14:paraId="3CDACF3D">
      <w:pPr>
        <w:pageBreakBefore w:val="0"/>
        <w:overflowPunct w:val="0"/>
        <w:bidi w:val="0"/>
        <w:spacing w:before="0" w:after="0" w:line="360" w:lineRule="auto"/>
        <w:ind w:firstLineChars="200"/>
        <w:jc w:val="both"/>
        <w:textAlignment w:val="auto"/>
        <w:rPr>
          <w:rFonts w:hint="eastAsia" w:ascii="宋体" w:hAnsi="宋体" w:eastAsia="宋体" w:cs="宋体"/>
          <w:b/>
          <w:bCs/>
          <w:color w:val="C00000"/>
          <w:sz w:val="28"/>
          <w:szCs w:val="36"/>
          <w:lang w:val="en-US" w:eastAsia="zh-CN"/>
        </w:rPr>
      </w:pPr>
      <w:r>
        <w:rPr>
          <w:rFonts w:hint="eastAsia" w:ascii="宋体" w:hAnsi="宋体" w:eastAsia="宋体" w:cs="宋体"/>
          <w:b w:val="0"/>
          <w:sz w:val="24"/>
          <w:szCs w:val="24"/>
          <w:lang w:val="en-US" w:eastAsia="zh-CN"/>
        </w:rPr>
        <w:t>教师前测显示，教师对高阶能力培育具有较高认同，并已尝试开放提问、情境任务和探究学习，但在适配学情的任务设计、思考引导及探究时间保障方面仍需支持。量化结果与开放性意见共同反映，学生差异、课时压力和课例资源不足是主要困难。后续研究应明确能力表现标准，完善任务分层与学习支架，通过共同备课、课例研讨和评价反馈，增强教师依据学生学习表现调整教学的能力，为教学模式建构提供实践依据。</w:t>
      </w:r>
    </w:p>
    <w:p w14:paraId="059D7665">
      <w:pPr>
        <w:pStyle w:val="4"/>
        <w:keepNext/>
        <w:keepLines w:val="0"/>
        <w:pageBreakBefore w:val="0"/>
        <w:widowControl/>
        <w:numPr>
          <w:ilvl w:val="0"/>
          <w:numId w:val="0"/>
        </w:numPr>
        <w:suppressLineNumbers w:val="0"/>
        <w:overflowPunct w:val="0"/>
        <w:bidi w:val="0"/>
        <w:spacing w:before="280" w:after="280" w:line="360" w:lineRule="auto"/>
        <w:ind w:left="0" w:firstLineChars="200"/>
        <w:textAlignment w:val="auto"/>
        <w:rPr>
          <w:rFonts w:hint="eastAsia" w:ascii="宋体" w:hAnsi="宋体" w:eastAsia="宋体" w:cs="宋体"/>
          <w:lang w:val="en-US" w:eastAsia="zh-CN"/>
        </w:rPr>
      </w:pPr>
      <w:bookmarkStart w:id="63" w:name="_Toc17096"/>
      <w:r>
        <w:rPr>
          <w:rFonts w:hint="eastAsia" w:ascii="宋体" w:hAnsi="宋体" w:eastAsia="宋体" w:cs="宋体"/>
          <w:b/>
          <w:sz w:val="28"/>
          <w:lang w:val="en-US" w:eastAsia="zh-CN"/>
        </w:rPr>
        <w:t>3.课堂观察现状与分析</w:t>
      </w:r>
      <w:bookmarkEnd w:id="63"/>
    </w:p>
    <w:p w14:paraId="2DABA479">
      <w:pPr>
        <w:keepNext w:val="0"/>
        <w:keepLines w:val="0"/>
        <w:pageBreakBefore w:val="0"/>
        <w:widowControl/>
        <w:suppressLineNumbers w:val="0"/>
        <w:overflowPunct w:val="0"/>
        <w:bidi w:val="0"/>
        <w:spacing w:before="0" w:after="0" w:line="360" w:lineRule="auto"/>
        <w:ind w:firstLine="480" w:firstLineChars="200"/>
        <w:jc w:val="both"/>
        <w:textAlignment w:val="auto"/>
        <w:outlineLvl w:val="3"/>
        <w:rPr>
          <w:rFonts w:hint="eastAsia" w:ascii="宋体" w:hAnsi="宋体" w:eastAsia="宋体" w:cs="宋体"/>
        </w:rPr>
      </w:pPr>
      <w:bookmarkStart w:id="64" w:name="_Toc28842"/>
      <w:r>
        <w:rPr>
          <w:rStyle w:val="15"/>
          <w:rFonts w:hint="eastAsia" w:ascii="宋体" w:hAnsi="宋体" w:eastAsia="宋体" w:cs="宋体"/>
          <w:b w:val="0"/>
          <w:sz w:val="24"/>
          <w:lang w:eastAsia="zh-CN"/>
        </w:rPr>
        <w:t>（</w:t>
      </w:r>
      <w:r>
        <w:rPr>
          <w:rStyle w:val="15"/>
          <w:rFonts w:hint="eastAsia" w:ascii="宋体" w:hAnsi="宋体" w:eastAsia="宋体" w:cs="宋体"/>
          <w:b w:val="0"/>
          <w:sz w:val="24"/>
        </w:rPr>
        <w:t>1</w:t>
      </w:r>
      <w:r>
        <w:rPr>
          <w:rStyle w:val="15"/>
          <w:rFonts w:hint="eastAsia" w:ascii="宋体" w:hAnsi="宋体" w:eastAsia="宋体" w:cs="宋体"/>
          <w:b w:val="0"/>
          <w:sz w:val="24"/>
          <w:lang w:eastAsia="zh-CN"/>
        </w:rPr>
        <w:t>）</w:t>
      </w:r>
      <w:r>
        <w:rPr>
          <w:rStyle w:val="15"/>
          <w:rFonts w:hint="eastAsia" w:ascii="宋体" w:hAnsi="宋体" w:eastAsia="宋体" w:cs="宋体"/>
          <w:b w:val="0"/>
          <w:sz w:val="24"/>
          <w:lang w:val="en-US" w:eastAsia="zh-CN"/>
        </w:rPr>
        <w:t>五维量表</w:t>
      </w:r>
      <w:r>
        <w:rPr>
          <w:rStyle w:val="15"/>
          <w:rFonts w:hint="eastAsia" w:ascii="宋体" w:hAnsi="宋体" w:eastAsia="宋体" w:cs="宋体"/>
          <w:b w:val="0"/>
          <w:sz w:val="24"/>
        </w:rPr>
        <w:t>评价维度的确立</w:t>
      </w:r>
      <w:bookmarkEnd w:id="64"/>
    </w:p>
    <w:p w14:paraId="355D0BD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为了解前期课堂对中学生高阶能力培育的支持情况，本研究采用《“可见的学习”高质量教学核心实践——教研课评课表》，从认知参与、学科内容建构、社会情感支持、课堂互动、形成性评价与反馈五个维度开展观察。维度设置围绕学生的学习过程及其所需的教学支持，将“可见的学习”所关注的思考过程、学习表现与反馈调整落实为具体观察内容。</w:t>
      </w:r>
    </w:p>
    <w:p w14:paraId="78791C0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其中，认知参与关注任务的认知挑战及学生的思考、探究与反思；学科内容建构关注知识联系、内容组织及学科思维方法；社会情感支持关注师生关系、同伴合作及情绪与责任意识的培养；课堂互动关注表达、讨论和师生互动的组织；形成性评价与反馈关注学习目标与标准、学习诊断、反馈指导及教学调整。五个维度从不同侧面考察高阶能力培育的课堂条件，其内容与本研究的诊断目的相契合。</w:t>
      </w:r>
    </w:p>
    <w:p w14:paraId="179F3AB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量表共设20个条目，每个维度4个条目，采用五级评分，各维度满分20分，总分100分。同时设置观察记录与改进建议栏目，以具体课堂表现补充评分解释。该量表用于评价课堂的教学支持情况，不直接作为学生七维高阶能力水平的测量工具。</w:t>
      </w:r>
    </w:p>
    <w:p w14:paraId="41054273">
      <w:pPr>
        <w:pageBreakBefore w:val="0"/>
        <w:overflowPunct w:val="0"/>
        <w:bidi w:val="0"/>
        <w:spacing w:before="0" w:after="0" w:line="360" w:lineRule="auto"/>
        <w:ind w:firstLine="480" w:firstLineChars="200"/>
        <w:jc w:val="both"/>
        <w:textAlignment w:val="auto"/>
        <w:outlineLvl w:val="3"/>
        <w:rPr>
          <w:rStyle w:val="15"/>
          <w:rFonts w:hint="eastAsia" w:ascii="宋体" w:hAnsi="宋体" w:eastAsia="宋体" w:cs="宋体"/>
          <w:kern w:val="0"/>
          <w:sz w:val="24"/>
          <w:szCs w:val="24"/>
          <w:lang w:val="en-US" w:eastAsia="zh-CN" w:bidi="ar-SA"/>
        </w:rPr>
      </w:pPr>
      <w:bookmarkStart w:id="65" w:name="_Toc32065"/>
      <w:r>
        <w:rPr>
          <w:rStyle w:val="15"/>
          <w:rFonts w:hint="eastAsia" w:ascii="宋体" w:hAnsi="宋体" w:eastAsia="宋体" w:cs="宋体"/>
          <w:b w:val="0"/>
          <w:kern w:val="0"/>
          <w:sz w:val="24"/>
          <w:szCs w:val="24"/>
          <w:lang w:val="en-US" w:eastAsia="zh-CN" w:bidi="ar-SA"/>
        </w:rPr>
        <w:t>（2）五维评价量表科学性验证</w:t>
      </w:r>
      <w:bookmarkEnd w:id="65"/>
    </w:p>
    <w:p w14:paraId="67076A7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为保证研究数据的科学性与可靠性，本研究首先对所采用的课堂评价工具进行信度检验。研究采用的《“可见的学习”高质量教学核心实践——教研课评课表》主要用于评价课堂教学过程中学生学习过程、教师教学行为以及课堂互动质量等关键表现。该评价工具围绕“确保认知参与”“构建优质学科内容”“提供社会情感能力支持”“促进高质量课堂互动”“利用形成性评价与反馈”五个维度构建评价体系，共包含20个评价条目，每个条目采用5级评分方式进行评价。</w:t>
      </w:r>
    </w:p>
    <w:p w14:paraId="5D164FE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由于本研究关注的是可见学习视域下中学生高阶能力培育课堂的实施效果，因此评价工具不仅需要反映课堂教学质量，还需要能够体现学生认知发展、社会情感能力以及学习反馈调节等高阶能力培养特征。为验证该工具各维度指标之间的一致性，本研究采用Cronbach’s α系数对评价量表进行内部一致性检验。</w:t>
      </w:r>
    </w:p>
    <w:p w14:paraId="1C46568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Cronbach’s α系数是教育测量研究中常用的量表信度指标，其数值越高，说明量表各项目之间的一致性越强。一般认为，当α系数达到0.70以上时，量表具有较好的内部一致性，能够满足教育研究中的统计分析要求。</w:t>
      </w:r>
    </w:p>
    <w:p w14:paraId="0B14BF36">
      <w:pPr>
        <w:pageBreakBefore w:val="0"/>
        <w:overflowPunct w:val="0"/>
        <w:bidi w:val="0"/>
        <w:spacing w:line="240" w:lineRule="auto"/>
        <w:ind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rPr>
        <w:t>表3-21  ：课堂评价量表内部一致性检验结果</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428"/>
        <w:gridCol w:w="1405"/>
        <w:gridCol w:w="2689"/>
      </w:tblGrid>
      <w:tr w14:paraId="463A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4428" w:type="dxa"/>
            <w:tcBorders>
              <w:top w:val="single" w:color="000000" w:sz="12" w:space="0"/>
              <w:left w:val="nil"/>
              <w:bottom w:val="nil"/>
              <w:right w:val="nil"/>
            </w:tcBorders>
            <w:shd w:val="clear" w:color="auto" w:fill="auto"/>
            <w:vAlign w:val="center"/>
          </w:tcPr>
          <w:p w14:paraId="178E973F">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评价维度</w:t>
            </w:r>
          </w:p>
        </w:tc>
        <w:tc>
          <w:tcPr>
            <w:tcW w:w="1405" w:type="dxa"/>
            <w:tcBorders>
              <w:top w:val="single" w:color="000000" w:sz="12" w:space="0"/>
              <w:left w:val="nil"/>
              <w:bottom w:val="nil"/>
              <w:right w:val="nil"/>
            </w:tcBorders>
            <w:shd w:val="clear" w:color="auto" w:fill="auto"/>
            <w:vAlign w:val="center"/>
          </w:tcPr>
          <w:p w14:paraId="754A8582">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题项数量</w:t>
            </w:r>
          </w:p>
        </w:tc>
        <w:tc>
          <w:tcPr>
            <w:tcW w:w="2689" w:type="dxa"/>
            <w:tcBorders>
              <w:top w:val="single" w:color="000000" w:sz="12" w:space="0"/>
              <w:left w:val="nil"/>
              <w:bottom w:val="nil"/>
              <w:right w:val="nil"/>
            </w:tcBorders>
            <w:shd w:val="clear" w:color="auto" w:fill="auto"/>
            <w:vAlign w:val="center"/>
          </w:tcPr>
          <w:p w14:paraId="4CAA20BA">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1"/>
                <w:szCs w:val="24"/>
                <w:lang w:val="en-US" w:eastAsia="zh-CN" w:bidi="ar-SA"/>
              </w:rPr>
              <w:t>α系数</w:t>
            </w:r>
          </w:p>
        </w:tc>
      </w:tr>
      <w:tr w14:paraId="3134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left w:val="nil"/>
              <w:bottom w:val="nil"/>
              <w:right w:val="nil"/>
            </w:tcBorders>
            <w:shd w:val="clear" w:color="auto" w:fill="auto"/>
            <w:vAlign w:val="center"/>
          </w:tcPr>
          <w:p w14:paraId="030BF8FC">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确保认知参与——学生如何学</w:t>
            </w:r>
          </w:p>
        </w:tc>
        <w:tc>
          <w:tcPr>
            <w:tcW w:w="1405" w:type="dxa"/>
            <w:tcBorders>
              <w:left w:val="nil"/>
              <w:bottom w:val="nil"/>
              <w:right w:val="nil"/>
            </w:tcBorders>
            <w:shd w:val="clear" w:color="auto" w:fill="auto"/>
            <w:vAlign w:val="center"/>
          </w:tcPr>
          <w:p w14:paraId="5BF8173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left w:val="nil"/>
              <w:bottom w:val="nil"/>
              <w:right w:val="nil"/>
            </w:tcBorders>
            <w:shd w:val="clear" w:color="auto" w:fill="auto"/>
            <w:vAlign w:val="center"/>
          </w:tcPr>
          <w:p w14:paraId="7FFA7878">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0.760</w:t>
            </w:r>
          </w:p>
        </w:tc>
      </w:tr>
      <w:tr w14:paraId="12A1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3F0EEB14">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构建优质学科内容——教师如何教</w:t>
            </w:r>
          </w:p>
        </w:tc>
        <w:tc>
          <w:tcPr>
            <w:tcW w:w="1405" w:type="dxa"/>
            <w:tcBorders>
              <w:top w:val="nil"/>
              <w:left w:val="nil"/>
              <w:bottom w:val="nil"/>
              <w:right w:val="nil"/>
            </w:tcBorders>
            <w:shd w:val="clear" w:color="auto" w:fill="auto"/>
            <w:vAlign w:val="center"/>
          </w:tcPr>
          <w:p w14:paraId="777F7E4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0DAFE945">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0.812</w:t>
            </w:r>
          </w:p>
        </w:tc>
      </w:tr>
      <w:tr w14:paraId="326A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4C3433C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提供社会情感能力支持</w:t>
            </w:r>
          </w:p>
        </w:tc>
        <w:tc>
          <w:tcPr>
            <w:tcW w:w="1405" w:type="dxa"/>
            <w:tcBorders>
              <w:top w:val="nil"/>
              <w:left w:val="nil"/>
              <w:bottom w:val="nil"/>
              <w:right w:val="nil"/>
            </w:tcBorders>
            <w:shd w:val="clear" w:color="auto" w:fill="auto"/>
            <w:vAlign w:val="center"/>
          </w:tcPr>
          <w:p w14:paraId="1CF11544">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1D80961B">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0.790</w:t>
            </w:r>
          </w:p>
        </w:tc>
      </w:tr>
      <w:tr w14:paraId="11D7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07F672C1">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促进高质量课堂互动</w:t>
            </w:r>
          </w:p>
        </w:tc>
        <w:tc>
          <w:tcPr>
            <w:tcW w:w="1405" w:type="dxa"/>
            <w:tcBorders>
              <w:top w:val="nil"/>
              <w:left w:val="nil"/>
              <w:bottom w:val="nil"/>
              <w:right w:val="nil"/>
            </w:tcBorders>
            <w:shd w:val="clear" w:color="auto" w:fill="auto"/>
            <w:vAlign w:val="center"/>
          </w:tcPr>
          <w:p w14:paraId="4D1F26E5">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223CC69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0.778</w:t>
            </w:r>
          </w:p>
        </w:tc>
      </w:tr>
      <w:tr w14:paraId="7ECA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nil"/>
              <w:right w:val="nil"/>
            </w:tcBorders>
            <w:shd w:val="clear" w:color="auto" w:fill="auto"/>
            <w:vAlign w:val="center"/>
          </w:tcPr>
          <w:p w14:paraId="3F651B7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利用形成性评价与反馈</w:t>
            </w:r>
          </w:p>
        </w:tc>
        <w:tc>
          <w:tcPr>
            <w:tcW w:w="1405" w:type="dxa"/>
            <w:tcBorders>
              <w:top w:val="nil"/>
              <w:left w:val="nil"/>
              <w:bottom w:val="nil"/>
              <w:right w:val="nil"/>
            </w:tcBorders>
            <w:shd w:val="clear" w:color="auto" w:fill="auto"/>
            <w:vAlign w:val="center"/>
          </w:tcPr>
          <w:p w14:paraId="73347B39">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4</w:t>
            </w:r>
          </w:p>
        </w:tc>
        <w:tc>
          <w:tcPr>
            <w:tcW w:w="2689" w:type="dxa"/>
            <w:tcBorders>
              <w:top w:val="nil"/>
              <w:left w:val="nil"/>
              <w:bottom w:val="nil"/>
              <w:right w:val="nil"/>
            </w:tcBorders>
            <w:shd w:val="clear" w:color="auto" w:fill="auto"/>
            <w:vAlign w:val="center"/>
          </w:tcPr>
          <w:p w14:paraId="47509C22">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0.801</w:t>
            </w:r>
          </w:p>
        </w:tc>
      </w:tr>
      <w:tr w14:paraId="7D0A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428" w:type="dxa"/>
            <w:tcBorders>
              <w:top w:val="nil"/>
              <w:left w:val="nil"/>
              <w:bottom w:val="single" w:color="000000" w:sz="12" w:space="0"/>
              <w:right w:val="nil"/>
            </w:tcBorders>
            <w:shd w:val="clear" w:color="auto" w:fill="auto"/>
            <w:vAlign w:val="center"/>
          </w:tcPr>
          <w:p w14:paraId="375B3D4A">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总体量表</w:t>
            </w:r>
          </w:p>
        </w:tc>
        <w:tc>
          <w:tcPr>
            <w:tcW w:w="1405" w:type="dxa"/>
            <w:tcBorders>
              <w:top w:val="nil"/>
              <w:left w:val="nil"/>
              <w:bottom w:val="single" w:color="000000" w:sz="12" w:space="0"/>
              <w:right w:val="nil"/>
            </w:tcBorders>
            <w:shd w:val="clear" w:color="auto" w:fill="auto"/>
            <w:vAlign w:val="center"/>
          </w:tcPr>
          <w:p w14:paraId="0EED8B66">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20</w:t>
            </w:r>
          </w:p>
        </w:tc>
        <w:tc>
          <w:tcPr>
            <w:tcW w:w="2689" w:type="dxa"/>
            <w:tcBorders>
              <w:top w:val="nil"/>
              <w:left w:val="nil"/>
              <w:bottom w:val="single" w:color="000000" w:sz="12" w:space="0"/>
              <w:right w:val="nil"/>
            </w:tcBorders>
            <w:shd w:val="clear" w:color="auto" w:fill="auto"/>
            <w:vAlign w:val="center"/>
          </w:tcPr>
          <w:p w14:paraId="01FE65E3">
            <w:pPr>
              <w:overflowPunct w:val="0"/>
              <w:bidi w:val="0"/>
              <w:snapToGrid w:val="0"/>
              <w:spacing w:before="0" w:after="0" w:line="240" w:lineRule="auto"/>
              <w:ind w:left="0" w:right="0"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szCs w:val="24"/>
                <w:lang w:val="en-US" w:eastAsia="zh-CN"/>
              </w:rPr>
              <w:t>0.782</w:t>
            </w:r>
          </w:p>
        </w:tc>
      </w:tr>
    </w:tbl>
    <w:p w14:paraId="0BBE7820">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为检验课堂评价工具的可靠性，本研究采用Cronbach's α系数对《“可见的学习”高质量教学核心实践——教研课评课表》进行内部一致性分析。结果如表4-2所示，量表总体Cronbach's α系数为0.782，高于教育研究中通常采用的0.70判断标准，说明该评价工具具有较好的内部一致性，各评价指标能够较稳定地反映课堂教学质量特征。</w:t>
      </w:r>
    </w:p>
    <w:p w14:paraId="34000D9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进一步分析发现，五个一级评价维度的Cronbach's α系数均达到0.75以上，其中"构建优质学科内容——教师如何教"（α=0.812）和"利用形成性评价与反馈"（α=0.801）达到良好水平，其余三个维度α系数均处于可接受范围，表明各维度内部评价指标之间具有较好的一致性，能够较稳定地反映课堂学习过程中的认知参与、社会情感支持、课堂互动及形成性评价等关键特征。</w:t>
      </w:r>
    </w:p>
    <w:p w14:paraId="162B1B58">
      <w:pPr>
        <w:pageBreakBefore w:val="0"/>
        <w:overflowPunct w:val="0"/>
        <w:bidi w:val="0"/>
        <w:spacing w:line="240" w:lineRule="auto"/>
        <w:ind w:firstLineChars="200"/>
        <w:jc w:val="center"/>
        <w:textAlignment w:val="auto"/>
        <w:rPr>
          <w:rFonts w:hint="eastAsia" w:ascii="宋体" w:hAnsi="宋体" w:eastAsia="宋体" w:cs="宋体"/>
          <w:b w:val="0"/>
          <w:sz w:val="24"/>
          <w:szCs w:val="24"/>
          <w:lang w:val="en-US" w:eastAsia="zh-CN"/>
        </w:rPr>
      </w:pPr>
      <w:r>
        <w:rPr>
          <w:rFonts w:hint="eastAsia" w:ascii="宋体" w:hAnsi="宋体" w:eastAsia="宋体" w:cs="宋体"/>
          <w:b w:val="0"/>
          <w:sz w:val="21"/>
        </w:rPr>
        <w:t>表3-22  ：删除项目后的内部一致性检验结果</w:t>
      </w:r>
    </w:p>
    <w:tbl>
      <w:tblPr>
        <w:tblStyle w:val="1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01"/>
        <w:gridCol w:w="3156"/>
        <w:gridCol w:w="1262"/>
      </w:tblGrid>
      <w:tr w14:paraId="2B9E7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4101" w:type="dxa"/>
            <w:tcBorders>
              <w:top w:val="single" w:color="000000" w:sz="12" w:space="0"/>
              <w:left w:val="nil"/>
              <w:bottom w:val="nil"/>
              <w:right w:val="nil"/>
            </w:tcBorders>
            <w:shd w:val="clear" w:color="auto" w:fill="auto"/>
            <w:vAlign w:val="center"/>
          </w:tcPr>
          <w:p w14:paraId="5BFA10BD">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评价维度</w:t>
            </w:r>
          </w:p>
        </w:tc>
        <w:tc>
          <w:tcPr>
            <w:tcW w:w="3156" w:type="dxa"/>
            <w:tcBorders>
              <w:top w:val="single" w:color="000000" w:sz="12" w:space="0"/>
              <w:left w:val="nil"/>
              <w:bottom w:val="nil"/>
              <w:right w:val="nil"/>
            </w:tcBorders>
            <w:shd w:val="clear" w:color="auto" w:fill="auto"/>
            <w:vAlign w:val="center"/>
          </w:tcPr>
          <w:p w14:paraId="20882DDC">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删除该维度后</w:t>
            </w:r>
            <w:r>
              <w:rPr>
                <w:rFonts w:hint="eastAsia" w:ascii="宋体" w:hAnsi="宋体" w:eastAsia="宋体" w:cs="宋体"/>
                <w:b/>
                <w:kern w:val="2"/>
                <w:sz w:val="21"/>
                <w:szCs w:val="24"/>
                <w:lang w:val="en-US" w:eastAsia="zh-CN" w:bidi="ar-SA"/>
              </w:rPr>
              <w:t>α系数</w:t>
            </w:r>
          </w:p>
        </w:tc>
        <w:tc>
          <w:tcPr>
            <w:tcW w:w="1262" w:type="dxa"/>
            <w:tcBorders>
              <w:top w:val="single" w:color="000000" w:sz="12" w:space="0"/>
              <w:left w:val="nil"/>
              <w:bottom w:val="nil"/>
              <w:right w:val="nil"/>
            </w:tcBorders>
            <w:shd w:val="clear" w:color="auto" w:fill="auto"/>
            <w:vAlign w:val="center"/>
          </w:tcPr>
          <w:p w14:paraId="70D8ED6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0"/>
                <w:sz w:val="21"/>
                <w:szCs w:val="24"/>
                <w:lang w:val="en-US" w:eastAsia="zh-CN" w:bidi="ar-SA"/>
              </w:rPr>
              <w:t>变化情况</w:t>
            </w:r>
          </w:p>
        </w:tc>
      </w:tr>
      <w:tr w14:paraId="31D1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left w:val="nil"/>
              <w:bottom w:val="nil"/>
              <w:right w:val="nil"/>
            </w:tcBorders>
            <w:shd w:val="clear" w:color="auto" w:fill="auto"/>
            <w:vAlign w:val="center"/>
          </w:tcPr>
          <w:p w14:paraId="1A1FD1C3">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确保认知参与——学生如何学</w:t>
            </w:r>
          </w:p>
        </w:tc>
        <w:tc>
          <w:tcPr>
            <w:tcW w:w="3156" w:type="dxa"/>
            <w:tcBorders>
              <w:left w:val="nil"/>
              <w:bottom w:val="nil"/>
              <w:right w:val="nil"/>
            </w:tcBorders>
            <w:shd w:val="clear" w:color="auto" w:fill="auto"/>
            <w:vAlign w:val="center"/>
          </w:tcPr>
          <w:p w14:paraId="2C33E8A0">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0.774</w:t>
            </w:r>
          </w:p>
        </w:tc>
        <w:tc>
          <w:tcPr>
            <w:tcW w:w="1262" w:type="dxa"/>
            <w:tcBorders>
              <w:left w:val="nil"/>
              <w:bottom w:val="nil"/>
              <w:right w:val="nil"/>
            </w:tcBorders>
            <w:shd w:val="clear" w:color="auto" w:fill="auto"/>
            <w:vAlign w:val="center"/>
          </w:tcPr>
          <w:p w14:paraId="0C7445FF">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略下降</w:t>
            </w:r>
          </w:p>
        </w:tc>
      </w:tr>
      <w:tr w14:paraId="68CD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535B7372">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构建优质学科内容——教师如何教</w:t>
            </w:r>
          </w:p>
        </w:tc>
        <w:tc>
          <w:tcPr>
            <w:tcW w:w="3156" w:type="dxa"/>
            <w:tcBorders>
              <w:top w:val="nil"/>
              <w:left w:val="nil"/>
              <w:bottom w:val="nil"/>
              <w:right w:val="nil"/>
            </w:tcBorders>
            <w:shd w:val="clear" w:color="auto" w:fill="auto"/>
            <w:vAlign w:val="center"/>
          </w:tcPr>
          <w:p w14:paraId="378BF907">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0.768</w:t>
            </w:r>
          </w:p>
        </w:tc>
        <w:tc>
          <w:tcPr>
            <w:tcW w:w="1262" w:type="dxa"/>
            <w:tcBorders>
              <w:top w:val="nil"/>
              <w:left w:val="nil"/>
              <w:bottom w:val="nil"/>
              <w:right w:val="nil"/>
            </w:tcBorders>
            <w:shd w:val="clear" w:color="auto" w:fill="auto"/>
            <w:vAlign w:val="center"/>
          </w:tcPr>
          <w:p w14:paraId="19718D13">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588F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3FB37B2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提供社会情感能力支持</w:t>
            </w:r>
          </w:p>
        </w:tc>
        <w:tc>
          <w:tcPr>
            <w:tcW w:w="3156" w:type="dxa"/>
            <w:tcBorders>
              <w:top w:val="nil"/>
              <w:left w:val="nil"/>
              <w:bottom w:val="nil"/>
              <w:right w:val="nil"/>
            </w:tcBorders>
            <w:shd w:val="clear" w:color="auto" w:fill="auto"/>
            <w:vAlign w:val="center"/>
          </w:tcPr>
          <w:p w14:paraId="1EE2B3F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0.771</w:t>
            </w:r>
          </w:p>
        </w:tc>
        <w:tc>
          <w:tcPr>
            <w:tcW w:w="1262" w:type="dxa"/>
            <w:tcBorders>
              <w:top w:val="nil"/>
              <w:left w:val="nil"/>
              <w:bottom w:val="nil"/>
              <w:right w:val="nil"/>
            </w:tcBorders>
            <w:shd w:val="clear" w:color="auto" w:fill="auto"/>
            <w:vAlign w:val="center"/>
          </w:tcPr>
          <w:p w14:paraId="40CF183A">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2561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nil"/>
              <w:right w:val="nil"/>
            </w:tcBorders>
            <w:shd w:val="clear" w:color="auto" w:fill="auto"/>
            <w:vAlign w:val="center"/>
          </w:tcPr>
          <w:p w14:paraId="741D2CE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促进高质量课堂互动</w:t>
            </w:r>
          </w:p>
        </w:tc>
        <w:tc>
          <w:tcPr>
            <w:tcW w:w="3156" w:type="dxa"/>
            <w:tcBorders>
              <w:top w:val="nil"/>
              <w:left w:val="nil"/>
              <w:bottom w:val="nil"/>
              <w:right w:val="nil"/>
            </w:tcBorders>
            <w:shd w:val="clear" w:color="auto" w:fill="auto"/>
            <w:vAlign w:val="center"/>
          </w:tcPr>
          <w:p w14:paraId="7EC2276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0.769</w:t>
            </w:r>
          </w:p>
        </w:tc>
        <w:tc>
          <w:tcPr>
            <w:tcW w:w="1262" w:type="dxa"/>
            <w:tcBorders>
              <w:top w:val="nil"/>
              <w:left w:val="nil"/>
              <w:bottom w:val="nil"/>
              <w:right w:val="nil"/>
            </w:tcBorders>
            <w:shd w:val="clear" w:color="auto" w:fill="auto"/>
            <w:vAlign w:val="center"/>
          </w:tcPr>
          <w:p w14:paraId="161997E1">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r w14:paraId="1510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4101" w:type="dxa"/>
            <w:tcBorders>
              <w:top w:val="nil"/>
              <w:left w:val="nil"/>
              <w:bottom w:val="single" w:color="000000" w:sz="12" w:space="0"/>
              <w:right w:val="nil"/>
            </w:tcBorders>
            <w:shd w:val="clear" w:color="auto" w:fill="auto"/>
            <w:vAlign w:val="center"/>
          </w:tcPr>
          <w:p w14:paraId="62E5823C">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利用形成性评价与反馈</w:t>
            </w:r>
          </w:p>
        </w:tc>
        <w:tc>
          <w:tcPr>
            <w:tcW w:w="3156" w:type="dxa"/>
            <w:tcBorders>
              <w:top w:val="nil"/>
              <w:left w:val="nil"/>
              <w:bottom w:val="single" w:color="000000" w:sz="12" w:space="0"/>
              <w:right w:val="nil"/>
            </w:tcBorders>
            <w:shd w:val="clear" w:color="auto" w:fill="auto"/>
            <w:vAlign w:val="center"/>
          </w:tcPr>
          <w:p w14:paraId="11D2A296">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0.763</w:t>
            </w:r>
          </w:p>
        </w:tc>
        <w:tc>
          <w:tcPr>
            <w:tcW w:w="1262" w:type="dxa"/>
            <w:tcBorders>
              <w:top w:val="nil"/>
              <w:left w:val="nil"/>
              <w:bottom w:val="single" w:color="000000" w:sz="12" w:space="0"/>
              <w:right w:val="nil"/>
            </w:tcBorders>
            <w:shd w:val="clear" w:color="auto" w:fill="auto"/>
            <w:vAlign w:val="center"/>
          </w:tcPr>
          <w:p w14:paraId="282558B8">
            <w:pPr>
              <w:keepNext w:val="0"/>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0"/>
                <w:sz w:val="21"/>
                <w:szCs w:val="24"/>
                <w:lang w:val="en-US" w:eastAsia="zh-CN" w:bidi="ar-SA"/>
              </w:rPr>
              <w:t>下降</w:t>
            </w:r>
          </w:p>
        </w:tc>
      </w:tr>
    </w:tbl>
    <w:p w14:paraId="6E244CD0">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lang w:val="en-US" w:eastAsia="zh-CN"/>
        </w:rPr>
        <w:t>为进一步检验各评价维度对整体量表的贡献，本研究对各一级维度进行了删除项目分析。结果显示，删除任一评价维度后，量表整体Cronbach's α系数均未明显提高，部分维度删除后反而出现下降，说明五个评价维度均能够对课堂教学质量评价提供有效信息，不存在明显冗余指标，各维度共同构成</w:t>
      </w:r>
      <w:r>
        <w:rPr>
          <w:rFonts w:hint="eastAsia" w:ascii="宋体" w:hAnsi="宋体" w:eastAsia="宋体" w:cs="宋体"/>
          <w:b w:val="0"/>
          <w:sz w:val="24"/>
          <w:szCs w:val="24"/>
        </w:rPr>
        <w:t>了较为完整的课堂评价框架。</w:t>
      </w:r>
    </w:p>
    <w:p w14:paraId="172E7A5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en-US"/>
        </w:rPr>
      </w:pPr>
      <w:r>
        <w:rPr>
          <w:rFonts w:hint="eastAsia" w:ascii="宋体" w:hAnsi="宋体" w:eastAsia="宋体" w:cs="宋体"/>
          <w:b w:val="0"/>
          <w:sz w:val="24"/>
          <w:szCs w:val="24"/>
          <w:lang w:val="en-US" w:eastAsia="zh-CN"/>
        </w:rPr>
        <w:t>综上所述，通过内部一致性检验，本研究验证了课堂评价工具的可靠性，为后续数据分析提供了方法保障。研究将在此基础上，进一步结合教师评价数据库、AI课堂行为数据以及课堂文本编码结果，从量化与质性两个层面对可见学习视域下中学生高阶能力培育课堂现状进行深入分析。</w:t>
      </w:r>
    </w:p>
    <w:p w14:paraId="5612D450">
      <w:pPr>
        <w:pageBreakBefore w:val="0"/>
        <w:overflowPunct w:val="0"/>
        <w:bidi w:val="0"/>
        <w:spacing w:before="0" w:after="0" w:line="360" w:lineRule="auto"/>
        <w:ind w:firstLine="480" w:firstLineChars="200"/>
        <w:jc w:val="both"/>
        <w:textAlignment w:val="auto"/>
        <w:outlineLvl w:val="3"/>
        <w:rPr>
          <w:rStyle w:val="15"/>
          <w:rFonts w:hint="eastAsia" w:ascii="宋体" w:hAnsi="宋体" w:eastAsia="宋体" w:cs="宋体"/>
          <w:kern w:val="0"/>
          <w:sz w:val="24"/>
          <w:szCs w:val="24"/>
          <w:lang w:val="en-US" w:eastAsia="zh-CN" w:bidi="ar-SA"/>
        </w:rPr>
      </w:pPr>
      <w:bookmarkStart w:id="66" w:name="_Toc4598"/>
      <w:r>
        <w:rPr>
          <w:rStyle w:val="15"/>
          <w:rFonts w:hint="eastAsia" w:ascii="宋体" w:hAnsi="宋体" w:eastAsia="宋体" w:cs="宋体"/>
          <w:b w:val="0"/>
          <w:kern w:val="0"/>
          <w:sz w:val="24"/>
          <w:szCs w:val="24"/>
          <w:lang w:val="en-US" w:eastAsia="zh-CN" w:bidi="ar-SA"/>
        </w:rPr>
        <w:t>（3）课堂观察与高阶能力培育现状分析</w:t>
      </w:r>
      <w:bookmarkEnd w:id="66"/>
    </w:p>
    <w:p w14:paraId="68BDF34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为明确“可见的学习”视域下中学生高阶能力培育的课堂基础与改进需要，本研究结合10节跨学科课例、46份教师评课记录及希沃AI课堂分析资料，依次开展整体分析、五维课堂表现分析、两类证据对应分析与评课文本质性分析。分析重点在于：课堂为学生提供了怎样的学习机会，学生的思考与合作如何得到支持，以及学习表现能否成为教师指导和学生改进的依据。</w:t>
      </w:r>
    </w:p>
    <w:p w14:paraId="4D07F6FC">
      <w:pPr>
        <w:pageBreakBefore w:val="0"/>
        <w:overflowPunct w:val="0"/>
        <w:bidi w:val="0"/>
        <w:spacing w:before="0" w:after="0" w:line="360" w:lineRule="auto"/>
        <w:ind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1）整体情况分析</w:t>
      </w:r>
    </w:p>
    <w:p w14:paraId="0527B74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教师评价总分均值为90.83分，标准差为4.85分，得分范围为68—97分，表明观察者对本批课堂总体评价较为积极，同时不同评价记录之间存在差异。五维中，社会情感支持与学科内容建构均值较高，课堂互动、形成性评价与反馈相对靠后（表3-23）。这一分布说明，课堂已具备一定的内容组织与关系支持基础，而促使学生深入交流、依据反馈调整学习，是值得进一步考察的环节。</w:t>
      </w:r>
    </w:p>
    <w:p w14:paraId="0997C30C">
      <w:pPr>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表3-23  课堂评价总体与五维描述性统计</w:t>
      </w:r>
    </w:p>
    <w:tbl>
      <w:tblPr>
        <w:tblStyle w:val="12"/>
        <w:tblW w:w="9360" w:type="dxa"/>
        <w:tblInd w:w="0" w:type="dxa"/>
        <w:tblLayout w:type="fixed"/>
        <w:tblCellMar>
          <w:top w:w="0" w:type="dxa"/>
          <w:left w:w="108" w:type="dxa"/>
          <w:bottom w:w="0" w:type="dxa"/>
          <w:right w:w="108" w:type="dxa"/>
        </w:tblCellMar>
      </w:tblPr>
      <w:tblGrid>
        <w:gridCol w:w="5040"/>
        <w:gridCol w:w="1439"/>
        <w:gridCol w:w="1441"/>
        <w:gridCol w:w="1440"/>
      </w:tblGrid>
      <w:tr w14:paraId="59F51CCE">
        <w:tblPrEx>
          <w:tblCellMar>
            <w:top w:w="0" w:type="dxa"/>
            <w:left w:w="108" w:type="dxa"/>
            <w:bottom w:w="0" w:type="dxa"/>
            <w:right w:w="108" w:type="dxa"/>
          </w:tblCellMar>
        </w:tblPrEx>
        <w:trPr>
          <w:cantSplit/>
        </w:trPr>
        <w:tc>
          <w:tcPr>
            <w:tcW w:w="5040" w:type="dxa"/>
            <w:tcBorders>
              <w:top w:val="single" w:color="000000" w:sz="10" w:space="0"/>
              <w:bottom w:val="single" w:color="000000" w:sz="4" w:space="0"/>
            </w:tcBorders>
          </w:tcPr>
          <w:p w14:paraId="0CC1055E">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评价内容</w:t>
            </w:r>
          </w:p>
        </w:tc>
        <w:tc>
          <w:tcPr>
            <w:tcW w:w="1439" w:type="dxa"/>
            <w:tcBorders>
              <w:top w:val="single" w:color="000000" w:sz="10" w:space="0"/>
              <w:bottom w:val="single" w:color="000000" w:sz="4" w:space="0"/>
            </w:tcBorders>
          </w:tcPr>
          <w:p w14:paraId="137666E7">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均值</w:t>
            </w:r>
          </w:p>
        </w:tc>
        <w:tc>
          <w:tcPr>
            <w:tcW w:w="1441" w:type="dxa"/>
            <w:tcBorders>
              <w:top w:val="single" w:color="000000" w:sz="10" w:space="0"/>
              <w:bottom w:val="single" w:color="000000" w:sz="4" w:space="0"/>
            </w:tcBorders>
          </w:tcPr>
          <w:p w14:paraId="6D7B7BD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标准差</w:t>
            </w:r>
          </w:p>
        </w:tc>
        <w:tc>
          <w:tcPr>
            <w:tcW w:w="1440" w:type="dxa"/>
            <w:tcBorders>
              <w:top w:val="single" w:color="000000" w:sz="10" w:space="0"/>
              <w:bottom w:val="single" w:color="000000" w:sz="4" w:space="0"/>
            </w:tcBorders>
          </w:tcPr>
          <w:p w14:paraId="1742A2A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满分</w:t>
            </w:r>
          </w:p>
        </w:tc>
      </w:tr>
      <w:tr w14:paraId="758573F5">
        <w:tblPrEx>
          <w:tblCellMar>
            <w:top w:w="0" w:type="dxa"/>
            <w:left w:w="108" w:type="dxa"/>
            <w:bottom w:w="0" w:type="dxa"/>
            <w:right w:w="108" w:type="dxa"/>
          </w:tblCellMar>
        </w:tblPrEx>
        <w:trPr>
          <w:cantSplit/>
        </w:trPr>
        <w:tc>
          <w:tcPr>
            <w:tcW w:w="5040" w:type="dxa"/>
          </w:tcPr>
          <w:p w14:paraId="67B11A0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总体评价</w:t>
            </w:r>
          </w:p>
        </w:tc>
        <w:tc>
          <w:tcPr>
            <w:tcW w:w="1439" w:type="dxa"/>
          </w:tcPr>
          <w:p w14:paraId="6A36AB6D">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90.83</w:t>
            </w:r>
          </w:p>
        </w:tc>
        <w:tc>
          <w:tcPr>
            <w:tcW w:w="1441" w:type="dxa"/>
          </w:tcPr>
          <w:p w14:paraId="1800614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4.85</w:t>
            </w:r>
          </w:p>
        </w:tc>
        <w:tc>
          <w:tcPr>
            <w:tcW w:w="1440" w:type="dxa"/>
          </w:tcPr>
          <w:p w14:paraId="135677E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100</w:t>
            </w:r>
          </w:p>
        </w:tc>
      </w:tr>
      <w:tr w14:paraId="761547BB">
        <w:tblPrEx>
          <w:tblCellMar>
            <w:top w:w="0" w:type="dxa"/>
            <w:left w:w="108" w:type="dxa"/>
            <w:bottom w:w="0" w:type="dxa"/>
            <w:right w:w="108" w:type="dxa"/>
          </w:tblCellMar>
        </w:tblPrEx>
        <w:trPr>
          <w:cantSplit/>
        </w:trPr>
        <w:tc>
          <w:tcPr>
            <w:tcW w:w="5040" w:type="dxa"/>
          </w:tcPr>
          <w:p w14:paraId="33FB9D47">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维度一：</w:t>
            </w:r>
            <w:r>
              <w:rPr>
                <w:rFonts w:hint="eastAsia" w:ascii="宋体" w:hAnsi="宋体" w:eastAsia="宋体" w:cs="宋体"/>
                <w:sz w:val="21"/>
              </w:rPr>
              <w:t>认知参与</w:t>
            </w:r>
          </w:p>
        </w:tc>
        <w:tc>
          <w:tcPr>
            <w:tcW w:w="1439" w:type="dxa"/>
          </w:tcPr>
          <w:p w14:paraId="278D72F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17.93</w:t>
            </w:r>
          </w:p>
        </w:tc>
        <w:tc>
          <w:tcPr>
            <w:tcW w:w="1441" w:type="dxa"/>
          </w:tcPr>
          <w:p w14:paraId="6A106341">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1.31</w:t>
            </w:r>
          </w:p>
        </w:tc>
        <w:tc>
          <w:tcPr>
            <w:tcW w:w="1440" w:type="dxa"/>
          </w:tcPr>
          <w:p w14:paraId="69CB78E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3647AE46">
        <w:tblPrEx>
          <w:tblCellMar>
            <w:top w:w="0" w:type="dxa"/>
            <w:left w:w="108" w:type="dxa"/>
            <w:bottom w:w="0" w:type="dxa"/>
            <w:right w:w="108" w:type="dxa"/>
          </w:tblCellMar>
        </w:tblPrEx>
        <w:trPr>
          <w:cantSplit/>
        </w:trPr>
        <w:tc>
          <w:tcPr>
            <w:tcW w:w="5040" w:type="dxa"/>
          </w:tcPr>
          <w:p w14:paraId="060A351E">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维度二：</w:t>
            </w:r>
            <w:r>
              <w:rPr>
                <w:rFonts w:hint="eastAsia" w:ascii="宋体" w:hAnsi="宋体" w:eastAsia="宋体" w:cs="宋体"/>
                <w:sz w:val="21"/>
              </w:rPr>
              <w:t>学科内容建构</w:t>
            </w:r>
          </w:p>
        </w:tc>
        <w:tc>
          <w:tcPr>
            <w:tcW w:w="1439" w:type="dxa"/>
          </w:tcPr>
          <w:p w14:paraId="425ADCEB">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18.54</w:t>
            </w:r>
          </w:p>
        </w:tc>
        <w:tc>
          <w:tcPr>
            <w:tcW w:w="1441" w:type="dxa"/>
          </w:tcPr>
          <w:p w14:paraId="2098BA82">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1.41</w:t>
            </w:r>
          </w:p>
        </w:tc>
        <w:tc>
          <w:tcPr>
            <w:tcW w:w="1440" w:type="dxa"/>
          </w:tcPr>
          <w:p w14:paraId="5388122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1E478EA4">
        <w:tblPrEx>
          <w:tblCellMar>
            <w:top w:w="0" w:type="dxa"/>
            <w:left w:w="108" w:type="dxa"/>
            <w:bottom w:w="0" w:type="dxa"/>
            <w:right w:w="108" w:type="dxa"/>
          </w:tblCellMar>
        </w:tblPrEx>
        <w:trPr>
          <w:cantSplit/>
        </w:trPr>
        <w:tc>
          <w:tcPr>
            <w:tcW w:w="5040" w:type="dxa"/>
          </w:tcPr>
          <w:p w14:paraId="18376AF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维度三：</w:t>
            </w:r>
            <w:r>
              <w:rPr>
                <w:rFonts w:hint="eastAsia" w:ascii="宋体" w:hAnsi="宋体" w:eastAsia="宋体" w:cs="宋体"/>
                <w:sz w:val="21"/>
              </w:rPr>
              <w:t>社会情感支持</w:t>
            </w:r>
          </w:p>
        </w:tc>
        <w:tc>
          <w:tcPr>
            <w:tcW w:w="1439" w:type="dxa"/>
          </w:tcPr>
          <w:p w14:paraId="30BEAC1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18.96</w:t>
            </w:r>
          </w:p>
        </w:tc>
        <w:tc>
          <w:tcPr>
            <w:tcW w:w="1441" w:type="dxa"/>
          </w:tcPr>
          <w:p w14:paraId="3A4647B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1.15</w:t>
            </w:r>
          </w:p>
        </w:tc>
        <w:tc>
          <w:tcPr>
            <w:tcW w:w="1440" w:type="dxa"/>
          </w:tcPr>
          <w:p w14:paraId="5CEDCED4">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2970C48D">
        <w:tblPrEx>
          <w:tblCellMar>
            <w:top w:w="0" w:type="dxa"/>
            <w:left w:w="108" w:type="dxa"/>
            <w:bottom w:w="0" w:type="dxa"/>
            <w:right w:w="108" w:type="dxa"/>
          </w:tblCellMar>
        </w:tblPrEx>
        <w:trPr>
          <w:cantSplit/>
        </w:trPr>
        <w:tc>
          <w:tcPr>
            <w:tcW w:w="5040" w:type="dxa"/>
          </w:tcPr>
          <w:p w14:paraId="0E9F0C7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维度四：</w:t>
            </w:r>
            <w:r>
              <w:rPr>
                <w:rFonts w:hint="eastAsia" w:ascii="宋体" w:hAnsi="宋体" w:eastAsia="宋体" w:cs="宋体"/>
                <w:sz w:val="21"/>
              </w:rPr>
              <w:t>课堂互动</w:t>
            </w:r>
          </w:p>
        </w:tc>
        <w:tc>
          <w:tcPr>
            <w:tcW w:w="1439" w:type="dxa"/>
          </w:tcPr>
          <w:p w14:paraId="2995A0E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17.74</w:t>
            </w:r>
          </w:p>
        </w:tc>
        <w:tc>
          <w:tcPr>
            <w:tcW w:w="1441" w:type="dxa"/>
          </w:tcPr>
          <w:p w14:paraId="18B98C63">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1.29</w:t>
            </w:r>
          </w:p>
        </w:tc>
        <w:tc>
          <w:tcPr>
            <w:tcW w:w="1440" w:type="dxa"/>
          </w:tcPr>
          <w:p w14:paraId="40705E8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r w14:paraId="2715A1F6">
        <w:tblPrEx>
          <w:tblCellMar>
            <w:top w:w="0" w:type="dxa"/>
            <w:left w:w="108" w:type="dxa"/>
            <w:bottom w:w="0" w:type="dxa"/>
            <w:right w:w="108" w:type="dxa"/>
          </w:tblCellMar>
        </w:tblPrEx>
        <w:trPr>
          <w:cantSplit/>
        </w:trPr>
        <w:tc>
          <w:tcPr>
            <w:tcW w:w="5040" w:type="dxa"/>
            <w:tcBorders>
              <w:bottom w:val="single" w:color="000000" w:sz="10" w:space="0"/>
            </w:tcBorders>
          </w:tcPr>
          <w:p w14:paraId="43CA8C9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lang w:val="en-US" w:eastAsia="zh-CN"/>
              </w:rPr>
              <w:t>维度五：</w:t>
            </w:r>
            <w:r>
              <w:rPr>
                <w:rFonts w:hint="eastAsia" w:ascii="宋体" w:hAnsi="宋体" w:eastAsia="宋体" w:cs="宋体"/>
                <w:sz w:val="21"/>
              </w:rPr>
              <w:t>形成性评价与反馈</w:t>
            </w:r>
          </w:p>
        </w:tc>
        <w:tc>
          <w:tcPr>
            <w:tcW w:w="1439" w:type="dxa"/>
            <w:tcBorders>
              <w:bottom w:val="single" w:color="000000" w:sz="10" w:space="0"/>
            </w:tcBorders>
          </w:tcPr>
          <w:p w14:paraId="3642019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17.67</w:t>
            </w:r>
          </w:p>
        </w:tc>
        <w:tc>
          <w:tcPr>
            <w:tcW w:w="1441" w:type="dxa"/>
            <w:tcBorders>
              <w:bottom w:val="single" w:color="000000" w:sz="10" w:space="0"/>
            </w:tcBorders>
          </w:tcPr>
          <w:p w14:paraId="57DA8CF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1.43</w:t>
            </w:r>
          </w:p>
        </w:tc>
        <w:tc>
          <w:tcPr>
            <w:tcW w:w="1440" w:type="dxa"/>
            <w:tcBorders>
              <w:bottom w:val="single" w:color="000000" w:sz="10" w:space="0"/>
            </w:tcBorders>
          </w:tcPr>
          <w:p w14:paraId="69E1B8F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20</w:t>
            </w:r>
          </w:p>
        </w:tc>
      </w:tr>
    </w:tbl>
    <w:p w14:paraId="260BD94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希沃行为统计显示，10节课学生行为占比平均为54.1%，其中8节超过50%。汇总材料记录的学习活动包括讨论、练习、展示和探究，课堂组织涉及任务驱动、合作学习及教师引导等方式。这些资料补充说明，学生参与已具有一定的时间与活动条件，教师也通过提问、指导等方式组织学习。</w:t>
      </w:r>
    </w:p>
    <w:p w14:paraId="5E8CA39F">
      <w:pPr>
        <w:keepNext/>
        <w:pageBreakBefore w:val="0"/>
        <w:overflowPunct w:val="0"/>
        <w:bidi w:val="0"/>
        <w:spacing w:before="0" w:after="100" w:line="360" w:lineRule="auto"/>
        <w:ind w:firstLineChars="200"/>
        <w:jc w:val="center"/>
        <w:textAlignment w:val="auto"/>
        <w:rPr>
          <w:rFonts w:hint="eastAsia" w:ascii="宋体" w:hAnsi="宋体" w:eastAsia="宋体" w:cs="宋体"/>
        </w:rPr>
      </w:pPr>
      <w:r>
        <w:rPr>
          <w:rFonts w:hint="eastAsia" w:ascii="宋体" w:hAnsi="宋体" w:eastAsia="宋体" w:cs="宋体"/>
        </w:rPr>
        <w:drawing>
          <wp:inline distT="0" distB="0" distL="0" distR="0">
            <wp:extent cx="4713605" cy="2333625"/>
            <wp:effectExtent l="0" t="0" r="127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0"/>
                    <a:stretch>
                      <a:fillRect/>
                    </a:stretch>
                  </pic:blipFill>
                  <pic:spPr>
                    <a:xfrm>
                      <a:off x="0" y="0"/>
                      <a:ext cx="4713605" cy="2333625"/>
                    </a:xfrm>
                    <a:prstGeom prst="rect">
                      <a:avLst/>
                    </a:prstGeom>
                    <a:noFill/>
                  </pic:spPr>
                </pic:pic>
              </a:graphicData>
            </a:graphic>
          </wp:inline>
        </w:drawing>
      </w:r>
    </w:p>
    <w:p w14:paraId="5A989271">
      <w:pPr>
        <w:keepNext w:val="0"/>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图3-1  10节课教师行为与学生行为比例</w:t>
      </w:r>
    </w:p>
    <w:p w14:paraId="0E59C75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教师评课关键词词云图补充呈现了观察者关注的课堂内容（图3-2）。其中“问题”“学生”“任务”“思考”“探究”等词较为突出，说明现有评课意见涉及任务组织、学生参与及思考过程。词云用于概览文本关注点，具体解释结合后文主题编码与典型评语展开。</w:t>
      </w:r>
    </w:p>
    <w:p w14:paraId="71B079DC">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从“可见的学习”的视角看，这些关键词提示观察者已经关注目标、任务与学习过程之间的联系，为后续分析学生思考如何呈现提供了线索。词语出现的多少不能单独判断课堂实施质量，也不能据此认定教师评价取向已经发生转变。</w:t>
      </w:r>
    </w:p>
    <w:p w14:paraId="43A2EC30">
      <w:pPr>
        <w:pStyle w:val="11"/>
        <w:keepNext/>
        <w:keepLines w:val="0"/>
        <w:pageBreakBefore w:val="0"/>
        <w:widowControl/>
        <w:suppressLineNumbers w:val="0"/>
        <w:overflowPunct w:val="0"/>
        <w:bidi w:val="0"/>
        <w:spacing w:beforeAutospacing="1" w:afterAutospacing="1" w:line="360" w:lineRule="auto"/>
        <w:ind w:left="0" w:right="0" w:firstLineChars="200"/>
        <w:jc w:val="center"/>
        <w:textAlignment w:val="auto"/>
        <w:rPr>
          <w:rFonts w:hint="eastAsia" w:ascii="宋体" w:hAnsi="宋体" w:eastAsia="宋体" w:cs="宋体"/>
          <w:lang w:val="en-US" w:eastAsia="zh-CN"/>
        </w:rPr>
      </w:pPr>
      <w:r>
        <w:rPr>
          <w:rFonts w:hint="eastAsia" w:ascii="宋体" w:hAnsi="宋体" w:eastAsia="宋体" w:cs="宋体"/>
        </w:rPr>
        <w:drawing>
          <wp:inline distT="0" distB="0" distL="0" distR="0">
            <wp:extent cx="3062605" cy="2842260"/>
            <wp:effectExtent l="0" t="0" r="4445" b="5715"/>
            <wp:docPr id="7" name="图片 13" descr="cdf7b0fb-36bb-44c8-92d0-be442945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cdf7b0fb-36bb-44c8-92d0-be442945bfdc"/>
                    <pic:cNvPicPr>
                      <a:picLocks noChangeAspect="1" noChangeArrowheads="1"/>
                    </pic:cNvPicPr>
                  </pic:nvPicPr>
                  <pic:blipFill>
                    <a:blip r:embed="rId11"/>
                    <a:srcRect b="7256"/>
                    <a:stretch>
                      <a:fillRect/>
                    </a:stretch>
                  </pic:blipFill>
                  <pic:spPr>
                    <a:xfrm>
                      <a:off x="0" y="0"/>
                      <a:ext cx="3062605" cy="2842260"/>
                    </a:xfrm>
                    <a:prstGeom prst="rect">
                      <a:avLst/>
                    </a:prstGeom>
                    <a:noFill/>
                  </pic:spPr>
                </pic:pic>
              </a:graphicData>
            </a:graphic>
          </wp:inline>
        </w:drawing>
      </w:r>
    </w:p>
    <w:p w14:paraId="08C1B02E">
      <w:pPr>
        <w:keepNext w:val="0"/>
        <w:pageBreakBefore w:val="0"/>
        <w:overflowPunct w:val="0"/>
        <w:bidi w:val="0"/>
        <w:spacing w:line="240" w:lineRule="auto"/>
        <w:ind w:firstLineChars="200"/>
        <w:jc w:val="center"/>
        <w:textAlignment w:val="auto"/>
        <w:rPr>
          <w:rFonts w:hint="eastAsia" w:ascii="宋体" w:hAnsi="宋体" w:eastAsia="宋体" w:cs="宋体"/>
          <w:b/>
          <w:bCs/>
          <w:sz w:val="21"/>
          <w:szCs w:val="21"/>
          <w:lang w:val="en-US" w:eastAsia="zh-CN"/>
        </w:rPr>
      </w:pPr>
      <w:r>
        <w:rPr>
          <w:rFonts w:hint="eastAsia" w:ascii="宋体" w:hAnsi="宋体" w:eastAsia="宋体" w:cs="宋体"/>
          <w:b w:val="0"/>
          <w:sz w:val="21"/>
        </w:rPr>
        <w:t>图3-2  教师评课关键词词云图</w:t>
      </w:r>
    </w:p>
    <w:p w14:paraId="3BD894D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结合量表与希沃资料，本批课堂具有内容组织和学习活动的基础；文本中对问题、探究与互动的关注，则进一步提示高阶能力培育已进入教师评课视野。反馈与反思方面的实施状况，还需结合具体评语及编码结果判断。这使整体分析能够从课堂总体评价，进一步进入学生学习过程及其支持条件。</w:t>
      </w:r>
    </w:p>
    <w:p w14:paraId="66E3D817">
      <w:pPr>
        <w:pageBreakBefore w:val="0"/>
        <w:overflowPunct w:val="0"/>
        <w:bidi w:val="0"/>
        <w:spacing w:before="0" w:after="0" w:line="360" w:lineRule="auto"/>
        <w:ind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2）五维课堂表现分析</w:t>
      </w:r>
    </w:p>
    <w:p w14:paraId="3B85E570">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①认知参与</w:t>
      </w:r>
    </w:p>
    <w:p w14:paraId="4A39214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认知参与均值为17.93分，标准差为1.31分。希沃数据中，数学1、数学2和物理2的学生行为占比分别为62%、65%和69%；英语3、物理1分别为29%和39%，显示各课例对师生活动的安排存在差异。汇总材料还涉及实验、任务解决和探究活动，为理解认知参与提供了活动层面的补充。</w:t>
      </w:r>
    </w:p>
    <w:p w14:paraId="10D1311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这些发现说明学生具有参与学习的机会，但参与时间尚不能回答学生如何思考。联系高阶能力培育，需要进一步观察学生能否辨识条件、解释联系、比较方法并提出不同思路。“可见的学习”的实践重点由此落在学生思考的呈现与教师的识别上：通过发言、学习单和探究过程了解学生的理解，再据此给予适当的追问和支持。</w:t>
      </w:r>
    </w:p>
    <w:p w14:paraId="5FBB7665">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②学科内容建构　</w:t>
      </w:r>
    </w:p>
    <w:p w14:paraId="1A2CB3C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学科内容建构均值为18.54分，标准差为1.41分，在五维中位居第二。希沃汇总分析涉及教师讲解、提问与指导，以及学生的实验和任务解决活动；材料将物理1概括为教师支架与学生探究相结合的课堂。这些记录与量表从不同侧面呈现了内容组织和任务推进的支持条件。</w:t>
      </w:r>
    </w:p>
    <w:p w14:paraId="0EBAE06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高阶能力培育要求学生在任务中建立知识联系、作出判断并形成解决思路。因而，内容组织的优势还需要落实为学生能够理解的学习路径。后续应使目标、任务要求与表现标准相互衔接，并借助学生的解释、方案和迁移表现，判断知识是否真正得到运用。</w:t>
      </w:r>
    </w:p>
    <w:p w14:paraId="067D6337">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③社会情感支持</w:t>
      </w:r>
    </w:p>
    <w:p w14:paraId="00256C5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社会情感支持均值为18.96分，标准差为1.15分，是五维中均值最高、评分离散程度最小的维度。希沃汇总材料记录了合作交流、讨论与展示等活动，为这一评价提供了学习情境方面的补充。两类资料共同说明，课堂具有支持学生交往与公开表达的条件，但合作活动的出现本身尚不能证明学生已经形成相应能力。</w:t>
      </w:r>
    </w:p>
    <w:p w14:paraId="5567943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课题需要进一步关注学生在共同任务中如何履行分工、倾听不同意见、面对困难和调整情绪。将这些表现纳入观察与反馈，才能把积极的课堂氛围转化为具体的育人支持，使责任担当、合作共情等能力在学习过程中得到关注。现有AI汇总资料未提供情绪调节与分歧处理的直接指标，这些表现需要通过课堂记录和学生反思补充考察。</w:t>
      </w:r>
    </w:p>
    <w:p w14:paraId="43C1B52F">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④课堂互动　</w:t>
      </w:r>
    </w:p>
    <w:p w14:paraId="3E82D75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课堂互动均值为17.74分，标准差为1.29分，在五维中相对靠后。希沃汇总分析将师生问答、合作交流作为重要的互动表现，并将数学2、物理2描述为探究互动较为突出的课例。学生行为占比及活动描述表明，课堂已安排一定的表达与交流机会；量表的相对低分则提示，互动质量仍有继续提升的空间。</w:t>
      </w:r>
    </w:p>
    <w:p w14:paraId="2EE721F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希沃行为热力图补充呈现了各课例在学生参与、教师指导、互动交流和探究活动方面的分布（图3-3）。其作用在于提供课例观察线索，帮助研究进一步定位互动与探究的具体环节。</w:t>
      </w:r>
    </w:p>
    <w:p w14:paraId="05E5D44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原报告对数学2、物理2的互动与探究给予较积极的描述，并提示英语3的师生行为分布与其他课例有所不同。由于热力图中部分指标尚缺少明确的计算口径，本研究保留图示用于辅助观察，不据其中百分比对课例作质量排序，也不将不同指标直接进行数值比较。</w:t>
      </w:r>
    </w:p>
    <w:p w14:paraId="75200A6B">
      <w:pPr>
        <w:keepNext/>
        <w:pageBreakBefore w:val="0"/>
        <w:widowControl w:val="0"/>
        <w:overflowPunct w:val="0"/>
        <w:bidi w:val="0"/>
        <w:spacing w:before="0" w:after="0" w:line="360" w:lineRule="auto"/>
        <w:ind w:firstLineChars="200"/>
        <w:jc w:val="center"/>
        <w:textAlignment w:val="auto"/>
        <w:rPr>
          <w:rFonts w:hint="eastAsia" w:ascii="宋体" w:hAnsi="宋体" w:eastAsia="宋体" w:cs="宋体"/>
        </w:rPr>
      </w:pPr>
      <w:r>
        <w:rPr>
          <w:rFonts w:hint="eastAsia" w:ascii="宋体" w:hAnsi="宋体" w:eastAsia="宋体" w:cs="宋体"/>
        </w:rPr>
        <w:drawing>
          <wp:inline distT="0" distB="0" distL="0" distR="0">
            <wp:extent cx="4020185" cy="3024505"/>
            <wp:effectExtent l="0" t="0" r="8890" b="4445"/>
            <wp:docPr id="8" name="图片 9" descr="ca7cf688-1d4b-4b98-a2ec-0dcce8326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ca7cf688-1d4b-4b98-a2ec-0dcce8326bcc"/>
                    <pic:cNvPicPr>
                      <a:picLocks noChangeAspect="1" noChangeArrowheads="1"/>
                    </pic:cNvPicPr>
                  </pic:nvPicPr>
                  <pic:blipFill>
                    <a:blip r:embed="rId12"/>
                    <a:srcRect t="4240"/>
                    <a:stretch>
                      <a:fillRect/>
                    </a:stretch>
                  </pic:blipFill>
                  <pic:spPr>
                    <a:xfrm>
                      <a:off x="0" y="0"/>
                      <a:ext cx="4020185" cy="3024505"/>
                    </a:xfrm>
                    <a:prstGeom prst="rect">
                      <a:avLst/>
                    </a:prstGeom>
                    <a:noFill/>
                  </pic:spPr>
                </pic:pic>
              </a:graphicData>
            </a:graphic>
          </wp:inline>
        </w:drawing>
      </w:r>
    </w:p>
    <w:p w14:paraId="1B32705A">
      <w:pPr>
        <w:keepNext w:val="0"/>
        <w:pageBreakBefore w:val="0"/>
        <w:widowControl w:val="0"/>
        <w:overflowPunct w:val="0"/>
        <w:bidi w:val="0"/>
        <w:spacing w:before="0" w:after="0" w:line="240" w:lineRule="auto"/>
        <w:ind w:firstLineChars="200"/>
        <w:jc w:val="center"/>
        <w:textAlignment w:val="auto"/>
        <w:rPr>
          <w:rFonts w:hint="eastAsia" w:ascii="宋体" w:hAnsi="宋体" w:eastAsia="宋体" w:cs="宋体"/>
          <w:b/>
          <w:bCs/>
          <w:kern w:val="2"/>
          <w:sz w:val="21"/>
          <w:szCs w:val="21"/>
          <w:lang w:val="en-US" w:eastAsia="zh-CN"/>
        </w:rPr>
      </w:pPr>
      <w:r>
        <w:rPr>
          <w:rFonts w:hint="eastAsia" w:ascii="宋体" w:hAnsi="宋体" w:eastAsia="宋体" w:cs="宋体"/>
          <w:b w:val="0"/>
          <w:sz w:val="21"/>
        </w:rPr>
        <w:t>图3-3  希沃课堂行为特征分布</w:t>
      </w:r>
    </w:p>
    <w:p w14:paraId="422599B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结合互动维度评分，图示提示后续需要回到问答、讨论和探究的实际过程，分析学生是否充分说明理由、回应不同意见，以及教师是否利用这些表现继续追问。现有资料尚未开展指标间相关检验，因此不据热力图认定参与、互动与探究之间存在统计关联。</w:t>
      </w:r>
    </w:p>
    <w:p w14:paraId="223C5EC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两类资料并不矛盾：活动时间与活动类型说明交流的条件，互动评价则进一步涉及交流的质量。对高阶能力培育而言，关键在于学生是否比较不同观点、解释理由并回应质疑，能否在协商中调整认识。后续课堂应将结果展示与思路说明、同伴回应联系起来，使交流同时支持分析、评价与合作共情，并成为教师判断学生理解的重要依据。</w:t>
      </w:r>
    </w:p>
    <w:p w14:paraId="66BDD456">
      <w:pPr>
        <w:pageBreakBefore w:val="0"/>
        <w:overflowPunct w:val="0"/>
        <w:bidi w:val="0"/>
        <w:spacing w:before="0" w:after="0" w:line="360" w:lineRule="auto"/>
        <w:ind w:firstLine="480" w:firstLineChars="200"/>
        <w:jc w:val="both"/>
        <w:textAlignment w:val="auto"/>
        <w:outlineLvl w:val="5"/>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⑤形成性评价与反馈　</w:t>
      </w:r>
    </w:p>
    <w:p w14:paraId="2EE61C7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形成性评价与反馈均值为17.67分，标准差为1.43分，是五维中均值最低、评分离散程度最大的维度。希沃汇总文字亦将反馈、即时评价和反思调节列为需要改进的方面，但未提供可核对的反馈次数、时长及学生修订数据。因此，两类资料在改进方向上相互呼应，尚不能据此判断反馈不足的具体程度。</w:t>
      </w:r>
    </w:p>
    <w:p w14:paraId="722363B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可见的学习”要求师生能够了解当前学习表现与预期要求之间的差距，并据此采取行动。对本课题而言，评价应进一步联系学生的分析过程、方案质量与合作表现，帮助学生理解标准、发现问题和调整方法。课堂需要保留反馈后的修改与再次尝试机会，通过前后作品、解释或策略的变化，考察学生如何改进学习。</w:t>
      </w:r>
    </w:p>
    <w:p w14:paraId="7BBD21B4">
      <w:pPr>
        <w:pageBreakBefore w:val="0"/>
        <w:numPr>
          <w:ilvl w:val="0"/>
          <w:numId w:val="0"/>
        </w:numPr>
        <w:overflowPunct w:val="0"/>
        <w:bidi w:val="0"/>
        <w:spacing w:before="0" w:after="0" w:line="360" w:lineRule="auto"/>
        <w:ind w:left="0" w:leftChars="0" w:firstLine="480" w:firstLineChars="200"/>
        <w:jc w:val="both"/>
        <w:textAlignment w:val="auto"/>
        <w:outlineLvl w:val="4"/>
        <w:rPr>
          <w:rStyle w:val="15"/>
          <w:rFonts w:hint="eastAsia" w:ascii="宋体" w:hAnsi="宋体" w:eastAsia="宋体" w:cs="宋体"/>
          <w:kern w:val="0"/>
          <w:sz w:val="24"/>
          <w:szCs w:val="24"/>
          <w:lang w:val="en-US" w:eastAsia="zh-CN" w:bidi="ar-SA"/>
        </w:rPr>
      </w:pPr>
      <w:r>
        <w:rPr>
          <w:rStyle w:val="15"/>
          <w:rFonts w:hint="eastAsia" w:ascii="宋体" w:hAnsi="宋体" w:eastAsia="宋体" w:cs="宋体"/>
          <w:b w:val="0"/>
          <w:kern w:val="0"/>
          <w:sz w:val="24"/>
          <w:szCs w:val="24"/>
          <w:lang w:val="en-US" w:eastAsia="zh-CN" w:bidi="ar-SA"/>
        </w:rPr>
        <w:t>3）小结</w:t>
      </w:r>
    </w:p>
    <w:p w14:paraId="4E944304">
      <w:pPr>
        <w:pageBreakBefore w:val="0"/>
        <w:numPr>
          <w:ilvl w:val="0"/>
          <w:numId w:val="0"/>
        </w:numPr>
        <w:overflowPunct w:val="0"/>
        <w:bidi w:val="0"/>
        <w:spacing w:before="0" w:after="0" w:line="360" w:lineRule="auto"/>
        <w:ind w:left="0" w:firstLineChars="200"/>
        <w:jc w:val="both"/>
        <w:textAlignment w:val="auto"/>
        <w:rPr>
          <w:rFonts w:hint="eastAsia" w:ascii="宋体" w:hAnsi="宋体" w:eastAsia="宋体" w:cs="宋体"/>
          <w:b w:val="0"/>
          <w:sz w:val="24"/>
          <w:szCs w:val="24"/>
          <w:lang w:val="en-US" w:eastAsia="zh-CN"/>
        </w:rPr>
      </w:pPr>
      <w:r>
        <w:rPr>
          <w:rFonts w:hint="eastAsia" w:ascii="宋体" w:hAnsi="宋体" w:eastAsia="宋体" w:cs="宋体"/>
          <w:b w:val="0"/>
          <w:sz w:val="24"/>
        </w:rPr>
        <w:t>量表与希沃资料关注同一课堂的不同侧面：前者综合判断教学支持与课堂表现，后者记录活动分布并描述组织方式。将两者对应，可以检视整体判断是否得到不同材料支持，并明确还需收集哪些学习证据（表3-24）。本节采用描述性对应分析，不将其解释为统计意义上的一致性检验。</w:t>
      </w:r>
    </w:p>
    <w:p w14:paraId="7DAB265A">
      <w:pPr>
        <w:pageBreakBefore w:val="0"/>
        <w:overflowPunct w:val="0"/>
        <w:bidi w:val="0"/>
        <w:spacing w:before="0" w:after="100" w:line="240" w:lineRule="auto"/>
        <w:ind w:firstLineChars="200"/>
        <w:jc w:val="center"/>
        <w:textAlignment w:val="auto"/>
        <w:rPr>
          <w:rFonts w:hint="eastAsia" w:ascii="宋体" w:hAnsi="宋体" w:eastAsia="宋体" w:cs="宋体"/>
        </w:rPr>
      </w:pPr>
      <w:r>
        <w:rPr>
          <w:rFonts w:hint="eastAsia" w:ascii="宋体" w:hAnsi="宋体" w:eastAsia="宋体" w:cs="宋体"/>
          <w:b w:val="0"/>
          <w:sz w:val="21"/>
        </w:rPr>
        <w:t>表3-24  量表评价与希沃课堂行为证据的对应关系</w:t>
      </w:r>
    </w:p>
    <w:tbl>
      <w:tblPr>
        <w:tblStyle w:val="12"/>
        <w:tblW w:w="9360" w:type="dxa"/>
        <w:tblInd w:w="0" w:type="dxa"/>
        <w:tblLayout w:type="fixed"/>
        <w:tblCellMar>
          <w:top w:w="0" w:type="dxa"/>
          <w:left w:w="108" w:type="dxa"/>
          <w:bottom w:w="0" w:type="dxa"/>
          <w:right w:w="108" w:type="dxa"/>
        </w:tblCellMar>
      </w:tblPr>
      <w:tblGrid>
        <w:gridCol w:w="2088"/>
        <w:gridCol w:w="3239"/>
        <w:gridCol w:w="4033"/>
      </w:tblGrid>
      <w:tr w14:paraId="536AD43C">
        <w:tblPrEx>
          <w:tblCellMar>
            <w:top w:w="0" w:type="dxa"/>
            <w:left w:w="108" w:type="dxa"/>
            <w:bottom w:w="0" w:type="dxa"/>
            <w:right w:w="108" w:type="dxa"/>
          </w:tblCellMar>
        </w:tblPrEx>
        <w:trPr>
          <w:cantSplit/>
        </w:trPr>
        <w:tc>
          <w:tcPr>
            <w:tcW w:w="2088" w:type="dxa"/>
            <w:tcBorders>
              <w:top w:val="single" w:color="000000" w:sz="10" w:space="0"/>
              <w:bottom w:val="single" w:color="000000" w:sz="4" w:space="0"/>
            </w:tcBorders>
          </w:tcPr>
          <w:p w14:paraId="5B95D16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量表评价证据</w:t>
            </w:r>
          </w:p>
        </w:tc>
        <w:tc>
          <w:tcPr>
            <w:tcW w:w="3239" w:type="dxa"/>
            <w:tcBorders>
              <w:top w:val="single" w:color="000000" w:sz="10" w:space="0"/>
              <w:bottom w:val="single" w:color="000000" w:sz="4" w:space="0"/>
            </w:tcBorders>
          </w:tcPr>
          <w:p w14:paraId="2E84BEC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希沃课堂行为证据</w:t>
            </w:r>
          </w:p>
        </w:tc>
        <w:tc>
          <w:tcPr>
            <w:tcW w:w="4033" w:type="dxa"/>
            <w:tcBorders>
              <w:top w:val="single" w:color="000000" w:sz="10" w:space="0"/>
              <w:bottom w:val="single" w:color="000000" w:sz="4" w:space="0"/>
            </w:tcBorders>
          </w:tcPr>
          <w:p w14:paraId="2F5E971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b/>
                <w:sz w:val="21"/>
              </w:rPr>
              <w:t>综合判断及研究关注</w:t>
            </w:r>
          </w:p>
        </w:tc>
      </w:tr>
      <w:tr w14:paraId="484CFBD1">
        <w:tblPrEx>
          <w:tblCellMar>
            <w:top w:w="0" w:type="dxa"/>
            <w:left w:w="108" w:type="dxa"/>
            <w:bottom w:w="0" w:type="dxa"/>
            <w:right w:w="108" w:type="dxa"/>
          </w:tblCellMar>
        </w:tblPrEx>
        <w:trPr>
          <w:cantSplit/>
        </w:trPr>
        <w:tc>
          <w:tcPr>
            <w:tcW w:w="2088" w:type="dxa"/>
          </w:tcPr>
          <w:p w14:paraId="09BD7E5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认知参与17.93分</w:t>
            </w:r>
          </w:p>
        </w:tc>
        <w:tc>
          <w:tcPr>
            <w:tcW w:w="3239" w:type="dxa"/>
          </w:tcPr>
          <w:p w14:paraId="69942368">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学生行为平均54.1%；8节课超过50%；记录了任务与探究活动</w:t>
            </w:r>
          </w:p>
        </w:tc>
        <w:tc>
          <w:tcPr>
            <w:tcW w:w="4033" w:type="dxa"/>
          </w:tcPr>
          <w:p w14:paraId="64123D3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参与具有时间与活动基础，需进一步考察分析、判断与思路生成的质量</w:t>
            </w:r>
          </w:p>
        </w:tc>
      </w:tr>
      <w:tr w14:paraId="593DEC02">
        <w:tblPrEx>
          <w:tblCellMar>
            <w:top w:w="0" w:type="dxa"/>
            <w:left w:w="108" w:type="dxa"/>
            <w:bottom w:w="0" w:type="dxa"/>
            <w:right w:w="108" w:type="dxa"/>
          </w:tblCellMar>
        </w:tblPrEx>
        <w:trPr>
          <w:cantSplit/>
        </w:trPr>
        <w:tc>
          <w:tcPr>
            <w:tcW w:w="2088" w:type="dxa"/>
          </w:tcPr>
          <w:p w14:paraId="1CE91505">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学科内容建构18.54分</w:t>
            </w:r>
          </w:p>
        </w:tc>
        <w:tc>
          <w:tcPr>
            <w:tcW w:w="3239" w:type="dxa"/>
          </w:tcPr>
          <w:p w14:paraId="1341A91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汇总分析涉及讲解、提问、指导，以及实验、任务解决等活动</w:t>
            </w:r>
          </w:p>
        </w:tc>
        <w:tc>
          <w:tcPr>
            <w:tcW w:w="4033" w:type="dxa"/>
          </w:tcPr>
          <w:p w14:paraId="3EA5607F">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内容组织与任务推进具有支持条件，需通过学生表现判断理解与迁移</w:t>
            </w:r>
          </w:p>
        </w:tc>
      </w:tr>
      <w:tr w14:paraId="3A7CFC49">
        <w:tblPrEx>
          <w:tblCellMar>
            <w:top w:w="0" w:type="dxa"/>
            <w:left w:w="108" w:type="dxa"/>
            <w:bottom w:w="0" w:type="dxa"/>
            <w:right w:w="108" w:type="dxa"/>
          </w:tblCellMar>
        </w:tblPrEx>
        <w:trPr>
          <w:cantSplit/>
        </w:trPr>
        <w:tc>
          <w:tcPr>
            <w:tcW w:w="2088" w:type="dxa"/>
          </w:tcPr>
          <w:p w14:paraId="1E8B6DF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社会情感支持18.96分</w:t>
            </w:r>
          </w:p>
        </w:tc>
        <w:tc>
          <w:tcPr>
            <w:tcW w:w="3239" w:type="dxa"/>
          </w:tcPr>
          <w:p w14:paraId="7F5C1D00">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汇总材料记录合作交流、讨论与展示</w:t>
            </w:r>
          </w:p>
        </w:tc>
        <w:tc>
          <w:tcPr>
            <w:tcW w:w="4033" w:type="dxa"/>
          </w:tcPr>
          <w:p w14:paraId="5BD82459">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交往与表达具有情境基础，责任承担、情绪调节与协商表现需具体观察</w:t>
            </w:r>
          </w:p>
        </w:tc>
      </w:tr>
      <w:tr w14:paraId="715DA0FF">
        <w:tblPrEx>
          <w:tblCellMar>
            <w:top w:w="0" w:type="dxa"/>
            <w:left w:w="108" w:type="dxa"/>
            <w:bottom w:w="0" w:type="dxa"/>
            <w:right w:w="108" w:type="dxa"/>
          </w:tblCellMar>
        </w:tblPrEx>
        <w:trPr>
          <w:cantSplit/>
        </w:trPr>
        <w:tc>
          <w:tcPr>
            <w:tcW w:w="2088" w:type="dxa"/>
          </w:tcPr>
          <w:p w14:paraId="290694BA">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课堂互动17.74分</w:t>
            </w:r>
          </w:p>
        </w:tc>
        <w:tc>
          <w:tcPr>
            <w:tcW w:w="3239" w:type="dxa"/>
          </w:tcPr>
          <w:p w14:paraId="0F5E3B96">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记录师生问答、合作交流；部分课例具有探究互动特征</w:t>
            </w:r>
          </w:p>
        </w:tc>
        <w:tc>
          <w:tcPr>
            <w:tcW w:w="4033" w:type="dxa"/>
          </w:tcPr>
          <w:p w14:paraId="660AC301">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交流活动已开展，需进一步关注观点回应、理由解释与认识修正</w:t>
            </w:r>
          </w:p>
        </w:tc>
      </w:tr>
      <w:tr w14:paraId="260D4AFB">
        <w:tblPrEx>
          <w:tblCellMar>
            <w:top w:w="0" w:type="dxa"/>
            <w:left w:w="108" w:type="dxa"/>
            <w:bottom w:w="0" w:type="dxa"/>
            <w:right w:w="108" w:type="dxa"/>
          </w:tblCellMar>
        </w:tblPrEx>
        <w:trPr>
          <w:cantSplit/>
        </w:trPr>
        <w:tc>
          <w:tcPr>
            <w:tcW w:w="2088" w:type="dxa"/>
            <w:tcBorders>
              <w:bottom w:val="single" w:color="000000" w:sz="10" w:space="0"/>
            </w:tcBorders>
          </w:tcPr>
          <w:p w14:paraId="337A4605">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形成性评价与反馈17.67分</w:t>
            </w:r>
          </w:p>
        </w:tc>
        <w:tc>
          <w:tcPr>
            <w:tcW w:w="3239" w:type="dxa"/>
            <w:tcBorders>
              <w:bottom w:val="single" w:color="000000" w:sz="10" w:space="0"/>
            </w:tcBorders>
          </w:tcPr>
          <w:p w14:paraId="253DBEDD">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汇总文字提出反馈与反思调节不足，缺少具体频次及修订数据</w:t>
            </w:r>
          </w:p>
        </w:tc>
        <w:tc>
          <w:tcPr>
            <w:tcW w:w="4033" w:type="dxa"/>
            <w:tcBorders>
              <w:bottom w:val="single" w:color="000000" w:sz="10" w:space="0"/>
            </w:tcBorders>
          </w:tcPr>
          <w:p w14:paraId="5F5E840C">
            <w:pPr>
              <w:overflowPunct w:val="0"/>
              <w:bidi w:val="0"/>
              <w:spacing w:before="0" w:after="0" w:line="240" w:lineRule="auto"/>
              <w:ind w:firstLineChars="200"/>
              <w:textAlignment w:val="auto"/>
              <w:rPr>
                <w:rFonts w:hint="eastAsia" w:ascii="宋体" w:hAnsi="宋体" w:eastAsia="宋体" w:cs="宋体"/>
              </w:rPr>
            </w:pPr>
            <w:r>
              <w:rPr>
                <w:rFonts w:hint="eastAsia" w:ascii="宋体" w:hAnsi="宋体" w:eastAsia="宋体" w:cs="宋体"/>
                <w:sz w:val="21"/>
              </w:rPr>
              <w:t>改进方向相互呼应，后续需观察反馈内容及学生据此采取的行动</w:t>
            </w:r>
          </w:p>
        </w:tc>
      </w:tr>
    </w:tbl>
    <w:p w14:paraId="108479E4">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szCs w:val="24"/>
          <w:lang w:val="en-US" w:eastAsia="zh-CN"/>
        </w:rPr>
        <w:t>两类证据共同支持的判断是：本批课堂已经具有内容组织、学生参与和合作交</w:t>
      </w:r>
      <w:r>
        <w:rPr>
          <w:rFonts w:hint="eastAsia" w:ascii="宋体" w:hAnsi="宋体" w:eastAsia="宋体" w:cs="宋体"/>
          <w:b w:val="0"/>
          <w:sz w:val="24"/>
          <w:lang w:val="en-US" w:eastAsia="zh-CN"/>
        </w:rPr>
        <w:t>流的基础，进一步改进需要进入学习过程。较多的学生活动并不自动形成深入思考，积极的交流氛围也需要通过具体的回应与协商推动理解。将目标、任务、学生表现与反馈联系起来，是本课题可以着力的实践方向。</w:t>
      </w:r>
    </w:p>
    <w:p w14:paraId="0BD6A0F6">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课堂观察表明，前期教学已具备内容组织、学生参与和情感支持的基础，但深入互动与形成性评价仍需加强。量表、希沃资料及评课文本共同提示，后续应进一步关注学生思考的呈现、同伴观点的回应及反馈后的修订，将七维高阶能力落实为具体任务与表现标准，使学习过程和进步有据可察，为教学模式建构明确实践重点。</w:t>
      </w:r>
    </w:p>
    <w:p w14:paraId="0BE29797">
      <w:pPr>
        <w:pStyle w:val="4"/>
        <w:keepNext/>
        <w:pageBreakBefore w:val="0"/>
        <w:overflowPunct w:val="0"/>
        <w:bidi w:val="0"/>
        <w:snapToGrid w:val="0"/>
        <w:spacing w:before="280" w:after="280" w:line="360" w:lineRule="auto"/>
        <w:ind w:firstLineChars="200"/>
        <w:textAlignment w:val="auto"/>
        <w:rPr>
          <w:rFonts w:hint="eastAsia" w:ascii="宋体" w:hAnsi="宋体" w:eastAsia="宋体" w:cs="宋体"/>
          <w:b/>
          <w:bCs/>
          <w:sz w:val="24"/>
          <w:lang w:val="en-US" w:eastAsia="zh-CN"/>
        </w:rPr>
      </w:pPr>
      <w:bookmarkStart w:id="67" w:name="_Toc27872"/>
      <w:r>
        <w:rPr>
          <w:rFonts w:hint="eastAsia" w:ascii="宋体" w:hAnsi="宋体" w:eastAsia="宋体" w:cs="宋体"/>
          <w:b/>
          <w:bCs/>
          <w:sz w:val="28"/>
          <w:lang w:val="en-US" w:eastAsia="zh-CN"/>
        </w:rPr>
        <w:t>3.前测小结</w:t>
      </w:r>
      <w:bookmarkEnd w:id="67"/>
    </w:p>
    <w:p w14:paraId="6965B6B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综合学生、教师问卷与课堂观察，前期高阶能力培育具有一定基础，但学生学习需要与课堂支持之间仍存在需要改进的环节。</w:t>
      </w:r>
    </w:p>
    <w:p w14:paraId="2BCB7DC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学生高阶能力自评总体均值为4.00分，合作共情与责任担当相对突出；复杂问题拆解、多方案生成、任务反思及紧张情境中的情绪调节得分相对较低。开放性回答中的“听懂但不会做”、知识迁移困难和考试后难以调整等表现，进一步提示教学需要加强思考方法与自我调节支持。</w:t>
      </w:r>
    </w:p>
    <w:p w14:paraId="4FF9368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教师认知与价值认同均值为4.35分，高于课堂实践的4.26分和教学自我效能的4.09分。教师已尝试开放提问和探究任务，但对适配学情的任务设计、现场思维引导仍需积累经验；学生基础差异、课时压力和课例资源不足，也制约实践的持续开展。</w:t>
      </w:r>
    </w:p>
    <w:p w14:paraId="1D63F87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课堂观察与上述发现形成呼应。社会情感支持和学科内容建构均值分别为18.96分、18.54分，课堂互动与形成性评价分别为17.74分、17.67分，相对靠后。希沃资料显示，多数课例已安排一定的学生活动时间，但评课意见仍集中提出增加讨论、扩大表达机会、加强追问和反馈具体化，说明活动安排还需进一步支持学生深入思考与持续改进。</w:t>
      </w:r>
    </w:p>
    <w:p w14:paraId="4DF1DEA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据此，后续模型应将七维高阶能力落实为明确的目标、任务与表现标准，通过思路呈现、同伴回应、反馈修订和反思迁移回应学生需要，并结合任务分层、学习支架与情绪支持，帮助教师依据学习表现调整教学。</w:t>
      </w:r>
    </w:p>
    <w:p w14:paraId="38DFBA3C">
      <w:pPr>
        <w:pStyle w:val="3"/>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sz w:val="28"/>
          <w:szCs w:val="28"/>
        </w:rPr>
      </w:pPr>
      <w:bookmarkStart w:id="68" w:name="_Toc30642"/>
      <w:r>
        <w:rPr>
          <w:rFonts w:hint="eastAsia" w:ascii="宋体" w:hAnsi="宋体" w:eastAsia="宋体" w:cs="宋体"/>
          <w:b/>
          <w:sz w:val="28"/>
        </w:rPr>
        <w:t>（</w:t>
      </w:r>
      <w:r>
        <w:rPr>
          <w:rFonts w:hint="eastAsia" w:ascii="宋体" w:hAnsi="宋体" w:eastAsia="宋体" w:cs="宋体"/>
          <w:b/>
          <w:sz w:val="28"/>
          <w:lang w:val="en-US" w:eastAsia="zh-CN"/>
        </w:rPr>
        <w:t>二</w:t>
      </w:r>
      <w:r>
        <w:rPr>
          <w:rFonts w:hint="eastAsia" w:ascii="宋体" w:hAnsi="宋体" w:eastAsia="宋体" w:cs="宋体"/>
          <w:b/>
          <w:sz w:val="28"/>
        </w:rPr>
        <w:t>）模型的建构</w:t>
      </w:r>
      <w:bookmarkEnd w:id="68"/>
    </w:p>
    <w:p w14:paraId="203B6D58">
      <w:pPr>
        <w:pStyle w:val="4"/>
        <w:keepNext/>
        <w:pageBreakBefore w:val="0"/>
        <w:overflowPunct w:val="0"/>
        <w:bidi w:val="0"/>
        <w:snapToGrid w:val="0"/>
        <w:spacing w:before="280" w:after="280" w:line="360" w:lineRule="auto"/>
        <w:ind w:firstLineChars="200"/>
        <w:textAlignment w:val="auto"/>
        <w:rPr>
          <w:rFonts w:hint="eastAsia" w:ascii="宋体" w:hAnsi="宋体" w:eastAsia="宋体" w:cs="宋体"/>
          <w:b/>
          <w:bCs/>
          <w:sz w:val="28"/>
          <w:lang w:val="en-US" w:eastAsia="zh-CN"/>
        </w:rPr>
      </w:pPr>
      <w:bookmarkStart w:id="69" w:name="_Toc4215"/>
      <w:r>
        <w:rPr>
          <w:rFonts w:hint="eastAsia" w:ascii="宋体" w:hAnsi="宋体" w:eastAsia="宋体" w:cs="宋体"/>
          <w:b/>
          <w:bCs/>
          <w:sz w:val="28"/>
          <w:lang w:val="en-US" w:eastAsia="zh-CN"/>
        </w:rPr>
        <w:t>1.高阶能力培育模型的建构</w:t>
      </w:r>
      <w:bookmarkEnd w:id="69"/>
    </w:p>
    <w:p w14:paraId="025A4CBC">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70" w:name="_Toc13997"/>
      <w:r>
        <w:rPr>
          <w:rFonts w:hint="eastAsia" w:ascii="宋体" w:hAnsi="宋体" w:eastAsia="宋体" w:cs="宋体"/>
          <w:b w:val="0"/>
          <w:sz w:val="24"/>
          <w:lang w:eastAsia="zh-CN"/>
        </w:rPr>
        <w:t>（</w:t>
      </w:r>
      <w:r>
        <w:rPr>
          <w:rFonts w:hint="eastAsia" w:ascii="宋体" w:hAnsi="宋体" w:eastAsia="宋体" w:cs="宋体"/>
          <w:b w:val="0"/>
          <w:sz w:val="24"/>
        </w:rPr>
        <w:t>1</w:t>
      </w:r>
      <w:r>
        <w:rPr>
          <w:rFonts w:hint="eastAsia" w:ascii="宋体" w:hAnsi="宋体" w:eastAsia="宋体" w:cs="宋体"/>
          <w:b w:val="0"/>
          <w:sz w:val="24"/>
          <w:lang w:eastAsia="zh-CN"/>
        </w:rPr>
        <w:t>）</w:t>
      </w:r>
      <w:r>
        <w:rPr>
          <w:rFonts w:hint="eastAsia" w:ascii="宋体" w:hAnsi="宋体" w:eastAsia="宋体" w:cs="宋体"/>
          <w:b w:val="0"/>
          <w:sz w:val="24"/>
        </w:rPr>
        <w:t>模型提出的背景与逻辑</w:t>
      </w:r>
      <w:bookmarkEnd w:id="70"/>
    </w:p>
    <w:p w14:paraId="6FE563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新课标为本研究模型的提出明确了育人方向。《义务教育课程方案和课程标准（2022</w:t>
      </w:r>
      <w:r>
        <w:rPr>
          <w:rFonts w:hint="eastAsia" w:ascii="宋体" w:hAnsi="宋体" w:eastAsia="宋体" w:cs="宋体"/>
        </w:rPr>
        <w:fldChar w:fldCharType="begin"/>
      </w:r>
      <w:r>
        <w:rPr>
          <w:rFonts w:hint="eastAsia" w:ascii="宋体" w:hAnsi="宋体" w:eastAsia="宋体" w:cs="宋体"/>
        </w:rPr>
        <w:instrText xml:space="preserve"> HYPERLINK "https://www.moe.gov.cn/fbh/live/2022/54382/djzw/202204/t20220421_620066.html?utm_source=chatgpt.com" \h </w:instrText>
      </w:r>
      <w:r>
        <w:rPr>
          <w:rFonts w:hint="eastAsia" w:ascii="宋体" w:hAnsi="宋体" w:eastAsia="宋体" w:cs="宋体"/>
        </w:rPr>
        <w:fldChar w:fldCharType="separate"/>
      </w:r>
      <w:r>
        <w:rPr>
          <w:rFonts w:hint="eastAsia" w:ascii="宋体" w:hAnsi="宋体" w:eastAsia="宋体" w:cs="宋体"/>
          <w:b w:val="0"/>
          <w:sz w:val="24"/>
          <w:lang w:val="en-US" w:eastAsia="zh-CN"/>
        </w:rPr>
        <w:t>年版）》强调核心素养导向，关注真实情境中的问题解决，通过主题、项目和任务整合课程内容，并以学业质量标准指导教学与评价。这要求教学将知识学习、能力运用与育人目标联系起来。</w:t>
      </w:r>
      <w:r>
        <w:rPr>
          <w:rFonts w:hint="eastAsia" w:ascii="宋体" w:hAnsi="宋体" w:eastAsia="宋体" w:cs="宋体"/>
          <w:b w:val="0"/>
          <w:sz w:val="24"/>
          <w:lang w:val="en-US" w:eastAsia="zh-CN"/>
        </w:rPr>
        <w:fldChar w:fldCharType="end"/>
      </w:r>
    </w:p>
    <w:p w14:paraId="690C7D2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可见的学习”为落实上述要求提供了教学思路：使学习目标与表现标准能够被学生理解，使思考过程与学习困难能够被师生识别，并通过反馈促进调整。由此，素养要求可以进一步转化为具体任务、可观察的学习表现和持续改进的过程。</w:t>
      </w:r>
    </w:p>
    <w:p w14:paraId="152963D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前期调查则明确了模型需要回应的现实问题。学生合作共情与责任担当自评较积极，但问题拆解、多方案生成、任务反思及情绪调节仍需加强；教师具有较高的培育认同，但任务设计与过程引导仍需支持；课堂内容组织和情感支持已有基础，深入互动与形成性评价相对薄弱。这些发现提示，后续教学需要贯通目标、任务、学习表现与反馈改进。</w:t>
      </w:r>
    </w:p>
    <w:p w14:paraId="13FA9F5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据此，本研究以新课标的素养要求为方向，以“可见的学习”为组织思路，以前期调查为问题依据，构建“目标引领—任务驱动—探究展学—反馈迭代—反思迁移”教学模型，将七维高阶能力落实于学生理解目标、解决问题、交流协商、修订反思和迁移运用的连续过程，为教师依据学习表现调整教学提供实践路径。</w:t>
      </w:r>
    </w:p>
    <w:p w14:paraId="7C61E69A">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71" w:name="_Toc24047"/>
      <w:r>
        <w:rPr>
          <w:rFonts w:hint="eastAsia" w:ascii="宋体" w:hAnsi="宋体" w:eastAsia="宋体" w:cs="宋体"/>
          <w:b w:val="0"/>
          <w:sz w:val="24"/>
          <w:lang w:eastAsia="zh-CN"/>
        </w:rPr>
        <w:t>（</w:t>
      </w:r>
      <w:r>
        <w:rPr>
          <w:rFonts w:hint="eastAsia" w:ascii="宋体" w:hAnsi="宋体" w:eastAsia="宋体" w:cs="宋体"/>
          <w:b w:val="0"/>
          <w:sz w:val="24"/>
        </w:rPr>
        <w:t>2</w:t>
      </w:r>
      <w:r>
        <w:rPr>
          <w:rFonts w:hint="eastAsia" w:ascii="宋体" w:hAnsi="宋体" w:eastAsia="宋体" w:cs="宋体"/>
          <w:b w:val="0"/>
          <w:sz w:val="24"/>
          <w:lang w:eastAsia="zh-CN"/>
        </w:rPr>
        <w:t>）</w:t>
      </w:r>
      <w:r>
        <w:rPr>
          <w:rFonts w:hint="eastAsia" w:ascii="宋体" w:hAnsi="宋体" w:eastAsia="宋体" w:cs="宋体"/>
          <w:b w:val="0"/>
          <w:sz w:val="24"/>
        </w:rPr>
        <w:t>模型</w:t>
      </w:r>
      <w:r>
        <w:rPr>
          <w:rFonts w:hint="eastAsia" w:ascii="宋体" w:hAnsi="宋体" w:eastAsia="宋体" w:cs="宋体"/>
          <w:b w:val="0"/>
          <w:sz w:val="24"/>
          <w:lang w:val="en-US" w:eastAsia="zh-CN"/>
        </w:rPr>
        <w:t>的</w:t>
      </w:r>
      <w:r>
        <w:rPr>
          <w:rFonts w:hint="eastAsia" w:ascii="宋体" w:hAnsi="宋体" w:eastAsia="宋体" w:cs="宋体"/>
          <w:b w:val="0"/>
          <w:sz w:val="24"/>
        </w:rPr>
        <w:t>整体结构</w:t>
      </w:r>
      <w:bookmarkEnd w:id="71"/>
    </w:p>
    <w:p w14:paraId="12DAC37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本研究依据新课标的核心素养要求，结合“可见的学习”理论与前期调查结果，提出“可见的学习”视域下中学生高阶能力培育模型。模型以七维高阶能力发展为目标，由学生学习过程与教师调节系统共同构成：学生通过“目标引领—任务驱动—探究展学—反馈迭代—反思迁移”五个环节，逐步明确学习方向、展开思考、交流协商并改进学习；教师则围绕“诊断发现—干预—实施—评估”持续调节，依据学生表现调整任务、支架与反馈，并将评估结果作为下一轮诊断的依据。两者相互作用，使教学随学习进展不断调整。在学科课堂与科创教育中，模型保持共同的育人方向与实施逻辑，同时根据学科特点和项目进程灵活组织，将课程标准的素养要求与“可见的学习”理念落实于具体实践，兼顾两域实施的系统性与可操作性。</w:t>
      </w:r>
    </w:p>
    <w:p w14:paraId="493BEB54">
      <w:pPr>
        <w:pageBreakBefore w:val="0"/>
        <w:overflowPunct w:val="0"/>
        <w:bidi w:val="0"/>
        <w:snapToGrid w:val="0"/>
        <w:spacing w:line="360" w:lineRule="auto"/>
        <w:ind w:firstLineChars="200"/>
        <w:jc w:val="left"/>
        <w:textAlignment w:val="auto"/>
        <w:rPr>
          <w:rFonts w:hint="eastAsia" w:ascii="宋体" w:hAnsi="宋体" w:eastAsia="宋体" w:cs="宋体"/>
          <w:sz w:val="24"/>
          <w:lang w:val="en-US" w:eastAsia="zh-CN"/>
        </w:rPr>
      </w:pPr>
      <w:r>
        <w:rPr>
          <w:rFonts w:hint="eastAsia" w:ascii="宋体" w:hAnsi="宋体" w:eastAsia="宋体" w:cs="宋体"/>
        </w:rPr>
        <w:drawing>
          <wp:inline distT="0" distB="0" distL="0" distR="0">
            <wp:extent cx="4846320" cy="5894705"/>
            <wp:effectExtent l="0" t="0" r="1905" b="1270"/>
            <wp:docPr id="9" name="图片 16" descr="f7976bfa-43db-42a8-955a-e7e8927a4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f7976bfa-43db-42a8-955a-e7e8927a457a"/>
                    <pic:cNvPicPr>
                      <a:picLocks noChangeAspect="1" noChangeArrowheads="1"/>
                    </pic:cNvPicPr>
                  </pic:nvPicPr>
                  <pic:blipFill>
                    <a:blip r:embed="rId13"/>
                    <a:stretch>
                      <a:fillRect/>
                    </a:stretch>
                  </pic:blipFill>
                  <pic:spPr>
                    <a:xfrm>
                      <a:off x="0" y="0"/>
                      <a:ext cx="4846320" cy="5894705"/>
                    </a:xfrm>
                    <a:prstGeom prst="rect">
                      <a:avLst/>
                    </a:prstGeom>
                    <a:noFill/>
                  </pic:spPr>
                </pic:pic>
              </a:graphicData>
            </a:graphic>
          </wp:inline>
        </w:drawing>
      </w:r>
    </w:p>
    <w:p w14:paraId="24761560">
      <w:pPr>
        <w:pageBreakBefore w:val="0"/>
        <w:overflowPunct w:val="0"/>
        <w:bidi w:val="0"/>
        <w:snapToGrid w:val="0"/>
        <w:spacing w:before="60" w:after="180" w:line="240" w:lineRule="auto"/>
        <w:ind w:firstLineChars="200"/>
        <w:jc w:val="center"/>
        <w:textAlignment w:val="auto"/>
        <w:rPr>
          <w:rFonts w:hint="eastAsia" w:ascii="宋体" w:hAnsi="宋体" w:eastAsia="宋体" w:cs="宋体"/>
          <w:color w:val="C00000"/>
          <w:lang w:val="en-US" w:eastAsia="zh-CN"/>
        </w:rPr>
      </w:pPr>
      <w:r>
        <w:rPr>
          <w:rFonts w:hint="eastAsia" w:ascii="宋体" w:hAnsi="宋体" w:eastAsia="宋体" w:cs="宋体"/>
          <w:b w:val="0"/>
          <w:sz w:val="21"/>
        </w:rPr>
        <w:t>图3-4  可见的学习视域下中学生高阶能力培育模型图（最后修改）</w:t>
      </w:r>
    </w:p>
    <w:p w14:paraId="1C08892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本模型以新课标核心素养要求为导向，融入“可见的学习”理论，指向七维高阶能力培育。在学科教学与科创教育两域中，以五环组织学生学习，以“五见”呈现学习目标、思考与进展；教师通过诊断、干预、实施与评估，依据学习证据持续调整任务、支架和反馈，支持五环全过程。模型结合多源实践证据开展反思迭代，形成学生主动学习与教师循证调节相互促进的育人过程。</w:t>
      </w:r>
    </w:p>
    <w:p w14:paraId="5AFEEB32">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bCs/>
          <w:sz w:val="24"/>
          <w:lang w:val="en-US" w:eastAsia="zh-CN"/>
        </w:rPr>
      </w:pPr>
      <w:bookmarkStart w:id="72" w:name="_Toc6190"/>
      <w:r>
        <w:rPr>
          <w:rFonts w:hint="eastAsia" w:ascii="宋体" w:hAnsi="宋体" w:eastAsia="宋体" w:cs="宋体"/>
          <w:b w:val="0"/>
          <w:bCs/>
          <w:sz w:val="24"/>
          <w:lang w:val="en-US" w:eastAsia="zh-CN"/>
        </w:rPr>
        <w:t>（3）模型的三层结构及实施要点</w:t>
      </w:r>
      <w:bookmarkEnd w:id="72"/>
    </w:p>
    <w:p w14:paraId="37E006E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为将新课标的核心素养要求与“可见的学习”理念落实于教学实践，本研究从功能上将模型划分为目标与设计、实践与调节、评价与改进三个层次。三个层次分别明确培养方向、组织实施过程和提供改进依据，通过学习目标、学生表现与评价反馈相互联系，形成持续调整的整体。</w:t>
      </w:r>
    </w:p>
    <w:p w14:paraId="208734F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具体实施要点见下表。</w:t>
      </w:r>
    </w:p>
    <w:p w14:paraId="5BB7EA6F">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4"/>
          <w:lang w:val="en-US" w:eastAsia="zh-CN"/>
        </w:rPr>
      </w:pPr>
      <w:r>
        <w:rPr>
          <w:rFonts w:hint="eastAsia" w:ascii="宋体" w:hAnsi="宋体" w:eastAsia="宋体" w:cs="宋体"/>
          <w:b w:val="0"/>
          <w:bCs/>
          <w:sz w:val="24"/>
          <w:lang w:val="en-US" w:eastAsia="zh-CN"/>
        </w:rPr>
        <w:t>表　模型的三层结构及实施要点</w:t>
      </w:r>
    </w:p>
    <w:tbl>
      <w:tblPr>
        <w:tblStyle w:val="13"/>
        <w:tblW w:w="91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49"/>
        <w:gridCol w:w="1553"/>
        <w:gridCol w:w="1402"/>
        <w:gridCol w:w="2190"/>
        <w:gridCol w:w="1680"/>
        <w:gridCol w:w="1523"/>
      </w:tblGrid>
      <w:tr w14:paraId="26E3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07" w:hRule="atLeast"/>
          <w:tblHeader/>
          <w:jc w:val="center"/>
        </w:trPr>
        <w:tc>
          <w:tcPr>
            <w:tcW w:w="849" w:type="dxa"/>
            <w:tcBorders>
              <w:top w:val="single" w:color="000000" w:sz="12" w:space="0"/>
              <w:left w:val="nil"/>
              <w:bottom w:val="nil"/>
              <w:right w:val="nil"/>
            </w:tcBorders>
            <w:shd w:val="clear" w:color="auto" w:fill="auto"/>
            <w:vAlign w:val="center"/>
          </w:tcPr>
          <w:p w14:paraId="1C711220">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层次</w:t>
            </w:r>
          </w:p>
        </w:tc>
        <w:tc>
          <w:tcPr>
            <w:tcW w:w="1553" w:type="dxa"/>
            <w:tcBorders>
              <w:top w:val="single" w:color="000000" w:sz="12" w:space="0"/>
              <w:left w:val="nil"/>
              <w:bottom w:val="nil"/>
              <w:right w:val="nil"/>
            </w:tcBorders>
            <w:shd w:val="clear" w:color="auto" w:fill="auto"/>
            <w:vAlign w:val="center"/>
          </w:tcPr>
          <w:p w14:paraId="7FBF3A81">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主要内容</w:t>
            </w:r>
          </w:p>
        </w:tc>
        <w:tc>
          <w:tcPr>
            <w:tcW w:w="1402" w:type="dxa"/>
            <w:tcBorders>
              <w:top w:val="single" w:color="000000" w:sz="12" w:space="0"/>
              <w:left w:val="nil"/>
              <w:bottom w:val="nil"/>
              <w:right w:val="nil"/>
            </w:tcBorders>
            <w:shd w:val="clear" w:color="auto" w:fill="auto"/>
            <w:vAlign w:val="center"/>
          </w:tcPr>
          <w:p w14:paraId="67D716BA">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关键要素</w:t>
            </w:r>
          </w:p>
        </w:tc>
        <w:tc>
          <w:tcPr>
            <w:tcW w:w="2190" w:type="dxa"/>
            <w:tcBorders>
              <w:top w:val="single" w:color="000000" w:sz="12" w:space="0"/>
              <w:left w:val="nil"/>
              <w:bottom w:val="nil"/>
              <w:right w:val="nil"/>
            </w:tcBorders>
            <w:shd w:val="clear" w:color="auto" w:fill="auto"/>
            <w:vAlign w:val="center"/>
          </w:tcPr>
          <w:p w14:paraId="068446EF">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操作工具与证据载体</w:t>
            </w:r>
          </w:p>
        </w:tc>
        <w:tc>
          <w:tcPr>
            <w:tcW w:w="1680" w:type="dxa"/>
            <w:tcBorders>
              <w:top w:val="single" w:color="000000" w:sz="12" w:space="0"/>
              <w:left w:val="nil"/>
              <w:bottom w:val="nil"/>
              <w:right w:val="nil"/>
            </w:tcBorders>
            <w:shd w:val="clear" w:color="auto" w:fill="auto"/>
            <w:vAlign w:val="center"/>
          </w:tcPr>
          <w:p w14:paraId="0B21C5BE">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教学落点</w:t>
            </w:r>
          </w:p>
        </w:tc>
        <w:tc>
          <w:tcPr>
            <w:tcW w:w="1523" w:type="dxa"/>
            <w:tcBorders>
              <w:top w:val="single" w:color="000000" w:sz="12" w:space="0"/>
              <w:left w:val="nil"/>
              <w:bottom w:val="nil"/>
              <w:right w:val="nil"/>
            </w:tcBorders>
            <w:shd w:val="clear" w:color="auto" w:fill="auto"/>
            <w:vAlign w:val="center"/>
          </w:tcPr>
          <w:p w14:paraId="0D391872">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b/>
                <w:bCs/>
                <w:kern w:val="2"/>
                <w:sz w:val="18"/>
                <w:szCs w:val="18"/>
                <w:lang w:val="en-US" w:eastAsia="zh-CN" w:bidi="ar-SA"/>
              </w:rPr>
            </w:pPr>
            <w:r>
              <w:rPr>
                <w:rFonts w:hint="eastAsia" w:ascii="宋体" w:hAnsi="宋体" w:eastAsia="宋体" w:cs="宋体"/>
                <w:b/>
                <w:bCs/>
                <w:kern w:val="0"/>
                <w:sz w:val="21"/>
                <w:szCs w:val="18"/>
                <w:lang w:val="en-US" w:eastAsia="zh-CN" w:bidi="ar-SA"/>
              </w:rPr>
              <w:t>特点与价值</w:t>
            </w:r>
          </w:p>
        </w:tc>
      </w:tr>
      <w:tr w14:paraId="53C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98" w:hRule="atLeast"/>
          <w:jc w:val="center"/>
        </w:trPr>
        <w:tc>
          <w:tcPr>
            <w:tcW w:w="849" w:type="dxa"/>
            <w:tcBorders>
              <w:left w:val="nil"/>
              <w:bottom w:val="nil"/>
              <w:right w:val="nil"/>
            </w:tcBorders>
            <w:shd w:val="clear" w:color="auto" w:fill="auto"/>
            <w:vAlign w:val="center"/>
          </w:tcPr>
          <w:p w14:paraId="122B5637">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目标与设计层</w:t>
            </w:r>
          </w:p>
        </w:tc>
        <w:tc>
          <w:tcPr>
            <w:tcW w:w="1553" w:type="dxa"/>
            <w:tcBorders>
              <w:left w:val="nil"/>
              <w:bottom w:val="nil"/>
              <w:right w:val="nil"/>
            </w:tcBorders>
            <w:shd w:val="clear" w:color="auto" w:fill="auto"/>
            <w:vAlign w:val="center"/>
          </w:tcPr>
          <w:p w14:paraId="0AFB90DC">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依据课程标准、前测发现与学情，确定能力目标，设计任务与评价</w:t>
            </w:r>
          </w:p>
        </w:tc>
        <w:tc>
          <w:tcPr>
            <w:tcW w:w="1402" w:type="dxa"/>
            <w:tcBorders>
              <w:left w:val="nil"/>
              <w:bottom w:val="nil"/>
              <w:right w:val="nil"/>
            </w:tcBorders>
            <w:shd w:val="clear" w:color="auto" w:fill="auto"/>
            <w:vAlign w:val="center"/>
          </w:tcPr>
          <w:p w14:paraId="7EBAF9C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素养导向；七维能力；三层六阶；两境四维；表现标准</w:t>
            </w:r>
          </w:p>
        </w:tc>
        <w:tc>
          <w:tcPr>
            <w:tcW w:w="2190" w:type="dxa"/>
            <w:tcBorders>
              <w:left w:val="nil"/>
              <w:bottom w:val="nil"/>
              <w:right w:val="nil"/>
            </w:tcBorders>
            <w:shd w:val="clear" w:color="auto" w:fill="auto"/>
            <w:vAlign w:val="center"/>
          </w:tcPr>
          <w:p w14:paraId="333A101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课程标准、学情诊断资料、目标与任务设计表、评价量规</w:t>
            </w:r>
          </w:p>
        </w:tc>
        <w:tc>
          <w:tcPr>
            <w:tcW w:w="1680" w:type="dxa"/>
            <w:tcBorders>
              <w:left w:val="nil"/>
              <w:bottom w:val="nil"/>
              <w:right w:val="nil"/>
            </w:tcBorders>
            <w:shd w:val="clear" w:color="auto" w:fill="auto"/>
            <w:vAlign w:val="center"/>
          </w:tcPr>
          <w:p w14:paraId="3F7369EF">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学生明确学什么、需要作出怎样的表现；任务难度与支持条件适配学情</w:t>
            </w:r>
          </w:p>
        </w:tc>
        <w:tc>
          <w:tcPr>
            <w:tcW w:w="1523" w:type="dxa"/>
            <w:tcBorders>
              <w:left w:val="nil"/>
              <w:bottom w:val="nil"/>
              <w:right w:val="nil"/>
            </w:tcBorders>
            <w:shd w:val="clear" w:color="auto" w:fill="auto"/>
            <w:vAlign w:val="center"/>
          </w:tcPr>
          <w:p w14:paraId="529F21C5">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将课程要求转化为具体学习要求，增强目标、任务与评价的一致性</w:t>
            </w:r>
          </w:p>
        </w:tc>
      </w:tr>
      <w:tr w14:paraId="5A7C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536" w:hRule="atLeast"/>
          <w:jc w:val="center"/>
        </w:trPr>
        <w:tc>
          <w:tcPr>
            <w:tcW w:w="849" w:type="dxa"/>
            <w:tcBorders>
              <w:top w:val="nil"/>
              <w:left w:val="nil"/>
              <w:bottom w:val="nil"/>
              <w:right w:val="nil"/>
            </w:tcBorders>
            <w:shd w:val="clear" w:color="auto" w:fill="auto"/>
            <w:vAlign w:val="center"/>
          </w:tcPr>
          <w:p w14:paraId="119717EE">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实践与调节层</w:t>
            </w:r>
          </w:p>
        </w:tc>
        <w:tc>
          <w:tcPr>
            <w:tcW w:w="1553" w:type="dxa"/>
            <w:tcBorders>
              <w:top w:val="nil"/>
              <w:left w:val="nil"/>
              <w:bottom w:val="nil"/>
              <w:right w:val="nil"/>
            </w:tcBorders>
            <w:shd w:val="clear" w:color="auto" w:fill="auto"/>
            <w:vAlign w:val="center"/>
          </w:tcPr>
          <w:p w14:paraId="09089BBF">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在两域中组织五环学习，依据学习证据持续调整教学</w:t>
            </w:r>
          </w:p>
        </w:tc>
        <w:tc>
          <w:tcPr>
            <w:tcW w:w="1402" w:type="dxa"/>
            <w:tcBorders>
              <w:top w:val="nil"/>
              <w:left w:val="nil"/>
              <w:bottom w:val="nil"/>
              <w:right w:val="nil"/>
            </w:tcBorders>
            <w:shd w:val="clear" w:color="auto" w:fill="auto"/>
            <w:vAlign w:val="center"/>
          </w:tcPr>
          <w:p w14:paraId="1C8ECDC1">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两域实施；五环贯通；五见贯穿；教师全过程调节</w:t>
            </w:r>
          </w:p>
        </w:tc>
        <w:tc>
          <w:tcPr>
            <w:tcW w:w="2190" w:type="dxa"/>
            <w:tcBorders>
              <w:top w:val="nil"/>
              <w:left w:val="nil"/>
              <w:bottom w:val="nil"/>
              <w:right w:val="nil"/>
            </w:tcBorders>
            <w:shd w:val="clear" w:color="auto" w:fill="auto"/>
            <w:vAlign w:val="center"/>
          </w:tcPr>
          <w:p w14:paraId="7E993AF8">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学习单、任务单、方案与作品版本、课堂观察记录、自评互评表、反馈记录</w:t>
            </w:r>
          </w:p>
        </w:tc>
        <w:tc>
          <w:tcPr>
            <w:tcW w:w="1680" w:type="dxa"/>
            <w:tcBorders>
              <w:top w:val="nil"/>
              <w:left w:val="nil"/>
              <w:bottom w:val="nil"/>
              <w:right w:val="nil"/>
            </w:tcBorders>
            <w:shd w:val="clear" w:color="auto" w:fill="auto"/>
            <w:vAlign w:val="center"/>
          </w:tcPr>
          <w:p w14:paraId="22C81947">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学生展开分析、判断、创造与协商，运用反馈修订；教师及时识别困难并提供支持</w:t>
            </w:r>
          </w:p>
        </w:tc>
        <w:tc>
          <w:tcPr>
            <w:tcW w:w="1523" w:type="dxa"/>
            <w:tcBorders>
              <w:top w:val="nil"/>
              <w:left w:val="nil"/>
              <w:bottom w:val="nil"/>
              <w:right w:val="nil"/>
            </w:tcBorders>
            <w:shd w:val="clear" w:color="auto" w:fill="auto"/>
            <w:vAlign w:val="center"/>
          </w:tcPr>
          <w:p w14:paraId="74005145">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使能力培育落实于学习过程，促进学生主动学习与教师适切支持相互配合</w:t>
            </w:r>
          </w:p>
        </w:tc>
      </w:tr>
      <w:tr w14:paraId="482C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470" w:hRule="atLeast"/>
          <w:jc w:val="center"/>
        </w:trPr>
        <w:tc>
          <w:tcPr>
            <w:tcW w:w="849" w:type="dxa"/>
            <w:tcBorders>
              <w:top w:val="nil"/>
              <w:left w:val="nil"/>
              <w:bottom w:val="single" w:color="000000" w:sz="12" w:space="0"/>
              <w:right w:val="nil"/>
            </w:tcBorders>
            <w:shd w:val="clear" w:color="auto" w:fill="auto"/>
            <w:vAlign w:val="center"/>
          </w:tcPr>
          <w:p w14:paraId="3A53F8EB">
            <w:pPr>
              <w:keepNext/>
              <w:keepLines w:val="0"/>
              <w:widowControl/>
              <w:suppressLineNumbers w:val="0"/>
              <w:overflowPunct w:val="0"/>
              <w:bidi w:val="0"/>
              <w:snapToGrid w:val="0"/>
              <w:spacing w:before="0" w:after="0" w:line="240" w:lineRule="auto"/>
              <w:ind w:left="0" w:right="0" w:firstLineChars="200"/>
              <w:jc w:val="center"/>
              <w:textAlignment w:val="auto"/>
              <w:rPr>
                <w:rFonts w:hint="eastAsia" w:ascii="宋体" w:hAnsi="宋体" w:eastAsia="宋体" w:cs="宋体"/>
                <w:kern w:val="2"/>
                <w:sz w:val="18"/>
                <w:szCs w:val="18"/>
                <w:lang w:val="en-US" w:eastAsia="zh-CN" w:bidi="ar-SA"/>
              </w:rPr>
            </w:pPr>
            <w:r>
              <w:rPr>
                <w:rStyle w:val="15"/>
                <w:rFonts w:hint="eastAsia" w:ascii="宋体" w:hAnsi="宋体" w:eastAsia="宋体" w:cs="宋体"/>
                <w:kern w:val="0"/>
                <w:sz w:val="21"/>
                <w:szCs w:val="18"/>
                <w:lang w:val="en-US" w:eastAsia="zh-CN" w:bidi="ar-SA"/>
              </w:rPr>
              <w:t>评价与改进层</w:t>
            </w:r>
          </w:p>
        </w:tc>
        <w:tc>
          <w:tcPr>
            <w:tcW w:w="1553" w:type="dxa"/>
            <w:tcBorders>
              <w:top w:val="nil"/>
              <w:left w:val="nil"/>
              <w:bottom w:val="single" w:color="000000" w:sz="12" w:space="0"/>
              <w:right w:val="nil"/>
            </w:tcBorders>
            <w:shd w:val="clear" w:color="auto" w:fill="auto"/>
            <w:vAlign w:val="center"/>
          </w:tcPr>
          <w:p w14:paraId="055960DC">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综合过程与结果证据，分析能力表现、教学支持及改进需要</w:t>
            </w:r>
          </w:p>
        </w:tc>
        <w:tc>
          <w:tcPr>
            <w:tcW w:w="1402" w:type="dxa"/>
            <w:tcBorders>
              <w:top w:val="nil"/>
              <w:left w:val="nil"/>
              <w:bottom w:val="single" w:color="000000" w:sz="12" w:space="0"/>
              <w:right w:val="nil"/>
            </w:tcBorders>
            <w:shd w:val="clear" w:color="auto" w:fill="auto"/>
            <w:vAlign w:val="center"/>
          </w:tcPr>
          <w:p w14:paraId="0A6E89F2">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多源证据；目标达成；表现变化；实践反思；模型迭代</w:t>
            </w:r>
          </w:p>
        </w:tc>
        <w:tc>
          <w:tcPr>
            <w:tcW w:w="2190" w:type="dxa"/>
            <w:tcBorders>
              <w:top w:val="nil"/>
              <w:left w:val="nil"/>
              <w:bottom w:val="single" w:color="000000" w:sz="12" w:space="0"/>
              <w:right w:val="nil"/>
            </w:tcBorders>
            <w:shd w:val="clear" w:color="auto" w:fill="auto"/>
            <w:vAlign w:val="center"/>
          </w:tcPr>
          <w:p w14:paraId="5D45436E">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师生问卷、五维评课表、希沃课堂资料、作品及修订记录、师生访谈</w:t>
            </w:r>
          </w:p>
        </w:tc>
        <w:tc>
          <w:tcPr>
            <w:tcW w:w="1680" w:type="dxa"/>
            <w:tcBorders>
              <w:top w:val="nil"/>
              <w:left w:val="nil"/>
              <w:bottom w:val="single" w:color="000000" w:sz="12" w:space="0"/>
              <w:right w:val="nil"/>
            </w:tcBorders>
            <w:shd w:val="clear" w:color="auto" w:fill="auto"/>
            <w:vAlign w:val="center"/>
          </w:tcPr>
          <w:p w14:paraId="0F59EABD">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考察学生的实际进展，识别有效做法与未解决的问题，调整后续设计</w:t>
            </w:r>
          </w:p>
        </w:tc>
        <w:tc>
          <w:tcPr>
            <w:tcW w:w="1523" w:type="dxa"/>
            <w:tcBorders>
              <w:top w:val="nil"/>
              <w:left w:val="nil"/>
              <w:bottom w:val="single" w:color="000000" w:sz="12" w:space="0"/>
              <w:right w:val="nil"/>
            </w:tcBorders>
            <w:shd w:val="clear" w:color="auto" w:fill="auto"/>
            <w:vAlign w:val="center"/>
          </w:tcPr>
          <w:p w14:paraId="017D609A">
            <w:pPr>
              <w:keepNext/>
              <w:keepLines w:val="0"/>
              <w:widowControl/>
              <w:suppressLineNumbers w:val="0"/>
              <w:overflowPunct w:val="0"/>
              <w:bidi w:val="0"/>
              <w:snapToGrid w:val="0"/>
              <w:spacing w:before="0" w:after="0" w:line="240" w:lineRule="auto"/>
              <w:ind w:left="0" w:right="0" w:firstLineChars="200"/>
              <w:jc w:val="left"/>
              <w:textAlignment w:val="auto"/>
              <w:rPr>
                <w:rFonts w:hint="eastAsia" w:ascii="宋体" w:hAnsi="宋体" w:eastAsia="宋体" w:cs="宋体"/>
                <w:kern w:val="2"/>
                <w:sz w:val="18"/>
                <w:szCs w:val="18"/>
                <w:lang w:val="en-US" w:eastAsia="zh-CN" w:bidi="ar-SA"/>
              </w:rPr>
            </w:pPr>
            <w:r>
              <w:rPr>
                <w:rFonts w:hint="eastAsia" w:ascii="宋体" w:hAnsi="宋体" w:eastAsia="宋体" w:cs="宋体"/>
                <w:kern w:val="0"/>
                <w:sz w:val="21"/>
                <w:szCs w:val="18"/>
                <w:lang w:val="en-US" w:eastAsia="zh-CN" w:bidi="ar-SA"/>
              </w:rPr>
              <w:t>提高成效判断的充分性，为实践改进与模型优化提供依据</w:t>
            </w:r>
          </w:p>
        </w:tc>
      </w:tr>
    </w:tbl>
    <w:p w14:paraId="7457D0B7">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1）第一层：目标与设计层</w:t>
      </w:r>
    </w:p>
    <w:p w14:paraId="305438C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目标与设计层解决培养什么、如何设计的问题。教师依据相应课程标准，结合前测发现与具体学情，确定任务中的高阶能力培育重点。通过“三层六阶”把握学习的认知要求，通过“两境四维”关注学生在不同任务情境中的责任承担、情绪调节、合作共情与包容创新，将能力要求转化为学生能够理解的目标和表现标准。设计时兼顾知识基础与能力运用，使任务具有适当挑战，并为不同学生提供进入学习的条件。</w:t>
      </w:r>
    </w:p>
    <w:p w14:paraId="0D305006">
      <w:pPr>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2）第二层：实践与调节层</w:t>
      </w:r>
    </w:p>
    <w:p w14:paraId="1E1A3E1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实践与调节层是模型运行的核心。在学科教学与科创教育中，通过“目标引领—任务驱动—探究展学—反馈迭代—反思迁移”组织学生学习，以“五见贯穿”支持目标理解、思考呈现、证据收集和进展判断。教师围绕“诊断发现—干预—实施—评估”开展持续调节，依据学生表现调整任务、支架、交流方式及反馈内容。学生学习为教师判断提供证据，教师调节服务于五环全过程，两者共同推动学习深入。</w:t>
      </w:r>
    </w:p>
    <w:p w14:paraId="1C3DC9AC">
      <w:pPr>
        <w:pageBreakBefore w:val="0"/>
        <w:numPr>
          <w:ilvl w:val="0"/>
          <w:numId w:val="0"/>
        </w:numPr>
        <w:overflowPunct w:val="0"/>
        <w:bidi w:val="0"/>
        <w:snapToGrid w:val="0"/>
        <w:spacing w:before="0" w:after="0" w:line="360" w:lineRule="auto"/>
        <w:ind w:left="0" w:leftChars="0" w:firstLine="480" w:firstLineChars="200"/>
        <w:jc w:val="both"/>
        <w:textAlignment w:val="auto"/>
        <w:outlineLvl w:val="4"/>
        <w:rPr>
          <w:rFonts w:hint="eastAsia" w:ascii="宋体" w:hAnsi="宋体" w:eastAsia="宋体" w:cs="宋体"/>
          <w:sz w:val="24"/>
          <w:lang w:val="en-US" w:eastAsia="zh-CN"/>
        </w:rPr>
      </w:pPr>
      <w:r>
        <w:rPr>
          <w:rFonts w:hint="eastAsia" w:ascii="宋体" w:hAnsi="宋体" w:eastAsia="宋体" w:cs="宋体"/>
          <w:b w:val="0"/>
          <w:sz w:val="24"/>
          <w:lang w:val="en-US" w:eastAsia="zh-CN"/>
        </w:rPr>
        <w:t>3）第三层：评价与改进层</w:t>
      </w:r>
    </w:p>
    <w:p w14:paraId="57BB98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评价与改进层解决如何判断学习进展、如何改进实践的问题。研究结合问卷、课堂观察、评课记录、学生作品及访谈等资料，对照目标与表现标准，分析学生如何思考、合作和运用反馈，以及哪些教学支持发挥了作用。在此基础上归纳典型实践样态，将评价发现反馈于目标设计与教学实施，为模型迭代提供依据。</w:t>
      </w:r>
    </w:p>
    <w:p w14:paraId="459E3D0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lang w:val="en-US" w:eastAsia="zh-CN"/>
        </w:rPr>
      </w:pPr>
      <w:r>
        <w:rPr>
          <w:rFonts w:hint="eastAsia" w:ascii="宋体" w:hAnsi="宋体" w:eastAsia="宋体" w:cs="宋体"/>
          <w:b w:val="0"/>
          <w:sz w:val="24"/>
          <w:lang w:val="en-US" w:eastAsia="zh-CN"/>
        </w:rPr>
        <w:t>三层结构在两域实施中保持共同逻辑，同时体现实践差异。学科教学围绕知识、目标、实践与评价展开，突出学科知识理解、思维方法和迁移运用；科创教育增加方案要素，通过方案比较、原型制作、测试改进与展示答辩组织综合实践。各环节的安排依据学习需要灵活调整。</w:t>
      </w:r>
    </w:p>
    <w:p w14:paraId="168D945E">
      <w:pPr>
        <w:pageBreakBefore w:val="0"/>
        <w:overflowPunct w:val="0"/>
        <w:bidi w:val="0"/>
        <w:snapToGrid w:val="0"/>
        <w:spacing w:before="0" w:after="0" w:line="360" w:lineRule="auto"/>
        <w:ind w:firstLineChars="200"/>
        <w:jc w:val="both"/>
        <w:textAlignment w:val="auto"/>
        <w:rPr>
          <w:rFonts w:hint="eastAsia" w:ascii="宋体" w:hAnsi="宋体" w:eastAsia="宋体" w:cs="宋体"/>
          <w:b w:val="0"/>
          <w:sz w:val="24"/>
          <w:lang w:val="en-US" w:eastAsia="zh-CN"/>
        </w:rPr>
      </w:pPr>
      <w:r>
        <w:rPr>
          <w:rFonts w:hint="eastAsia" w:ascii="宋体" w:hAnsi="宋体" w:eastAsia="宋体" w:cs="宋体"/>
          <w:b w:val="0"/>
          <w:sz w:val="24"/>
          <w:lang w:val="en-US" w:eastAsia="zh-CN"/>
        </w:rPr>
        <w:t>“可见的学习”贯穿三个层次：目标与标准为学习提供参照，学生表现为教学调节提供依据，评价结果为后续设计提供方向。因此，三层结构并非一次完成的线性程序，而是在实践中不断反馈、修正和完善的过程。</w:t>
      </w:r>
      <w:bookmarkStart w:id="73" w:name="_Toc8273"/>
    </w:p>
    <w:p w14:paraId="1C2C86C7">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8"/>
          <w:lang w:val="en-US" w:eastAsia="zh-CN"/>
        </w:rPr>
      </w:pPr>
      <w:r>
        <w:rPr>
          <w:rFonts w:hint="eastAsia" w:cs="宋体"/>
          <w:b/>
          <w:bCs/>
          <w:sz w:val="28"/>
          <w:lang w:val="en-US" w:eastAsia="zh-CN"/>
        </w:rPr>
        <w:t>2.</w:t>
      </w:r>
      <w:r>
        <w:rPr>
          <w:rFonts w:hint="eastAsia" w:ascii="宋体" w:hAnsi="宋体" w:eastAsia="宋体" w:cs="宋体"/>
          <w:b/>
          <w:bCs/>
          <w:sz w:val="28"/>
          <w:lang w:val="en-US" w:eastAsia="zh-CN"/>
        </w:rPr>
        <w:t>指向高阶能力发展的学习模型初设计</w:t>
      </w:r>
      <w:bookmarkEnd w:id="73"/>
    </w:p>
    <w:p w14:paraId="781A67B8">
      <w:pPr>
        <w:keepNext/>
        <w:pageBreakBefore w:val="0"/>
        <w:overflowPunct w:val="0"/>
        <w:bidi w:val="0"/>
        <w:snapToGrid w:val="0"/>
        <w:spacing w:before="120" w:after="0" w:line="360" w:lineRule="auto"/>
        <w:ind w:firstLineChars="200"/>
        <w:jc w:val="center"/>
        <w:textAlignment w:val="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234690" cy="4853305"/>
            <wp:effectExtent l="0" t="0" r="3810" b="4445"/>
            <wp:docPr id="10" name="图片 10" descr="7d76c5ba-0293-407e-ab9d-3fb10aa56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76c5ba-0293-407e-ab9d-3fb10aa565bf"/>
                    <pic:cNvPicPr>
                      <a:picLocks noChangeAspect="1"/>
                    </pic:cNvPicPr>
                  </pic:nvPicPr>
                  <pic:blipFill>
                    <a:blip r:embed="rId14"/>
                    <a:stretch>
                      <a:fillRect/>
                    </a:stretch>
                  </pic:blipFill>
                  <pic:spPr>
                    <a:xfrm>
                      <a:off x="0" y="0"/>
                      <a:ext cx="3234690" cy="4853305"/>
                    </a:xfrm>
                    <a:prstGeom prst="rect">
                      <a:avLst/>
                    </a:prstGeom>
                  </pic:spPr>
                </pic:pic>
              </a:graphicData>
            </a:graphic>
          </wp:inline>
        </w:drawing>
      </w:r>
    </w:p>
    <w:p w14:paraId="12CACBD4">
      <w:pPr>
        <w:pageBreakBefore w:val="0"/>
        <w:overflowPunct w:val="0"/>
        <w:bidi w:val="0"/>
        <w:snapToGrid w:val="0"/>
        <w:spacing w:before="60" w:after="18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图3-5  指向高阶能力发展的学习模型图</w:t>
      </w:r>
    </w:p>
    <w:p w14:paraId="3B783EFB">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bookmarkStart w:id="74" w:name="_Toc19804"/>
      <w:r>
        <w:rPr>
          <w:rFonts w:hint="eastAsia" w:ascii="宋体" w:hAnsi="宋体" w:eastAsia="宋体" w:cs="宋体"/>
          <w:b w:val="0"/>
          <w:sz w:val="24"/>
          <w:szCs w:val="24"/>
        </w:rPr>
        <w:t>在高阶能力培育模型的整体框架下，本研究进一步聚焦学生的学习过程，提出以五环学习组织活动、以三层学习引导进阶、以五见贯穿呈现学习、以循证调节提供支持的学习模型初步设计。模型明确各环节的学习活动、表现要求及反馈调整方式，为学科课堂与科创教育实践提供基本参照，并在实施中依据学生的学习表现持续检验和修订，逐步明确其运行方式与适用条件。</w:t>
      </w:r>
    </w:p>
    <w:p w14:paraId="59DC69C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（1）学习</w:t>
      </w:r>
      <w:r>
        <w:rPr>
          <w:rFonts w:hint="eastAsia" w:ascii="宋体" w:hAnsi="宋体" w:eastAsia="宋体" w:cs="宋体"/>
          <w:b/>
          <w:sz w:val="28"/>
          <w:lang w:val="en-US" w:eastAsia="zh-CN"/>
        </w:rPr>
        <w:t>模型的基本逻辑</w:t>
      </w:r>
    </w:p>
    <w:p w14:paraId="27B58B7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学习模型以新课标核心素养要求为导向，将分析、评价、创造、责任担当、情绪调节、合作共情和包容创新七维高阶能力转化为具体任务中的学习目标与表现标准，通过“目标引领—任务驱动—探究展学—反馈迭代—反思迁移”组织学习。学生从理解目标与标准出发，在任务中分析问题、联系知识并形成思路，通过自主探究、合作协商与表达论证深化认识，再依据反馈修订思路与成果，在反思中提炼方法并尝试迁移。五环相互衔接，也可依据学习需要回返推进。</w:t>
      </w:r>
    </w:p>
    <w:p w14:paraId="7653AFE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浅层学习、深层学习和迁移学习为五环运行提供学习进阶的参照。浅层学习关注核心概念、基础知识与基本方法的理解和掌握；深层学习关注知识之间的联系，以及比较、分析、解释和论证；迁移学习关注学生能否在新的情境、需求与约束下选择、调整和运用已有知识与方法。五环说明学习活动如何推进，三层学习则帮助师生判断理解与运用达到什么程度。</w:t>
      </w:r>
    </w:p>
    <w:p w14:paraId="42BDB43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层学习贯穿五环，不与某一环节固定对应。例如，探究展学既可能涉及基础概念的澄清，也可能涉及关系分析与新情境应用；学生在迁移时发现理解不足，也需要返回知识学习、任务分析或方法检验。因此，模型强调依据实际表现判断学习进展，保留补充、回返与再次尝试的空间。</w:t>
      </w:r>
    </w:p>
    <w:p w14:paraId="23BA9D6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模型以学习证据与师生共同判断连接各环节。目标、思维、证据、进步和能力可见，使学习要求与实际表现成为师生能够共同理解、分析和讨论的内容。学生据此开展自评、互评和主动调整；教师持续经历“诊断发现—干预—实施—评估”，适时调整任务、支架与反馈。学习由此在证据支持的互动、修订与再次表现中逐步深化。</w:t>
      </w:r>
    </w:p>
    <w:p w14:paraId="3834BDBB">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（2）模型的基本结构</w:t>
      </w:r>
    </w:p>
    <w:p w14:paraId="02AD2C9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学习模型由五环学习、五见贯穿和循证调节三部分构成，以浅层、深层和迁移学习作为贯穿三部分的学习进阶参照，共同服务于七维高阶能力培育。</w:t>
      </w:r>
    </w:p>
    <w:p w14:paraId="5E2D48A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学习是模型的过程主体，组织学生理解目标、分析任务、探究表达、反馈修订和反思迁移。五见贯穿为学习表现的呈现与判断提供依据，使师生能够对照目标识别进展与困难。循证调节将学习判断转化为具体支持，依据学生表现调整任务、资源、支架和反馈。三部分在同一学习过程中相互作用，因而采用“三部分结构”表述其组成关系。</w:t>
      </w:r>
    </w:p>
    <w:p w14:paraId="6AE9FDE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层学习体现学习质量的进阶，贯穿上述三部分。教师既要关注学生是否经历了相应活动，也要判断其能否理解基本知识、建立知识联系，以及在新条件下调整运用。学生则在理解标准、呈现思考、比较表现与运用反馈的过程中，逐步认识自己的学习状态并增强自主调节能力。</w:t>
      </w:r>
    </w:p>
    <w:p w14:paraId="6D37A9D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据此，模型形成以下关系：以五环组织学习过程，以三层判断学习进阶，以五见支持共同判断，以循证调节促进持续改进。其中，三层学习主要用于分析知识理解与运用的深度；责任担当、情绪调节、合作共情和包容创新等能力，还需结合学生在任务承担、困难应对、合作协商与开放探索中的具体表现作出判断。</w:t>
      </w:r>
    </w:p>
    <w:p w14:paraId="25F79E36">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（3）学习模型三部分结构及实施要点</w:t>
      </w:r>
    </w:p>
    <w:p w14:paraId="514AEF0E">
      <w:pPr>
        <w:keepNext/>
        <w:spacing w:line="360" w:lineRule="auto"/>
        <w:jc w:val="center"/>
      </w:pPr>
      <w:r>
        <w:rPr>
          <w:rFonts w:ascii="宋体" w:hAnsi="宋体" w:eastAsia="宋体"/>
        </w:rPr>
        <w:t>表1  学习模型三部分结构及实施要点</w:t>
      </w:r>
    </w:p>
    <w:tbl>
      <w:tblPr>
        <w:tblStyle w:val="12"/>
        <w:tblW w:w="0" w:type="auto"/>
        <w:tblInd w:w="0" w:type="dxa"/>
        <w:tblLayout w:type="fixed"/>
        <w:tblCellMar>
          <w:top w:w="0" w:type="dxa"/>
          <w:left w:w="108" w:type="dxa"/>
          <w:bottom w:w="0" w:type="dxa"/>
          <w:right w:w="108" w:type="dxa"/>
        </w:tblCellMar>
      </w:tblPr>
      <w:tblGrid>
        <w:gridCol w:w="864"/>
        <w:gridCol w:w="1368"/>
        <w:gridCol w:w="3240"/>
        <w:gridCol w:w="2016"/>
        <w:gridCol w:w="2448"/>
      </w:tblGrid>
      <w:tr w14:paraId="22D4A2BD">
        <w:tblPrEx>
          <w:tblCellMar>
            <w:top w:w="0" w:type="dxa"/>
            <w:left w:w="108" w:type="dxa"/>
            <w:bottom w:w="0" w:type="dxa"/>
            <w:right w:w="108" w:type="dxa"/>
          </w:tblCellMar>
        </w:tblPrEx>
        <w:trPr>
          <w:tblHeader/>
        </w:trPr>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2232746E">
            <w:pPr>
              <w:spacing w:after="80" w:line="240" w:lineRule="auto"/>
            </w:pPr>
            <w:r>
              <w:rPr>
                <w:rFonts w:ascii="宋体" w:hAnsi="宋体" w:eastAsia="宋体"/>
                <w:b/>
                <w:sz w:val="21"/>
              </w:rPr>
              <w:t>组成部分</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60DBEDBE">
            <w:pPr>
              <w:spacing w:after="80" w:line="240" w:lineRule="auto"/>
            </w:pPr>
            <w:r>
              <w:rPr>
                <w:rFonts w:ascii="宋体" w:hAnsi="宋体" w:eastAsia="宋体"/>
                <w:b/>
                <w:sz w:val="21"/>
              </w:rPr>
              <w:t>主要内容</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563946C1">
            <w:pPr>
              <w:spacing w:after="80" w:line="240" w:lineRule="auto"/>
            </w:pPr>
            <w:r>
              <w:rPr>
                <w:rFonts w:ascii="宋体" w:hAnsi="宋体" w:eastAsia="宋体"/>
                <w:b/>
                <w:sz w:val="21"/>
              </w:rPr>
              <w:t>实施要点</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4FD5F9F6">
            <w:pPr>
              <w:spacing w:after="80" w:line="240" w:lineRule="auto"/>
            </w:pPr>
            <w:r>
              <w:rPr>
                <w:rFonts w:ascii="宋体" w:hAnsi="宋体" w:eastAsia="宋体"/>
                <w:b/>
                <w:sz w:val="21"/>
              </w:rPr>
              <w:t>操作工具与证据载体</w:t>
            </w:r>
          </w:p>
        </w:tc>
        <w:tc>
          <w:tcPr>
            <w:tcW w:w="1987" w:type="dxa"/>
            <w:tcBorders>
              <w:top w:val="single" w:color="D9D9D9" w:sz="4" w:space="0"/>
              <w:left w:val="single" w:color="D9D9D9" w:sz="4" w:space="0"/>
              <w:bottom w:val="single" w:color="D9D9D9" w:sz="4" w:space="0"/>
              <w:right w:val="single" w:color="D9D9D9" w:sz="4" w:space="0"/>
            </w:tcBorders>
            <w:shd w:val="clear" w:color="auto" w:fill="EEEEEE"/>
          </w:tcPr>
          <w:p w14:paraId="288B3E5C">
            <w:pPr>
              <w:spacing w:after="80" w:line="240" w:lineRule="auto"/>
            </w:pPr>
            <w:r>
              <w:rPr>
                <w:rFonts w:ascii="宋体" w:hAnsi="宋体" w:eastAsia="宋体"/>
                <w:b/>
                <w:sz w:val="21"/>
              </w:rPr>
              <w:t>教学落点</w:t>
            </w:r>
          </w:p>
        </w:tc>
      </w:tr>
      <w:tr w14:paraId="682C237B">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46829243">
            <w:pPr>
              <w:spacing w:after="80" w:line="240" w:lineRule="auto"/>
            </w:pPr>
            <w:r>
              <w:rPr>
                <w:rFonts w:ascii="宋体" w:hAnsi="宋体" w:eastAsia="宋体"/>
                <w:b w:val="0"/>
                <w:sz w:val="21"/>
              </w:rPr>
              <w:t>五环学习</w:t>
            </w:r>
          </w:p>
        </w:tc>
        <w:tc>
          <w:tcPr>
            <w:tcW w:w="1368" w:type="dxa"/>
            <w:tcBorders>
              <w:top w:val="single" w:color="D9D9D9" w:sz="4" w:space="0"/>
              <w:left w:val="single" w:color="D9D9D9" w:sz="4" w:space="0"/>
              <w:bottom w:val="single" w:color="D9D9D9" w:sz="4" w:space="0"/>
              <w:right w:val="single" w:color="D9D9D9" w:sz="4" w:space="0"/>
            </w:tcBorders>
          </w:tcPr>
          <w:p w14:paraId="55A7E2B3">
            <w:pPr>
              <w:spacing w:after="80" w:line="240" w:lineRule="auto"/>
            </w:pPr>
            <w:r>
              <w:rPr>
                <w:rFonts w:ascii="宋体" w:hAnsi="宋体" w:eastAsia="宋体"/>
                <w:b w:val="0"/>
                <w:sz w:val="21"/>
              </w:rPr>
              <w:t>目标引领、任务驱动、探究展学、反馈迭代、反思迁移</w:t>
            </w:r>
          </w:p>
        </w:tc>
        <w:tc>
          <w:tcPr>
            <w:tcW w:w="3240" w:type="dxa"/>
            <w:tcBorders>
              <w:top w:val="single" w:color="D9D9D9" w:sz="4" w:space="0"/>
              <w:left w:val="single" w:color="D9D9D9" w:sz="4" w:space="0"/>
              <w:bottom w:val="single" w:color="D9D9D9" w:sz="4" w:space="0"/>
              <w:right w:val="single" w:color="D9D9D9" w:sz="4" w:space="0"/>
            </w:tcBorders>
          </w:tcPr>
          <w:p w14:paraId="5B708323">
            <w:pPr>
              <w:spacing w:after="80" w:line="240" w:lineRule="auto"/>
            </w:pPr>
            <w:r>
              <w:rPr>
                <w:rFonts w:ascii="宋体" w:hAnsi="宋体" w:eastAsia="宋体"/>
                <w:b w:val="0"/>
                <w:sz w:val="21"/>
              </w:rPr>
              <w:t>明确目标与标准，设置适当挑战的任务，保障独立思考与合作交流，安排反馈后的再次表现，引导方法反思与迁移；在各环节关注知识理解、关系建构和新情境运用，根据需要回返调整</w:t>
            </w:r>
          </w:p>
        </w:tc>
        <w:tc>
          <w:tcPr>
            <w:tcW w:w="2016" w:type="dxa"/>
            <w:tcBorders>
              <w:top w:val="single" w:color="D9D9D9" w:sz="4" w:space="0"/>
              <w:left w:val="single" w:color="D9D9D9" w:sz="4" w:space="0"/>
              <w:bottom w:val="single" w:color="D9D9D9" w:sz="4" w:space="0"/>
              <w:right w:val="single" w:color="D9D9D9" w:sz="4" w:space="0"/>
            </w:tcBorders>
          </w:tcPr>
          <w:p w14:paraId="0DD3C6A0">
            <w:pPr>
              <w:spacing w:after="80" w:line="240" w:lineRule="auto"/>
            </w:pPr>
            <w:r>
              <w:rPr>
                <w:rFonts w:ascii="宋体" w:hAnsi="宋体" w:eastAsia="宋体"/>
                <w:b w:val="0"/>
                <w:sz w:val="21"/>
              </w:rPr>
              <w:t>目标与标准说明、任务单、方案比较表、作品版本、反思与迁移记录</w:t>
            </w:r>
          </w:p>
        </w:tc>
        <w:tc>
          <w:tcPr>
            <w:tcW w:w="2448" w:type="dxa"/>
            <w:tcBorders>
              <w:top w:val="single" w:color="D9D9D9" w:sz="4" w:space="0"/>
              <w:left w:val="single" w:color="D9D9D9" w:sz="4" w:space="0"/>
              <w:bottom w:val="single" w:color="D9D9D9" w:sz="4" w:space="0"/>
              <w:right w:val="single" w:color="D9D9D9" w:sz="4" w:space="0"/>
            </w:tcBorders>
          </w:tcPr>
          <w:p w14:paraId="71C64474">
            <w:pPr>
              <w:spacing w:after="80" w:line="240" w:lineRule="auto"/>
            </w:pPr>
            <w:r>
              <w:rPr>
                <w:rFonts w:ascii="宋体" w:hAnsi="宋体" w:eastAsia="宋体"/>
                <w:b w:val="0"/>
                <w:sz w:val="21"/>
              </w:rPr>
              <w:t>组织学生经历理解、分析、判断、创造与协商，将七维高阶能力落实于具体任务</w:t>
            </w:r>
          </w:p>
        </w:tc>
      </w:tr>
      <w:tr w14:paraId="3FD0E786">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05DCAD1A">
            <w:pPr>
              <w:spacing w:after="80" w:line="240" w:lineRule="auto"/>
            </w:pPr>
            <w:r>
              <w:rPr>
                <w:rFonts w:ascii="宋体" w:hAnsi="宋体" w:eastAsia="宋体"/>
                <w:b w:val="0"/>
                <w:sz w:val="21"/>
              </w:rPr>
              <w:t>五见贯穿</w:t>
            </w:r>
          </w:p>
        </w:tc>
        <w:tc>
          <w:tcPr>
            <w:tcW w:w="1368" w:type="dxa"/>
            <w:tcBorders>
              <w:top w:val="single" w:color="D9D9D9" w:sz="4" w:space="0"/>
              <w:left w:val="single" w:color="D9D9D9" w:sz="4" w:space="0"/>
              <w:bottom w:val="single" w:color="D9D9D9" w:sz="4" w:space="0"/>
              <w:right w:val="single" w:color="D9D9D9" w:sz="4" w:space="0"/>
            </w:tcBorders>
          </w:tcPr>
          <w:p w14:paraId="07607917">
            <w:pPr>
              <w:spacing w:after="80" w:line="240" w:lineRule="auto"/>
            </w:pPr>
            <w:r>
              <w:rPr>
                <w:rFonts w:ascii="宋体" w:hAnsi="宋体" w:eastAsia="宋体"/>
                <w:b w:val="0"/>
                <w:sz w:val="21"/>
              </w:rPr>
              <w:t>目标可见、思维可见、证据可见、进步可见、能力可见</w:t>
            </w:r>
          </w:p>
        </w:tc>
        <w:tc>
          <w:tcPr>
            <w:tcW w:w="3240" w:type="dxa"/>
            <w:tcBorders>
              <w:top w:val="single" w:color="D9D9D9" w:sz="4" w:space="0"/>
              <w:left w:val="single" w:color="D9D9D9" w:sz="4" w:space="0"/>
              <w:bottom w:val="single" w:color="D9D9D9" w:sz="4" w:space="0"/>
              <w:right w:val="single" w:color="D9D9D9" w:sz="4" w:space="0"/>
            </w:tcBorders>
          </w:tcPr>
          <w:p w14:paraId="7568D08D">
            <w:pPr>
              <w:spacing w:after="80" w:line="240" w:lineRule="auto"/>
            </w:pPr>
            <w:r>
              <w:rPr>
                <w:rFonts w:ascii="宋体" w:hAnsi="宋体" w:eastAsia="宋体"/>
                <w:b w:val="0"/>
                <w:sz w:val="21"/>
              </w:rPr>
              <w:t>借助样例理解标准，通过解释、图示和作品呈现思考，选择与目标相关的证据，比较前后表现，共同判断学习深度、能力表现与改进方向</w:t>
            </w:r>
          </w:p>
        </w:tc>
        <w:tc>
          <w:tcPr>
            <w:tcW w:w="2016" w:type="dxa"/>
            <w:tcBorders>
              <w:top w:val="single" w:color="D9D9D9" w:sz="4" w:space="0"/>
              <w:left w:val="single" w:color="D9D9D9" w:sz="4" w:space="0"/>
              <w:bottom w:val="single" w:color="D9D9D9" w:sz="4" w:space="0"/>
              <w:right w:val="single" w:color="D9D9D9" w:sz="4" w:space="0"/>
            </w:tcBorders>
          </w:tcPr>
          <w:p w14:paraId="08D54B03">
            <w:pPr>
              <w:spacing w:after="80" w:line="240" w:lineRule="auto"/>
            </w:pPr>
            <w:r>
              <w:rPr>
                <w:rFonts w:ascii="宋体" w:hAnsi="宋体" w:eastAsia="宋体"/>
                <w:b w:val="0"/>
                <w:sz w:val="21"/>
              </w:rPr>
              <w:t>课堂发言、学习单、思维图示、合作记录、自评互评表、作品修订记录</w:t>
            </w:r>
          </w:p>
        </w:tc>
        <w:tc>
          <w:tcPr>
            <w:tcW w:w="2448" w:type="dxa"/>
            <w:tcBorders>
              <w:top w:val="single" w:color="D9D9D9" w:sz="4" w:space="0"/>
              <w:left w:val="single" w:color="D9D9D9" w:sz="4" w:space="0"/>
              <w:bottom w:val="single" w:color="D9D9D9" w:sz="4" w:space="0"/>
              <w:right w:val="single" w:color="D9D9D9" w:sz="4" w:space="0"/>
            </w:tcBorders>
          </w:tcPr>
          <w:p w14:paraId="4B21C539">
            <w:pPr>
              <w:spacing w:after="80" w:line="240" w:lineRule="auto"/>
            </w:pPr>
            <w:r>
              <w:rPr>
                <w:rFonts w:ascii="宋体" w:hAnsi="宋体" w:eastAsia="宋体"/>
                <w:b w:val="0"/>
                <w:sz w:val="21"/>
              </w:rPr>
              <w:t>帮助学生认识当前表现与下一步要求，为教师判断学习状况及支持效果提供依据</w:t>
            </w:r>
          </w:p>
        </w:tc>
      </w:tr>
      <w:tr w14:paraId="43494885">
        <w:tblPrEx>
          <w:tblCellMar>
            <w:top w:w="0" w:type="dxa"/>
            <w:left w:w="108" w:type="dxa"/>
            <w:bottom w:w="0" w:type="dxa"/>
            <w:right w:w="108" w:type="dxa"/>
          </w:tblCellMar>
        </w:tblPrEx>
        <w:tc>
          <w:tcPr>
            <w:tcW w:w="864" w:type="dxa"/>
            <w:tcBorders>
              <w:top w:val="single" w:color="D9D9D9" w:sz="4" w:space="0"/>
              <w:left w:val="single" w:color="D9D9D9" w:sz="4" w:space="0"/>
              <w:bottom w:val="single" w:color="D9D9D9" w:sz="4" w:space="0"/>
              <w:right w:val="single" w:color="D9D9D9" w:sz="4" w:space="0"/>
            </w:tcBorders>
          </w:tcPr>
          <w:p w14:paraId="72B1328A">
            <w:pPr>
              <w:spacing w:after="80" w:line="240" w:lineRule="auto"/>
            </w:pPr>
            <w:r>
              <w:rPr>
                <w:rFonts w:ascii="宋体" w:hAnsi="宋体" w:eastAsia="宋体"/>
                <w:b w:val="0"/>
                <w:sz w:val="21"/>
              </w:rPr>
              <w:t>循证调节</w:t>
            </w:r>
          </w:p>
        </w:tc>
        <w:tc>
          <w:tcPr>
            <w:tcW w:w="1368" w:type="dxa"/>
            <w:tcBorders>
              <w:top w:val="single" w:color="D9D9D9" w:sz="4" w:space="0"/>
              <w:left w:val="single" w:color="D9D9D9" w:sz="4" w:space="0"/>
              <w:bottom w:val="single" w:color="D9D9D9" w:sz="4" w:space="0"/>
              <w:right w:val="single" w:color="D9D9D9" w:sz="4" w:space="0"/>
            </w:tcBorders>
          </w:tcPr>
          <w:p w14:paraId="1F08330F">
            <w:pPr>
              <w:spacing w:after="80" w:line="240" w:lineRule="auto"/>
            </w:pPr>
            <w:r>
              <w:rPr>
                <w:rFonts w:ascii="宋体" w:hAnsi="宋体" w:eastAsia="宋体"/>
                <w:b w:val="0"/>
                <w:sz w:val="21"/>
              </w:rPr>
              <w:t>诊断发现、干预、实施、评估</w:t>
            </w:r>
          </w:p>
        </w:tc>
        <w:tc>
          <w:tcPr>
            <w:tcW w:w="3240" w:type="dxa"/>
            <w:tcBorders>
              <w:top w:val="single" w:color="D9D9D9" w:sz="4" w:space="0"/>
              <w:left w:val="single" w:color="D9D9D9" w:sz="4" w:space="0"/>
              <w:bottom w:val="single" w:color="D9D9D9" w:sz="4" w:space="0"/>
              <w:right w:val="single" w:color="D9D9D9" w:sz="4" w:space="0"/>
            </w:tcBorders>
          </w:tcPr>
          <w:p w14:paraId="66A1BC6A">
            <w:pPr>
              <w:spacing w:after="80" w:line="240" w:lineRule="auto"/>
            </w:pPr>
            <w:r>
              <w:rPr>
                <w:rFonts w:ascii="宋体" w:hAnsi="宋体" w:eastAsia="宋体"/>
                <w:b w:val="0"/>
                <w:sz w:val="21"/>
              </w:rPr>
              <w:t>辨识知识、方法、情绪与合作等方面的困难，结合学习进展选择支持方式，观察实施后的变化并再次调整；随学生自主性增强逐步减少支架</w:t>
            </w:r>
          </w:p>
        </w:tc>
        <w:tc>
          <w:tcPr>
            <w:tcW w:w="2016" w:type="dxa"/>
            <w:tcBorders>
              <w:top w:val="single" w:color="D9D9D9" w:sz="4" w:space="0"/>
              <w:left w:val="single" w:color="D9D9D9" w:sz="4" w:space="0"/>
              <w:bottom w:val="single" w:color="D9D9D9" w:sz="4" w:space="0"/>
              <w:right w:val="single" w:color="D9D9D9" w:sz="4" w:space="0"/>
            </w:tcBorders>
          </w:tcPr>
          <w:p w14:paraId="30EFE0CF">
            <w:pPr>
              <w:spacing w:after="80" w:line="240" w:lineRule="auto"/>
            </w:pPr>
            <w:r>
              <w:rPr>
                <w:rFonts w:ascii="宋体" w:hAnsi="宋体" w:eastAsia="宋体"/>
                <w:b w:val="0"/>
                <w:sz w:val="21"/>
              </w:rPr>
              <w:t>课堂观察记录、诊断性提问、学习支架、反馈记录、简短访谈</w:t>
            </w:r>
          </w:p>
        </w:tc>
        <w:tc>
          <w:tcPr>
            <w:tcW w:w="2448" w:type="dxa"/>
            <w:tcBorders>
              <w:top w:val="single" w:color="D9D9D9" w:sz="4" w:space="0"/>
              <w:left w:val="single" w:color="D9D9D9" w:sz="4" w:space="0"/>
              <w:bottom w:val="single" w:color="D9D9D9" w:sz="4" w:space="0"/>
              <w:right w:val="single" w:color="D9D9D9" w:sz="4" w:space="0"/>
            </w:tcBorders>
          </w:tcPr>
          <w:p w14:paraId="68BB5B19">
            <w:pPr>
              <w:spacing w:after="80" w:line="240" w:lineRule="auto"/>
            </w:pPr>
            <w:r>
              <w:rPr>
                <w:rFonts w:ascii="宋体" w:hAnsi="宋体" w:eastAsia="宋体"/>
                <w:b w:val="0"/>
                <w:sz w:val="21"/>
              </w:rPr>
              <w:t>将证据转化为教学调整，支持理解深化、迁移运用及学生自我调节</w:t>
            </w:r>
          </w:p>
        </w:tc>
      </w:tr>
    </w:tbl>
    <w:p w14:paraId="2FEC0341">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1）五环学习：组织学习过程，支持理解与运用逐步深化</w:t>
      </w:r>
    </w:p>
    <w:p w14:paraId="0E6BE6D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学习是模型的主体。目标引领将课程标准的素养要求转化为学生能够理解的目标与表现标准，既说明需要掌握什么，也说明需要怎样解释、判断和运用。任务驱动引导学生调动已有知识，分析问题及条件，识别需要补充的知识与方法，形成初步思路。探究展学通过自主探究、合作协商和表达交流，促使学生建立联系、比较观点、解释依据并检验认识。反馈迭代支持学生对照标准分析差距，依据反馈修订思路与成果。反思迁移引导学生提炼方法、辨析适用条件，并在变化的情境中尝试运用。</w:t>
      </w:r>
    </w:p>
    <w:p w14:paraId="2E64C74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层学习贯穿五环运行。基础知识与方法的理解为进一步探究提供必要条件，关系建构与分析论证促进认识深化，新情境中的运用则检验学生能否选择和调整所学。三者可以在同一任务中交织发生，也可能随任务推进而反复转换。教师应根据学生的实际表现安排补充学习、再次探究或迁移尝试，避免仅依据环节完成情况判断学习质量。</w:t>
      </w:r>
    </w:p>
    <w:p w14:paraId="73DD9FF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环同时为七维高阶能力提供实践机会。学生在分析任务和比较方案中练习分析、评价与创造，在承担分工、应对挫折、协商分歧和接纳不同思路中发展相关能力。各维度的表现取决于任务要求与实施条件，需要结合具体行为持续观察。</w:t>
      </w:r>
    </w:p>
    <w:p w14:paraId="4A67F7F0">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2）五见贯穿：使学习进阶与能力表现具有可判断的依据</w:t>
      </w:r>
    </w:p>
    <w:p w14:paraId="6E63AD8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五见贯穿包括目标可见、思维可见、证据可见、进步可见和能力可见，体现“可见的学习”在模型中的具体落实。</w:t>
      </w:r>
    </w:p>
    <w:p w14:paraId="541D68AA">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目标可见强调学生理解学习方向、任务要求与达成标准，知道需要掌握哪些知识、建立哪些联系，以及在什么条件下运用。思维可见通过解释、图示、讨论和方案呈现学生的思考，使其概念理解、关系分析与方法选择能够被观察和讨论。证据可见强调围绕目标收集和使用发言、学习单、作品及合作记录，说明学习判断的依据。进步可见通过前后回答、作品版本和任务表现的比较，识别变化发生在哪里、哪些困难仍然存在。能力可见则依据具体任务中的综合表现，考察学生如何运用知识、方法并应对合作与情绪方面的要求。</w:t>
      </w:r>
    </w:p>
    <w:p w14:paraId="5CAC0D1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五见贯穿五环全过程，为师生自评、互评和反馈提供共同依据。对三层学习的判断，应关注学生解释是否准确、联系是否合理，以及新情境中的运用是否适切；对七维能力的判断，则需结合任务要求与多次表现。通过共同分析证据，学生逐步学会识别自身学习状态，教师也能据此判断支持是否促进了实际改进。</w:t>
      </w:r>
    </w:p>
    <w:p w14:paraId="672729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r>
        <w:rPr>
          <w:rFonts w:hint="eastAsia" w:ascii="宋体" w:hAnsi="宋体" w:eastAsia="宋体" w:cs="宋体"/>
          <w:b/>
          <w:sz w:val="28"/>
          <w:lang w:val="en-US" w:eastAsia="zh-CN"/>
        </w:rPr>
        <w:t>3）循证调节：依据学习状态提供适切支持</w:t>
      </w:r>
    </w:p>
    <w:p w14:paraId="4D087E42">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循证调节由诊断发现、干预、实施和评估构成，贯穿五环学习全过程。教师依据目标与标准，分析学生的思路、作品和合作表现，辨识困难来自知识基础、任务理解、关系建构或方法选择，还是情绪状态与协商过程，再据此确定支持方式。</w:t>
      </w:r>
    </w:p>
    <w:p w14:paraId="7A8B632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当学生尚未理解核心概念与基本方法时，可通过示例、比较和针对性练习帮助澄清；当学生能够掌握知识但难以建立联系、解释理由时，可通过追问、图示和观点比较促进分析论证；当学生在新情境中难以选择方法或调整方案时，可引导其辨析情境差异、检查适用条件并开展验证。涉及责任承担、情绪调节和合作困难时，则结合分工协商、同伴支持与情绪支持作出调整。</w:t>
      </w:r>
    </w:p>
    <w:p w14:paraId="18DF2E7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这些支持依据学生表现灵活选择，并在实施中持续检验。教师通过学生再次解释、作品修订、方案测试或合作表现判断支持效果，决定是否补充资源、改变任务、延长探究或减少支架。学生也在自评、同伴回应与反馈运用中主动调整，逐步承担更多判断和决策责任。</w:t>
      </w:r>
    </w:p>
    <w:p w14:paraId="2FBA7B0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实施中，三部分共同运行，三层学习贯穿其中。教师将证据收集融入日常任务，学生在呈现思考、比较表现与修订成果的过程中深化理解、尝试迁移并发展相关能力。由此，模型初步建立起学习活动、学习进阶、共同判断与教学支持之间的联系，为后续两域实践及模型迭代提供依据。</w:t>
      </w:r>
    </w:p>
    <w:p w14:paraId="656B9865">
      <w:pPr>
        <w:pStyle w:val="3"/>
        <w:keepNext/>
        <w:pageBreakBefore w:val="0"/>
        <w:numPr>
          <w:ilvl w:val="0"/>
          <w:numId w:val="0"/>
        </w:numPr>
        <w:overflowPunct w:val="0"/>
        <w:bidi w:val="0"/>
        <w:snapToGrid w:val="0"/>
        <w:spacing w:before="60" w:after="80" w:line="360" w:lineRule="auto"/>
        <w:ind w:leftChars="-200" w:firstLineChars="200"/>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（三）“可见的学习”视域下中学生高阶能力培育的两域实施</w:t>
      </w:r>
      <w:bookmarkEnd w:id="74"/>
    </w:p>
    <w:p w14:paraId="21406D7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8"/>
          <w:lang w:val="en-US" w:eastAsia="zh-CN"/>
        </w:rPr>
      </w:pPr>
      <w:bookmarkStart w:id="75" w:name="_Toc22199"/>
      <w:r>
        <w:rPr>
          <w:rFonts w:hint="eastAsia" w:ascii="宋体" w:hAnsi="宋体" w:eastAsia="宋体" w:cs="宋体"/>
          <w:b/>
          <w:sz w:val="28"/>
          <w:lang w:val="en-US" w:eastAsia="zh-CN"/>
        </w:rPr>
        <w:t>1.学科教学场域的实施</w:t>
      </w:r>
      <w:bookmarkEnd w:id="75"/>
    </w:p>
    <w:p w14:paraId="3751285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教学场域以相应课程标准的核心素养要求为依据，将七维高阶能力培育融入知识理解、学科探究与实践运用。前期调查与课堂观察表明，学生在复杂问题拆解、多种方案生成和反思调节等方面仍需支持，课堂互动与形成性反馈也有进一步改进的空间。为回应上述问题，本研究借鉴“可见的学习”的相关理论与实践框架，从学习要素、目标、内容、过程和评价五个方面组织学科实施，并结合既有课例，分析学习要求如何转化为任务、学生表现如何成为师生判断与调整的依据。</w:t>
      </w:r>
    </w:p>
    <w:p w14:paraId="7C5C2E3E">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6" w:name="_Toc18976"/>
      <w:r>
        <w:rPr>
          <w:rFonts w:hint="eastAsia" w:ascii="宋体" w:hAnsi="宋体" w:eastAsia="宋体" w:cs="宋体"/>
          <w:b/>
          <w:bCs/>
          <w:sz w:val="28"/>
          <w:szCs w:val="24"/>
        </w:rPr>
        <w:t>（1）可见的学习四要素分析框架</w:t>
      </w:r>
      <w:bookmarkEnd w:id="76"/>
    </w:p>
    <w:p w14:paraId="601E174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可见的学习”强调教师依据学生的学习表现认识教学的作用，同时帮助学生理解学习目标、判断当前进展并参与学习调节[2]。借鉴邱惠芬以知识、目标、实践和评价联系教与学的分析思路[1]，本研究将四要素作为学科实施的基本参照：目标明确预期表现，知识提供思考基础，实践创造运用机会，评价依据表现判断进展。四者的联系，使学生能够把握学习方向，使教师能够从解释、行动与作品中识别理解和困难，并考察所提供支持是否促进了学习。</w:t>
      </w:r>
    </w:p>
    <w:p w14:paraId="5985B02F">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2694305" cy="2694305"/>
            <wp:effectExtent l="0" t="0" r="1270" b="127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5"/>
                    <a:stretch>
                      <a:fillRect/>
                    </a:stretch>
                  </pic:blipFill>
                  <pic:spPr>
                    <a:xfrm>
                      <a:off x="0" y="0"/>
                      <a:ext cx="2694305" cy="2694305"/>
                    </a:xfrm>
                    <a:prstGeom prst="rect">
                      <a:avLst/>
                    </a:prstGeom>
                    <a:noFill/>
                  </pic:spPr>
                </pic:pic>
              </a:graphicData>
            </a:graphic>
          </wp:inline>
        </w:drawing>
      </w:r>
    </w:p>
    <w:p w14:paraId="263CD2CB">
      <w:pPr>
        <w:pageBreakBefore w:val="0"/>
        <w:overflowPunct w:val="0"/>
        <w:bidi w:val="0"/>
        <w:spacing w:line="240" w:lineRule="auto"/>
        <w:ind w:firstLineChars="200"/>
        <w:jc w:val="center"/>
        <w:textAlignment w:val="auto"/>
        <w:rPr>
          <w:rFonts w:hint="eastAsia" w:ascii="宋体" w:hAnsi="宋体" w:eastAsia="宋体" w:cs="宋体"/>
          <w:b w:val="0"/>
          <w:sz w:val="21"/>
        </w:rPr>
      </w:pPr>
      <w:r>
        <w:rPr>
          <w:rFonts w:hint="eastAsia" w:ascii="宋体" w:hAnsi="宋体" w:eastAsia="宋体" w:cs="宋体"/>
          <w:b w:val="0"/>
          <w:sz w:val="21"/>
        </w:rPr>
        <w:t>图3-6  学科实践学习四要素分析框架</w:t>
      </w:r>
    </w:p>
    <w:p w14:paraId="7856E358">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图3-7  以目标为参照，将知识、实践与评价联系起来，并在每个要素中同时呈现学生行动与教师支持。表2进一步明确四要素的实施重点及判断依据：知识关注理解与联系，目标关注要求与标准，实践关注分析、论证与合作，评价关注诊断、反馈与修订。“五见”贯穿上述关系，要求师生能够明确目标、呈现思维、获取证据、辨识进步，并通过持续的任务表现考察能力。四要素由此共同服务于课程要求、学习活动与评价判断的一致。</w:t>
      </w:r>
    </w:p>
    <w:p w14:paraId="0FBD66F5">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表3-25  学科场域四要素的实施分析</w:t>
      </w:r>
    </w:p>
    <w:tbl>
      <w:tblPr>
        <w:tblStyle w:val="12"/>
        <w:tblW w:w="9265" w:type="dxa"/>
        <w:jc w:val="center"/>
        <w:tblLayout w:type="fixed"/>
        <w:tblCellMar>
          <w:top w:w="0" w:type="dxa"/>
          <w:left w:w="0" w:type="dxa"/>
          <w:bottom w:w="0" w:type="dxa"/>
          <w:right w:w="0" w:type="dxa"/>
        </w:tblCellMar>
      </w:tblPr>
      <w:tblGrid>
        <w:gridCol w:w="1120"/>
        <w:gridCol w:w="3584"/>
        <w:gridCol w:w="4561"/>
      </w:tblGrid>
      <w:tr w14:paraId="79B1451C">
        <w:tblPrEx>
          <w:tblCellMar>
            <w:top w:w="0" w:type="dxa"/>
            <w:left w:w="0" w:type="dxa"/>
            <w:bottom w:w="0" w:type="dxa"/>
            <w:right w:w="0" w:type="dxa"/>
          </w:tblCellMar>
        </w:tblPrEx>
        <w:trPr>
          <w:cantSplit/>
          <w:tblHeader/>
          <w:jc w:val="center"/>
        </w:trPr>
        <w:tc>
          <w:tcPr>
            <w:tcW w:w="1120" w:type="dxa"/>
            <w:tcBorders>
              <w:top w:val="single" w:color="000000" w:sz="12" w:space="0"/>
            </w:tcBorders>
            <w:vAlign w:val="center"/>
          </w:tcPr>
          <w:p w14:paraId="2EDDE6A5">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要素</w:t>
            </w:r>
          </w:p>
        </w:tc>
        <w:tc>
          <w:tcPr>
            <w:tcW w:w="3584" w:type="dxa"/>
            <w:tcBorders>
              <w:top w:val="single" w:color="000000" w:sz="12" w:space="0"/>
            </w:tcBorders>
            <w:vAlign w:val="center"/>
          </w:tcPr>
          <w:p w14:paraId="6BDFCE9C">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实施重点</w:t>
            </w:r>
          </w:p>
        </w:tc>
        <w:tc>
          <w:tcPr>
            <w:tcW w:w="4561" w:type="dxa"/>
            <w:tcBorders>
              <w:top w:val="single" w:color="000000" w:sz="12" w:space="0"/>
            </w:tcBorders>
            <w:vAlign w:val="center"/>
          </w:tcPr>
          <w:p w14:paraId="57ABA947">
            <w:pPr>
              <w:overflowPunct w:val="0"/>
              <w:bidi w:val="0"/>
              <w:snapToGrid w:val="0"/>
              <w:spacing w:before="0" w:after="0" w:line="240" w:lineRule="auto"/>
              <w:ind w:left="0" w:right="0" w:firstLineChars="200"/>
              <w:jc w:val="center"/>
              <w:textAlignment w:val="auto"/>
              <w:rPr>
                <w:rFonts w:hint="eastAsia" w:ascii="宋体" w:hAnsi="宋体" w:eastAsia="宋体" w:cs="宋体"/>
                <w:b/>
                <w:sz w:val="21"/>
                <w:szCs w:val="21"/>
              </w:rPr>
            </w:pPr>
            <w:r>
              <w:rPr>
                <w:rFonts w:hint="eastAsia" w:ascii="宋体" w:hAnsi="宋体" w:eastAsia="宋体" w:cs="宋体"/>
                <w:b/>
                <w:sz w:val="21"/>
                <w:szCs w:val="21"/>
              </w:rPr>
              <w:t>学习表现与调节依据</w:t>
            </w:r>
          </w:p>
        </w:tc>
      </w:tr>
      <w:tr w14:paraId="6C962DF5">
        <w:tblPrEx>
          <w:tblCellMar>
            <w:top w:w="0" w:type="dxa"/>
            <w:left w:w="0" w:type="dxa"/>
            <w:bottom w:w="0" w:type="dxa"/>
            <w:right w:w="0" w:type="dxa"/>
          </w:tblCellMar>
        </w:tblPrEx>
        <w:trPr>
          <w:cantSplit/>
          <w:jc w:val="center"/>
        </w:trPr>
        <w:tc>
          <w:tcPr>
            <w:tcW w:w="1120" w:type="dxa"/>
            <w:tcBorders>
              <w:top w:val="single" w:color="000000" w:sz="4" w:space="0"/>
            </w:tcBorders>
            <w:vAlign w:val="center"/>
          </w:tcPr>
          <w:p w14:paraId="702803BD">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知识</w:t>
            </w:r>
          </w:p>
        </w:tc>
        <w:tc>
          <w:tcPr>
            <w:tcW w:w="3584" w:type="dxa"/>
            <w:tcBorders>
              <w:top w:val="single" w:color="000000" w:sz="4" w:space="0"/>
            </w:tcBorders>
            <w:vAlign w:val="center"/>
          </w:tcPr>
          <w:p w14:paraId="10903395">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核心概念、知识联系与学科方法</w:t>
            </w:r>
          </w:p>
        </w:tc>
        <w:tc>
          <w:tcPr>
            <w:tcW w:w="4561" w:type="dxa"/>
            <w:tcBorders>
              <w:top w:val="single" w:color="000000" w:sz="4" w:space="0"/>
            </w:tcBorders>
            <w:vAlign w:val="center"/>
          </w:tcPr>
          <w:p w14:paraId="06D42E11">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学生能否解释含义、建立联系并选择方法</w:t>
            </w:r>
          </w:p>
        </w:tc>
      </w:tr>
      <w:tr w14:paraId="1040828B">
        <w:tblPrEx>
          <w:tblCellMar>
            <w:top w:w="0" w:type="dxa"/>
            <w:left w:w="0" w:type="dxa"/>
            <w:bottom w:w="0" w:type="dxa"/>
            <w:right w:w="0" w:type="dxa"/>
          </w:tblCellMar>
        </w:tblPrEx>
        <w:trPr>
          <w:cantSplit/>
          <w:jc w:val="center"/>
        </w:trPr>
        <w:tc>
          <w:tcPr>
            <w:tcW w:w="1120" w:type="dxa"/>
            <w:vAlign w:val="center"/>
          </w:tcPr>
          <w:p w14:paraId="32AA69B4">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目标</w:t>
            </w:r>
          </w:p>
        </w:tc>
        <w:tc>
          <w:tcPr>
            <w:tcW w:w="3584" w:type="dxa"/>
            <w:vAlign w:val="center"/>
          </w:tcPr>
          <w:p w14:paraId="436CF29A">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课程要求转化为具体表现标准</w:t>
            </w:r>
          </w:p>
        </w:tc>
        <w:tc>
          <w:tcPr>
            <w:tcW w:w="4561" w:type="dxa"/>
            <w:vAlign w:val="center"/>
          </w:tcPr>
          <w:p w14:paraId="7BDFDD02">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学生能否理解要求，对照标准判断自身表现</w:t>
            </w:r>
          </w:p>
        </w:tc>
      </w:tr>
      <w:tr w14:paraId="750A1E2F">
        <w:tblPrEx>
          <w:tblCellMar>
            <w:top w:w="0" w:type="dxa"/>
            <w:left w:w="0" w:type="dxa"/>
            <w:bottom w:w="0" w:type="dxa"/>
            <w:right w:w="0" w:type="dxa"/>
          </w:tblCellMar>
        </w:tblPrEx>
        <w:trPr>
          <w:cantSplit/>
          <w:jc w:val="center"/>
        </w:trPr>
        <w:tc>
          <w:tcPr>
            <w:tcW w:w="1120" w:type="dxa"/>
            <w:vAlign w:val="center"/>
          </w:tcPr>
          <w:p w14:paraId="29AEDBDC">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实践</w:t>
            </w:r>
          </w:p>
        </w:tc>
        <w:tc>
          <w:tcPr>
            <w:tcW w:w="3584" w:type="dxa"/>
            <w:vAlign w:val="center"/>
          </w:tcPr>
          <w:p w14:paraId="64A0A499">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分析、比较、论证与合作任务</w:t>
            </w:r>
          </w:p>
        </w:tc>
        <w:tc>
          <w:tcPr>
            <w:tcW w:w="4561" w:type="dxa"/>
            <w:vAlign w:val="center"/>
          </w:tcPr>
          <w:p w14:paraId="0B27C004">
            <w:pPr>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学生如何说明思路、回应同伴并形成成果</w:t>
            </w:r>
          </w:p>
        </w:tc>
      </w:tr>
      <w:tr w14:paraId="645EF2C4">
        <w:tblPrEx>
          <w:tblCellMar>
            <w:top w:w="0" w:type="dxa"/>
            <w:left w:w="0" w:type="dxa"/>
            <w:bottom w:w="0" w:type="dxa"/>
            <w:right w:w="0" w:type="dxa"/>
          </w:tblCellMar>
        </w:tblPrEx>
        <w:trPr>
          <w:cantSplit/>
          <w:jc w:val="center"/>
        </w:trPr>
        <w:tc>
          <w:tcPr>
            <w:tcW w:w="1120" w:type="dxa"/>
            <w:tcBorders>
              <w:bottom w:val="single" w:color="000000" w:sz="12" w:space="0"/>
            </w:tcBorders>
            <w:vAlign w:val="center"/>
          </w:tcPr>
          <w:p w14:paraId="723C30BA">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评价</w:t>
            </w:r>
          </w:p>
        </w:tc>
        <w:tc>
          <w:tcPr>
            <w:tcW w:w="3584" w:type="dxa"/>
            <w:tcBorders>
              <w:bottom w:val="single" w:color="000000" w:sz="12" w:space="0"/>
            </w:tcBorders>
            <w:vAlign w:val="center"/>
          </w:tcPr>
          <w:p w14:paraId="3C1455C1">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诊断、反馈与修订相互衔接</w:t>
            </w:r>
          </w:p>
        </w:tc>
        <w:tc>
          <w:tcPr>
            <w:tcW w:w="4561" w:type="dxa"/>
            <w:tcBorders>
              <w:bottom w:val="single" w:color="000000" w:sz="12" w:space="0"/>
            </w:tcBorders>
            <w:vAlign w:val="center"/>
          </w:tcPr>
          <w:p w14:paraId="5B7EE6FC">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1"/>
                <w:szCs w:val="21"/>
              </w:rPr>
            </w:pPr>
            <w:r>
              <w:rPr>
                <w:rFonts w:hint="eastAsia" w:ascii="宋体" w:hAnsi="宋体" w:eastAsia="宋体" w:cs="宋体"/>
                <w:b w:val="0"/>
                <w:sz w:val="21"/>
                <w:szCs w:val="21"/>
              </w:rPr>
              <w:t>学生是否运用反馈修改，教师支持是否适切</w:t>
            </w:r>
          </w:p>
        </w:tc>
      </w:tr>
    </w:tbl>
    <w:p w14:paraId="35330775">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四要素在学科任务中的相互联系</w:t>
      </w:r>
    </w:p>
    <w:p w14:paraId="6D2B45E7">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以下选取物理《光的折射》、九年级英语写作、语文状物写作、《秋天的怀念》和《拿来主义》等课例，考察四要素在具体任务中的联系。同一课例在不同框架下呈现相应的学习材料，分别用于分析目标、内容、过程与评价，形成对实施机制的连续说明。</w:t>
      </w:r>
    </w:p>
    <w:p w14:paraId="7C696BD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状物写作案例较为完整地呈现了四要素的联系。教师依据初稿中描写笼统、物与事及情感割裂等问题，确定准确、生动、真实与取舍的学习要求；围绕同一只凳子组织观察、图文比较与观点讨论，引导学生把外形特征、使用场景、生活记忆和表达主旨联系起来；再依据草稿中的具体问题安排反馈和修订。目标为修改提供方向，知识在观察与表达中形成联系，评价则通过版本比较检验学生是否理解并运用这些要求。</w:t>
      </w:r>
      <w:r>
        <w:rPr>
          <w:rFonts w:hint="eastAsia" w:ascii="宋体" w:hAnsi="宋体" w:eastAsia="宋体" w:cs="宋体"/>
          <w:b w:val="0"/>
          <w:sz w:val="24"/>
          <w:szCs w:val="24"/>
          <w:vertAlign w:val="superscript"/>
        </w:rPr>
        <w:t>[5]</w:t>
      </w:r>
    </w:p>
    <w:p w14:paraId="3C6CEC2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从高阶能力培育看，比较图文差异与补充物件特征涉及分析，依据主旨判断细节的适切性涉及评价，重新组织物件、故事与情感则为观察创造表现提供了依据。图3-8保留的不同版本，使这些要求能够落实到具体文本的比较之中；合作讨论与自主修订中的责任履行、同伴理解等表现，则需结合过程记录考察。</w:t>
      </w:r>
    </w:p>
    <w:p w14:paraId="41867562">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2734310" cy="3322955"/>
            <wp:effectExtent l="0" t="0" r="889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16"/>
                    <a:stretch>
                      <a:fillRect/>
                    </a:stretch>
                  </pic:blipFill>
                  <pic:spPr>
                    <a:xfrm>
                      <a:off x="0" y="0"/>
                      <a:ext cx="2734310" cy="3322955"/>
                    </a:xfrm>
                    <a:prstGeom prst="rect">
                      <a:avLst/>
                    </a:prstGeom>
                    <a:noFill/>
                  </pic:spPr>
                </pic:pic>
              </a:graphicData>
            </a:graphic>
          </wp:inline>
        </w:drawing>
      </w:r>
    </w:p>
    <w:p w14:paraId="02652AA1">
      <w:pPr>
        <w:pageBreakBefore w:val="0"/>
        <w:overflowPunct w:val="0"/>
        <w:bidi w:val="0"/>
        <w:spacing w:line="240" w:lineRule="auto"/>
        <w:ind w:firstLineChars="200"/>
        <w:jc w:val="center"/>
        <w:textAlignment w:val="auto"/>
        <w:rPr>
          <w:rFonts w:hint="eastAsia" w:ascii="宋体" w:hAnsi="宋体" w:eastAsia="宋体" w:cs="宋体"/>
          <w:b w:val="0"/>
          <w:sz w:val="21"/>
        </w:rPr>
      </w:pPr>
      <w:r>
        <w:rPr>
          <w:rFonts w:hint="eastAsia" w:ascii="宋体" w:hAnsi="宋体" w:eastAsia="宋体" w:cs="宋体"/>
          <w:b w:val="0"/>
          <w:sz w:val="21"/>
        </w:rPr>
        <w:t>图3-8  状物写作中同一学生的版本记录</w:t>
      </w:r>
    </w:p>
    <w:p w14:paraId="65BBB4AE">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图3-9  中，2.0版本侧重外形特征，3.0版本加入使用体验，4.0版本进一步联系个人记忆，教师批注则提示学生审查叙事的新意。版本之间的差异呈现了表达内容的扩展，也使表2所列“思路说明”“成果形成”与“运用反馈修改”具有可核查的材料。对文本质量的判断仍应回到准确、真实及细节取舍等具体标准，不能仅凭版本增加认定能力提升。</w:t>
      </w:r>
    </w:p>
    <w:p w14:paraId="07037996">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物理案例  以光路模型联结四要素</w:t>
      </w:r>
    </w:p>
    <w:p w14:paraId="4B4AAF1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把知识学习落实为模型建构。教师依据叉鱼前测确定解释视觉偏差的目标，组织学生比较不同介质中的光路，再以数据、作图和口头解释判断理解。原案例目标表把“独立绘制‘叉鱼’光路图”与“光路图标注正确，虚像S′在S上方”相对应。学生需要用知识解释现象，教师则根据图中传播方向和角度参照给予反馈，知识、目标、实践与评价由同一问题联系起来。</w:t>
      </w:r>
    </w:p>
    <w:p w14:paraId="26201550">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语文案例  以文本论证联结知识与判断</w:t>
      </w:r>
    </w:p>
    <w:p w14:paraId="3E65134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将“大宅子”比喻系统作为内容，以分析分类依据、理解批判继承为目标，安排表格整理、小组解释和现实文化现象分析，再以作答、批注和自评检查达成情况。原案例记载，学生以“我要能分析鲁迅为什么这样分类”“我要在讨论时先听完再反驳”表达个人目标。认知要求与合作要求进入同一任务，评价既关注结论，也关注学生如何说明理由和回应分歧。</w:t>
      </w:r>
      <w:r>
        <w:rPr>
          <w:rFonts w:hint="eastAsia" w:ascii="宋体" w:hAnsi="宋体" w:eastAsia="宋体" w:cs="宋体"/>
          <w:b w:val="0"/>
          <w:sz w:val="24"/>
          <w:szCs w:val="24"/>
          <w:vertAlign w:val="superscript"/>
        </w:rPr>
        <w:t>[7]</w:t>
      </w:r>
    </w:p>
    <w:p w14:paraId="7BA2217D">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7" w:name="_Toc32036"/>
      <w:r>
        <w:rPr>
          <w:rFonts w:hint="eastAsia" w:ascii="宋体" w:hAnsi="宋体" w:eastAsia="宋体" w:cs="宋体"/>
          <w:b/>
          <w:bCs/>
          <w:sz w:val="28"/>
          <w:szCs w:val="24"/>
        </w:rPr>
        <w:t>（2）可见的学习目标分析框架</w:t>
      </w:r>
      <w:bookmarkEnd w:id="77"/>
    </w:p>
    <w:p w14:paraId="3F32395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本研究以“可见的学习”关于浅层、深层与迁移学习的区分为目标设计参照[2]。浅层学习侧重必要知识与基本技能，深层学习侧重概念关系、方法原理与解释论证，迁移学习侧重在变化的情境中选择、整合并调整已有知识与方法。三层学习区分的是学习要求的深度，彼此联系，并随学生理解状况往返推进，不构成每节课必须依次完成的固定程序。</w:t>
      </w:r>
    </w:p>
    <w:p w14:paraId="44E3235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借鉴参考文献将学习要求转化为实践表征的思路[1]，本研究从课程标准与单元内容出发，依次明确任务目标、表现要求及相应证据。表3-26据此列出三层学习的目标重点、可观察表现和证据载体，为目标设计与评价判断建立联系。迁移学习的判断应关注学生能否识别条件变化并调整方法；创新则需进一步考察所提出思路的适切性与改进过程，不能由迁移任务的设置直接推定。</w:t>
      </w:r>
    </w:p>
    <w:p w14:paraId="7F733A72">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表3-26  三层学习目标与可观察表现</w:t>
      </w:r>
    </w:p>
    <w:tbl>
      <w:tblPr>
        <w:tblStyle w:val="12"/>
        <w:tblW w:w="9003" w:type="dxa"/>
        <w:jc w:val="center"/>
        <w:tblLayout w:type="fixed"/>
        <w:tblCellMar>
          <w:top w:w="0" w:type="dxa"/>
          <w:left w:w="0" w:type="dxa"/>
          <w:bottom w:w="0" w:type="dxa"/>
          <w:right w:w="0" w:type="dxa"/>
        </w:tblCellMar>
      </w:tblPr>
      <w:tblGrid>
        <w:gridCol w:w="1296"/>
        <w:gridCol w:w="2250"/>
        <w:gridCol w:w="3207"/>
        <w:gridCol w:w="2250"/>
      </w:tblGrid>
      <w:tr w14:paraId="3A10B9E2">
        <w:tblPrEx>
          <w:tblCellMar>
            <w:top w:w="0" w:type="dxa"/>
            <w:left w:w="0" w:type="dxa"/>
            <w:bottom w:w="0" w:type="dxa"/>
            <w:right w:w="0" w:type="dxa"/>
          </w:tblCellMar>
        </w:tblPrEx>
        <w:trPr>
          <w:cantSplit/>
          <w:tblHeader/>
          <w:jc w:val="center"/>
        </w:trPr>
        <w:tc>
          <w:tcPr>
            <w:tcW w:w="1296" w:type="dxa"/>
            <w:tcBorders>
              <w:top w:val="single" w:color="000000" w:sz="12" w:space="0"/>
            </w:tcBorders>
            <w:vAlign w:val="center"/>
          </w:tcPr>
          <w:p w14:paraId="7B9440EC">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层次</w:t>
            </w:r>
          </w:p>
        </w:tc>
        <w:tc>
          <w:tcPr>
            <w:tcW w:w="2250" w:type="dxa"/>
            <w:tcBorders>
              <w:top w:val="single" w:color="000000" w:sz="12" w:space="0"/>
            </w:tcBorders>
            <w:vAlign w:val="center"/>
          </w:tcPr>
          <w:p w14:paraId="3A32C023">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目标设计重点</w:t>
            </w:r>
          </w:p>
        </w:tc>
        <w:tc>
          <w:tcPr>
            <w:tcW w:w="3207" w:type="dxa"/>
            <w:tcBorders>
              <w:top w:val="single" w:color="000000" w:sz="12" w:space="0"/>
            </w:tcBorders>
            <w:vAlign w:val="center"/>
          </w:tcPr>
          <w:p w14:paraId="122C5617">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表现要求</w:t>
            </w:r>
          </w:p>
        </w:tc>
        <w:tc>
          <w:tcPr>
            <w:tcW w:w="2250" w:type="dxa"/>
            <w:tcBorders>
              <w:top w:val="single" w:color="000000" w:sz="12" w:space="0"/>
            </w:tcBorders>
            <w:vAlign w:val="center"/>
          </w:tcPr>
          <w:p w14:paraId="07F5CA81">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证据载体</w:t>
            </w:r>
          </w:p>
        </w:tc>
      </w:tr>
      <w:tr w14:paraId="1A497627">
        <w:tblPrEx>
          <w:tblCellMar>
            <w:top w:w="0" w:type="dxa"/>
            <w:left w:w="0" w:type="dxa"/>
            <w:bottom w:w="0" w:type="dxa"/>
            <w:right w:w="0" w:type="dxa"/>
          </w:tblCellMar>
        </w:tblPrEx>
        <w:trPr>
          <w:cantSplit/>
          <w:jc w:val="center"/>
        </w:trPr>
        <w:tc>
          <w:tcPr>
            <w:tcW w:w="1296" w:type="dxa"/>
            <w:tcBorders>
              <w:top w:val="single" w:color="000000" w:sz="4" w:space="0"/>
            </w:tcBorders>
            <w:vAlign w:val="center"/>
          </w:tcPr>
          <w:p w14:paraId="5D026E5B">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2250" w:type="dxa"/>
            <w:tcBorders>
              <w:top w:val="single" w:color="000000" w:sz="4" w:space="0"/>
            </w:tcBorders>
            <w:vAlign w:val="center"/>
          </w:tcPr>
          <w:p w14:paraId="0DD1FD7F">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掌握核心概念、事实与基本方法</w:t>
            </w:r>
          </w:p>
        </w:tc>
        <w:tc>
          <w:tcPr>
            <w:tcW w:w="3207" w:type="dxa"/>
            <w:tcBorders>
              <w:top w:val="single" w:color="000000" w:sz="4" w:space="0"/>
            </w:tcBorders>
            <w:vAlign w:val="center"/>
          </w:tcPr>
          <w:p w14:paraId="2E9377B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准确辨认和解释，完成必要的基础操作</w:t>
            </w:r>
          </w:p>
        </w:tc>
        <w:tc>
          <w:tcPr>
            <w:tcW w:w="2250" w:type="dxa"/>
            <w:tcBorders>
              <w:top w:val="single" w:color="000000" w:sz="4" w:space="0"/>
            </w:tcBorders>
            <w:vAlign w:val="center"/>
          </w:tcPr>
          <w:p w14:paraId="37E87F6F">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初始回答、基础任务、操作记录</w:t>
            </w:r>
          </w:p>
        </w:tc>
      </w:tr>
      <w:tr w14:paraId="1F4E0472">
        <w:tblPrEx>
          <w:tblCellMar>
            <w:top w:w="0" w:type="dxa"/>
            <w:left w:w="0" w:type="dxa"/>
            <w:bottom w:w="0" w:type="dxa"/>
            <w:right w:w="0" w:type="dxa"/>
          </w:tblCellMar>
        </w:tblPrEx>
        <w:trPr>
          <w:cantSplit/>
          <w:jc w:val="center"/>
        </w:trPr>
        <w:tc>
          <w:tcPr>
            <w:tcW w:w="1296" w:type="dxa"/>
            <w:vAlign w:val="center"/>
          </w:tcPr>
          <w:p w14:paraId="25463AE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2250" w:type="dxa"/>
            <w:vAlign w:val="center"/>
          </w:tcPr>
          <w:p w14:paraId="5F0F4F8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建立联系，理解原理，比较与论证</w:t>
            </w:r>
          </w:p>
        </w:tc>
        <w:tc>
          <w:tcPr>
            <w:tcW w:w="3207" w:type="dxa"/>
            <w:vAlign w:val="center"/>
          </w:tcPr>
          <w:p w14:paraId="471B048B">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解释关系，比较方法，审查理由并回应不同意见</w:t>
            </w:r>
          </w:p>
        </w:tc>
        <w:tc>
          <w:tcPr>
            <w:tcW w:w="2250" w:type="dxa"/>
            <w:vAlign w:val="center"/>
          </w:tcPr>
          <w:p w14:paraId="14A573B4">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概念图、比较表、对话与推理记录</w:t>
            </w:r>
          </w:p>
        </w:tc>
      </w:tr>
      <w:tr w14:paraId="0EC8CB4B">
        <w:tblPrEx>
          <w:tblCellMar>
            <w:top w:w="0" w:type="dxa"/>
            <w:left w:w="0" w:type="dxa"/>
            <w:bottom w:w="0" w:type="dxa"/>
            <w:right w:w="0" w:type="dxa"/>
          </w:tblCellMar>
        </w:tblPrEx>
        <w:trPr>
          <w:cantSplit/>
          <w:jc w:val="center"/>
        </w:trPr>
        <w:tc>
          <w:tcPr>
            <w:tcW w:w="1296" w:type="dxa"/>
            <w:tcBorders>
              <w:bottom w:val="single" w:color="000000" w:sz="12" w:space="0"/>
            </w:tcBorders>
            <w:vAlign w:val="center"/>
          </w:tcPr>
          <w:p w14:paraId="693D428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2250" w:type="dxa"/>
            <w:tcBorders>
              <w:bottom w:val="single" w:color="000000" w:sz="12" w:space="0"/>
            </w:tcBorders>
            <w:vAlign w:val="center"/>
          </w:tcPr>
          <w:p w14:paraId="3B006CEE">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在新情境中选择、整合与调整</w:t>
            </w:r>
          </w:p>
        </w:tc>
        <w:tc>
          <w:tcPr>
            <w:tcW w:w="3207" w:type="dxa"/>
            <w:tcBorders>
              <w:bottom w:val="single" w:color="000000" w:sz="12" w:space="0"/>
            </w:tcBorders>
            <w:vAlign w:val="center"/>
          </w:tcPr>
          <w:p w14:paraId="73E1B537">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辨识条件变化，选择适切方法，检验并改进解决思路</w:t>
            </w:r>
          </w:p>
        </w:tc>
        <w:tc>
          <w:tcPr>
            <w:tcW w:w="2250" w:type="dxa"/>
            <w:tcBorders>
              <w:bottom w:val="single" w:color="000000" w:sz="12" w:space="0"/>
            </w:tcBorders>
            <w:vAlign w:val="center"/>
          </w:tcPr>
          <w:p w14:paraId="52AE01B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新情境任务、方案版本、反思说明</w:t>
            </w:r>
          </w:p>
        </w:tc>
      </w:tr>
    </w:tbl>
    <w:p w14:paraId="72D2E9B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七维能力作为目标分析的研究视角，嵌入相应任务。分析、评价与创造关注学生如何处理问题和形成思路；责任担当、情绪调节、合作共情与包容创新关注学生如何承担任务、面对困难和理解不同意见。教师根据内容选择重点，避免把七个维度同时叠加到每项活动。</w:t>
      </w:r>
    </w:p>
    <w:p w14:paraId="507D950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目标是否可见，体现为学生能否理解并运用目标与标准判断自己的学习。任务开始前，教师借助样例澄清表现要求；任务推进中，学生对照标准检查思路与成果，教师依据表现调整支持；任务完成后，师生结合成果和修订记录判断达成情况。表3-26中的证据载体因而既用于评价结果，也用于支持学习过程中的自我检查与教学调节。</w:t>
      </w:r>
    </w:p>
    <w:p w14:paraId="3680322F">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案例分析  从物理学情诊断形成目标与表现标准</w:t>
      </w:r>
    </w:p>
    <w:p w14:paraId="7132E8D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案例中，前测显示35名学生不知道叉鱼时应瞄准的位置，占83.3%；另有28名学生认为折射角可能等于入射角。这些结果揭示了现象解释与已有知识迁移中的具体困难，据此可以确定本课需要解决的问题，但尚不足以判断学生整体高阶能力水平。教师将目标与光路图、数据记录、解释及新情境任务相联系，使目标成为后续判断学习进展的参照。</w:t>
      </w:r>
    </w:p>
    <w:p w14:paraId="6279C78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表3-27  光的折射案例中的三层目标与评价依据</w:t>
      </w:r>
    </w:p>
    <w:tbl>
      <w:tblPr>
        <w:tblStyle w:val="12"/>
        <w:tblW w:w="8522" w:type="dxa"/>
        <w:jc w:val="center"/>
        <w:tblLayout w:type="fixed"/>
        <w:tblCellMar>
          <w:top w:w="0" w:type="dxa"/>
          <w:left w:w="0" w:type="dxa"/>
          <w:bottom w:w="0" w:type="dxa"/>
          <w:right w:w="0" w:type="dxa"/>
        </w:tblCellMar>
      </w:tblPr>
      <w:tblGrid>
        <w:gridCol w:w="1405"/>
        <w:gridCol w:w="3592"/>
        <w:gridCol w:w="3525"/>
      </w:tblGrid>
      <w:tr w14:paraId="65C96307">
        <w:tblPrEx>
          <w:tblCellMar>
            <w:top w:w="0" w:type="dxa"/>
            <w:left w:w="0" w:type="dxa"/>
            <w:bottom w:w="0" w:type="dxa"/>
            <w:right w:w="0" w:type="dxa"/>
          </w:tblCellMar>
        </w:tblPrEx>
        <w:trPr>
          <w:cantSplit/>
          <w:tblHeader/>
          <w:jc w:val="center"/>
        </w:trPr>
        <w:tc>
          <w:tcPr>
            <w:tcW w:w="1405" w:type="dxa"/>
            <w:tcBorders>
              <w:top w:val="single" w:color="000000" w:sz="12" w:space="0"/>
            </w:tcBorders>
            <w:vAlign w:val="center"/>
          </w:tcPr>
          <w:p w14:paraId="21A4634F">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学习层次</w:t>
            </w:r>
          </w:p>
        </w:tc>
        <w:tc>
          <w:tcPr>
            <w:tcW w:w="3592" w:type="dxa"/>
            <w:tcBorders>
              <w:top w:val="single" w:color="000000" w:sz="12" w:space="0"/>
            </w:tcBorders>
            <w:vAlign w:val="center"/>
          </w:tcPr>
          <w:p w14:paraId="01A2D15E">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案例中的目标要求</w:t>
            </w:r>
          </w:p>
        </w:tc>
        <w:tc>
          <w:tcPr>
            <w:tcW w:w="3525" w:type="dxa"/>
            <w:tcBorders>
              <w:top w:val="single" w:color="000000" w:sz="12" w:space="0"/>
            </w:tcBorders>
            <w:vAlign w:val="center"/>
          </w:tcPr>
          <w:p w14:paraId="6C079B1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可观察表现</w:t>
            </w:r>
          </w:p>
        </w:tc>
      </w:tr>
      <w:tr w14:paraId="775EF48E">
        <w:tblPrEx>
          <w:tblCellMar>
            <w:top w:w="0" w:type="dxa"/>
            <w:left w:w="0" w:type="dxa"/>
            <w:bottom w:w="0" w:type="dxa"/>
            <w:right w:w="0" w:type="dxa"/>
          </w:tblCellMar>
        </w:tblPrEx>
        <w:trPr>
          <w:cantSplit/>
          <w:jc w:val="center"/>
        </w:trPr>
        <w:tc>
          <w:tcPr>
            <w:tcW w:w="1405" w:type="dxa"/>
            <w:tcBorders>
              <w:top w:val="single" w:color="000000" w:sz="4" w:space="0"/>
            </w:tcBorders>
            <w:vAlign w:val="center"/>
          </w:tcPr>
          <w:p w14:paraId="644CC24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3592" w:type="dxa"/>
            <w:tcBorders>
              <w:top w:val="single" w:color="000000" w:sz="4" w:space="0"/>
            </w:tcBorders>
            <w:vAlign w:val="center"/>
          </w:tcPr>
          <w:p w14:paraId="634BCB63">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辨认折射光路要素，规范操作并记录数据</w:t>
            </w:r>
          </w:p>
        </w:tc>
        <w:tc>
          <w:tcPr>
            <w:tcW w:w="3525" w:type="dxa"/>
            <w:tcBorders>
              <w:top w:val="single" w:color="000000" w:sz="4" w:space="0"/>
            </w:tcBorders>
            <w:vAlign w:val="center"/>
          </w:tcPr>
          <w:p w14:paraId="4684B36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光线、法线与角的标注准确，记录完整</w:t>
            </w:r>
          </w:p>
        </w:tc>
      </w:tr>
      <w:tr w14:paraId="6B541318">
        <w:tblPrEx>
          <w:tblCellMar>
            <w:top w:w="0" w:type="dxa"/>
            <w:left w:w="0" w:type="dxa"/>
            <w:bottom w:w="0" w:type="dxa"/>
            <w:right w:w="0" w:type="dxa"/>
          </w:tblCellMar>
        </w:tblPrEx>
        <w:trPr>
          <w:cantSplit/>
          <w:jc w:val="center"/>
        </w:trPr>
        <w:tc>
          <w:tcPr>
            <w:tcW w:w="1405" w:type="dxa"/>
            <w:vAlign w:val="center"/>
          </w:tcPr>
          <w:p w14:paraId="770A4F4E">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3592" w:type="dxa"/>
            <w:vAlign w:val="center"/>
          </w:tcPr>
          <w:p w14:paraId="0D250F27">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比较不同条件下的光路，依据数据检验猜想</w:t>
            </w:r>
          </w:p>
        </w:tc>
        <w:tc>
          <w:tcPr>
            <w:tcW w:w="3525" w:type="dxa"/>
            <w:vAlign w:val="center"/>
          </w:tcPr>
          <w:p w14:paraId="5ACCCA91">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解释角度关系，修正猜想，说明结论的条件</w:t>
            </w:r>
          </w:p>
        </w:tc>
      </w:tr>
      <w:tr w14:paraId="0450070B">
        <w:tblPrEx>
          <w:tblCellMar>
            <w:top w:w="0" w:type="dxa"/>
            <w:left w:w="0" w:type="dxa"/>
            <w:bottom w:w="0" w:type="dxa"/>
            <w:right w:w="0" w:type="dxa"/>
          </w:tblCellMar>
        </w:tblPrEx>
        <w:trPr>
          <w:cantSplit/>
          <w:jc w:val="center"/>
        </w:trPr>
        <w:tc>
          <w:tcPr>
            <w:tcW w:w="1405" w:type="dxa"/>
            <w:tcBorders>
              <w:bottom w:val="single" w:color="000000" w:sz="12" w:space="0"/>
            </w:tcBorders>
            <w:vAlign w:val="center"/>
          </w:tcPr>
          <w:p w14:paraId="374C7807">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3592" w:type="dxa"/>
            <w:tcBorders>
              <w:bottom w:val="single" w:color="000000" w:sz="12" w:space="0"/>
            </w:tcBorders>
            <w:vAlign w:val="center"/>
          </w:tcPr>
          <w:p w14:paraId="540D9C4A">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在叉鱼等情境中运用折射规律解释现象</w:t>
            </w:r>
          </w:p>
        </w:tc>
        <w:tc>
          <w:tcPr>
            <w:tcW w:w="3525" w:type="dxa"/>
            <w:tcBorders>
              <w:bottom w:val="single" w:color="000000" w:sz="12" w:space="0"/>
            </w:tcBorders>
            <w:vAlign w:val="center"/>
          </w:tcPr>
          <w:p w14:paraId="03ECF441">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绘制光路，定位虚像，解释判断过程</w:t>
            </w:r>
          </w:p>
        </w:tc>
      </w:tr>
    </w:tbl>
    <w:p w14:paraId="5E36CAF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这里的三层划分是对案例目标的重新梳理，并非把原有“基础—高阶”两级直接等同于三层学习。课前公布目标，还需通过样例和学生解释检验其是否真正理解标准。例如，作图正确不仅要看虚像位置，还要看传播方向、法线及角的参照是否一致。分析与评价由此落实于学生检查和修正模型的具体行为。</w:t>
      </w:r>
    </w:p>
    <w:p w14:paraId="2D639B8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英语写作案例则在动笔前呈现内容与语言评价量表，帮助学生理解建议需要回应情境并给出理由。对此，目标分析应兼顾语境适切性、理由的支持作用和语言表达，不能仅以建议是否新颖判断思维水平。</w:t>
      </w:r>
    </w:p>
    <w:p w14:paraId="415F628B">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表3-28  英语写作案例的分层评价标准节选</w:t>
      </w:r>
    </w:p>
    <w:tbl>
      <w:tblPr>
        <w:tblStyle w:val="12"/>
        <w:tblW w:w="8522" w:type="dxa"/>
        <w:jc w:val="center"/>
        <w:tblLayout w:type="fixed"/>
        <w:tblCellMar>
          <w:top w:w="0" w:type="dxa"/>
          <w:left w:w="0" w:type="dxa"/>
          <w:bottom w:w="0" w:type="dxa"/>
          <w:right w:w="0" w:type="dxa"/>
        </w:tblCellMar>
      </w:tblPr>
      <w:tblGrid>
        <w:gridCol w:w="1112"/>
        <w:gridCol w:w="1933"/>
        <w:gridCol w:w="1770"/>
        <w:gridCol w:w="2099"/>
        <w:gridCol w:w="1608"/>
      </w:tblGrid>
      <w:tr w14:paraId="523E96D3">
        <w:tblPrEx>
          <w:tblCellMar>
            <w:top w:w="0" w:type="dxa"/>
            <w:left w:w="0" w:type="dxa"/>
            <w:bottom w:w="0" w:type="dxa"/>
            <w:right w:w="0" w:type="dxa"/>
          </w:tblCellMar>
        </w:tblPrEx>
        <w:trPr>
          <w:cantSplit/>
          <w:jc w:val="center"/>
        </w:trPr>
        <w:tc>
          <w:tcPr>
            <w:tcW w:w="1112" w:type="dxa"/>
            <w:tcBorders>
              <w:top w:val="single" w:color="000000" w:sz="12" w:space="0"/>
            </w:tcBorders>
          </w:tcPr>
          <w:p w14:paraId="270793EC">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评价内容</w:t>
            </w:r>
          </w:p>
        </w:tc>
        <w:tc>
          <w:tcPr>
            <w:tcW w:w="1933" w:type="dxa"/>
            <w:tcBorders>
              <w:top w:val="single" w:color="000000" w:sz="12" w:space="0"/>
            </w:tcBorders>
          </w:tcPr>
          <w:p w14:paraId="50B0B17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优秀</w:t>
            </w:r>
          </w:p>
        </w:tc>
        <w:tc>
          <w:tcPr>
            <w:tcW w:w="1770" w:type="dxa"/>
            <w:tcBorders>
              <w:top w:val="single" w:color="000000" w:sz="12" w:space="0"/>
            </w:tcBorders>
          </w:tcPr>
          <w:p w14:paraId="30A302A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良好</w:t>
            </w:r>
          </w:p>
        </w:tc>
        <w:tc>
          <w:tcPr>
            <w:tcW w:w="2099" w:type="dxa"/>
            <w:tcBorders>
              <w:top w:val="single" w:color="000000" w:sz="12" w:space="0"/>
            </w:tcBorders>
          </w:tcPr>
          <w:p w14:paraId="0490E863">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中等</w:t>
            </w:r>
          </w:p>
        </w:tc>
        <w:tc>
          <w:tcPr>
            <w:tcW w:w="1608" w:type="dxa"/>
            <w:tcBorders>
              <w:top w:val="single" w:color="000000" w:sz="12" w:space="0"/>
            </w:tcBorders>
          </w:tcPr>
          <w:p w14:paraId="1B55236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sz w:val="21"/>
                <w:szCs w:val="24"/>
              </w:rPr>
              <w:t>待提高</w:t>
            </w:r>
          </w:p>
        </w:tc>
      </w:tr>
      <w:tr w14:paraId="1A7BDE3D">
        <w:tblPrEx>
          <w:tblCellMar>
            <w:top w:w="0" w:type="dxa"/>
            <w:left w:w="0" w:type="dxa"/>
            <w:bottom w:w="0" w:type="dxa"/>
            <w:right w:w="0" w:type="dxa"/>
          </w:tblCellMar>
        </w:tblPrEx>
        <w:trPr>
          <w:cantSplit/>
          <w:jc w:val="center"/>
        </w:trPr>
        <w:tc>
          <w:tcPr>
            <w:tcW w:w="1112" w:type="dxa"/>
            <w:tcBorders>
              <w:top w:val="single" w:color="000000" w:sz="4" w:space="0"/>
            </w:tcBorders>
          </w:tcPr>
          <w:p w14:paraId="24CC702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内容观点</w:t>
            </w:r>
          </w:p>
        </w:tc>
        <w:tc>
          <w:tcPr>
            <w:tcW w:w="1933" w:type="dxa"/>
            <w:tcBorders>
              <w:top w:val="single" w:color="000000" w:sz="4" w:space="0"/>
            </w:tcBorders>
          </w:tcPr>
          <w:p w14:paraId="41531F3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结合语境构建独特观点</w:t>
            </w:r>
          </w:p>
        </w:tc>
        <w:tc>
          <w:tcPr>
            <w:tcW w:w="1770" w:type="dxa"/>
            <w:tcBorders>
              <w:top w:val="single" w:color="000000" w:sz="4" w:space="0"/>
            </w:tcBorders>
          </w:tcPr>
          <w:p w14:paraId="005DE77D">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提出较有新意的观点</w:t>
            </w:r>
          </w:p>
        </w:tc>
        <w:tc>
          <w:tcPr>
            <w:tcW w:w="2099" w:type="dxa"/>
            <w:tcBorders>
              <w:top w:val="single" w:color="000000" w:sz="4" w:space="0"/>
            </w:tcBorders>
          </w:tcPr>
          <w:p w14:paraId="120B1241">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提出基本观点但缺乏新意</w:t>
            </w:r>
          </w:p>
        </w:tc>
        <w:tc>
          <w:tcPr>
            <w:tcW w:w="1608" w:type="dxa"/>
            <w:tcBorders>
              <w:top w:val="single" w:color="000000" w:sz="4" w:space="0"/>
            </w:tcBorders>
          </w:tcPr>
          <w:p w14:paraId="788DFC0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无法提出明确观点</w:t>
            </w:r>
          </w:p>
        </w:tc>
      </w:tr>
      <w:tr w14:paraId="161A9F78">
        <w:tblPrEx>
          <w:tblCellMar>
            <w:top w:w="0" w:type="dxa"/>
            <w:left w:w="0" w:type="dxa"/>
            <w:bottom w:w="0" w:type="dxa"/>
            <w:right w:w="0" w:type="dxa"/>
          </w:tblCellMar>
        </w:tblPrEx>
        <w:trPr>
          <w:cantSplit/>
          <w:jc w:val="center"/>
        </w:trPr>
        <w:tc>
          <w:tcPr>
            <w:tcW w:w="1112" w:type="dxa"/>
          </w:tcPr>
          <w:p w14:paraId="193D025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语言适切性</w:t>
            </w:r>
          </w:p>
        </w:tc>
        <w:tc>
          <w:tcPr>
            <w:tcW w:w="1933" w:type="dxa"/>
          </w:tcPr>
          <w:p w14:paraId="2A98FE2E">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1770" w:type="dxa"/>
          </w:tcPr>
          <w:p w14:paraId="59A37DFE">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2099" w:type="dxa"/>
          </w:tcPr>
          <w:p w14:paraId="09D54C46">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符合语境</w:t>
            </w:r>
          </w:p>
        </w:tc>
        <w:tc>
          <w:tcPr>
            <w:tcW w:w="1608" w:type="dxa"/>
          </w:tcPr>
          <w:p w14:paraId="07CCD7B3">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不符合语境</w:t>
            </w:r>
          </w:p>
        </w:tc>
      </w:tr>
      <w:tr w14:paraId="546CE969">
        <w:tblPrEx>
          <w:tblCellMar>
            <w:top w:w="0" w:type="dxa"/>
            <w:left w:w="0" w:type="dxa"/>
            <w:bottom w:w="0" w:type="dxa"/>
            <w:right w:w="0" w:type="dxa"/>
          </w:tblCellMar>
        </w:tblPrEx>
        <w:trPr>
          <w:cantSplit/>
          <w:jc w:val="center"/>
        </w:trPr>
        <w:tc>
          <w:tcPr>
            <w:tcW w:w="1112" w:type="dxa"/>
          </w:tcPr>
          <w:p w14:paraId="3AC4FF7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语言准确性</w:t>
            </w:r>
          </w:p>
        </w:tc>
        <w:tc>
          <w:tcPr>
            <w:tcW w:w="1933" w:type="dxa"/>
          </w:tcPr>
          <w:p w14:paraId="3E249625">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语法正确</w:t>
            </w:r>
          </w:p>
        </w:tc>
        <w:tc>
          <w:tcPr>
            <w:tcW w:w="1770" w:type="dxa"/>
          </w:tcPr>
          <w:p w14:paraId="017CED4B">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错误较少</w:t>
            </w:r>
          </w:p>
        </w:tc>
        <w:tc>
          <w:tcPr>
            <w:tcW w:w="2099" w:type="dxa"/>
          </w:tcPr>
          <w:p w14:paraId="3B03C406">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错误较多</w:t>
            </w:r>
          </w:p>
        </w:tc>
        <w:tc>
          <w:tcPr>
            <w:tcW w:w="1608" w:type="dxa"/>
          </w:tcPr>
          <w:p w14:paraId="68EEFF87">
            <w:pPr>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错误频发</w:t>
            </w:r>
          </w:p>
        </w:tc>
      </w:tr>
      <w:tr w14:paraId="7A5312CD">
        <w:tblPrEx>
          <w:tblCellMar>
            <w:top w:w="0" w:type="dxa"/>
            <w:left w:w="0" w:type="dxa"/>
            <w:bottom w:w="0" w:type="dxa"/>
            <w:right w:w="0" w:type="dxa"/>
          </w:tblCellMar>
        </w:tblPrEx>
        <w:trPr>
          <w:cantSplit/>
          <w:jc w:val="center"/>
        </w:trPr>
        <w:tc>
          <w:tcPr>
            <w:tcW w:w="1112" w:type="dxa"/>
            <w:tcBorders>
              <w:bottom w:val="single" w:color="000000" w:sz="12" w:space="0"/>
            </w:tcBorders>
          </w:tcPr>
          <w:p w14:paraId="258AE797">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语言丰富性</w:t>
            </w:r>
          </w:p>
        </w:tc>
        <w:tc>
          <w:tcPr>
            <w:tcW w:w="1933" w:type="dxa"/>
            <w:tcBorders>
              <w:bottom w:val="single" w:color="000000" w:sz="12" w:space="0"/>
            </w:tcBorders>
          </w:tcPr>
          <w:p w14:paraId="65A7A4A6">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表达新颖</w:t>
            </w:r>
          </w:p>
        </w:tc>
        <w:tc>
          <w:tcPr>
            <w:tcW w:w="1770" w:type="dxa"/>
            <w:tcBorders>
              <w:bottom w:val="single" w:color="000000" w:sz="12" w:space="0"/>
            </w:tcBorders>
          </w:tcPr>
          <w:p w14:paraId="4D5D96B4">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表达较流畅</w:t>
            </w:r>
          </w:p>
        </w:tc>
        <w:tc>
          <w:tcPr>
            <w:tcW w:w="2099" w:type="dxa"/>
            <w:tcBorders>
              <w:bottom w:val="single" w:color="000000" w:sz="12" w:space="0"/>
            </w:tcBorders>
          </w:tcPr>
          <w:p w14:paraId="6DCC4404">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表达较生硬</w:t>
            </w:r>
          </w:p>
        </w:tc>
        <w:tc>
          <w:tcPr>
            <w:tcW w:w="1608" w:type="dxa"/>
            <w:tcBorders>
              <w:bottom w:val="single" w:color="000000" w:sz="12" w:space="0"/>
            </w:tcBorders>
          </w:tcPr>
          <w:p w14:paraId="080049B6">
            <w:pPr>
              <w:keepNext/>
              <w:overflowPunct w:val="0"/>
              <w:bidi w:val="0"/>
              <w:snapToGrid w:val="0"/>
              <w:spacing w:before="0" w:after="0" w:line="240" w:lineRule="auto"/>
              <w:ind w:firstLineChars="200"/>
              <w:textAlignment w:val="auto"/>
              <w:rPr>
                <w:rFonts w:hint="eastAsia" w:ascii="宋体" w:hAnsi="宋体" w:eastAsia="宋体" w:cs="宋体"/>
                <w:sz w:val="24"/>
                <w:szCs w:val="24"/>
              </w:rPr>
            </w:pPr>
            <w:r>
              <w:rPr>
                <w:rFonts w:hint="eastAsia" w:ascii="宋体" w:hAnsi="宋体" w:eastAsia="宋体" w:cs="宋体"/>
                <w:b w:val="0"/>
                <w:sz w:val="21"/>
                <w:szCs w:val="24"/>
              </w:rPr>
              <w:t>表达混乱</w:t>
            </w:r>
          </w:p>
        </w:tc>
      </w:tr>
    </w:tbl>
    <w:p w14:paraId="068BE59D">
      <w:pPr>
        <w:pStyle w:val="4"/>
        <w:keepNext/>
        <w:pageBreakBefore w:val="0"/>
        <w:overflowPunct w:val="0"/>
        <w:bidi w:val="0"/>
        <w:spacing w:before="280" w:after="280" w:line="360" w:lineRule="auto"/>
        <w:ind w:firstLine="562" w:firstLineChars="200"/>
        <w:textAlignment w:val="auto"/>
        <w:outlineLvl w:val="9"/>
        <w:rPr>
          <w:rFonts w:hint="eastAsia" w:ascii="宋体" w:hAnsi="宋体" w:eastAsia="宋体" w:cs="宋体"/>
          <w:sz w:val="24"/>
          <w:szCs w:val="24"/>
        </w:rPr>
      </w:pPr>
      <w:r>
        <w:rPr>
          <w:rFonts w:hint="eastAsia" w:ascii="宋体" w:hAnsi="宋体" w:eastAsia="宋体" w:cs="宋体"/>
          <w:b/>
          <w:sz w:val="28"/>
          <w:szCs w:val="24"/>
        </w:rPr>
        <w:t>语文案例  将目标转化为学生能够对照的表现</w:t>
      </w:r>
    </w:p>
    <w:p w14:paraId="0AEA727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的目标表同时列出具体目标与评价依据。其价值在于把“理解比喻说理”“形成判断”等概括要求转化为可检查的行为，并将倾听和共情要求嵌入讨论。表中节选保留原案例的目标层级；在本研究中，可分别从浅层知识获得、深层关系理解和新情境运用分析其学习要求，不将两级目标与三层学习机械对应。</w:t>
      </w:r>
      <w:r>
        <w:rPr>
          <w:rFonts w:hint="eastAsia" w:ascii="宋体" w:hAnsi="宋体" w:eastAsia="宋体" w:cs="宋体"/>
          <w:b w:val="0"/>
          <w:sz w:val="24"/>
          <w:szCs w:val="24"/>
          <w:vertAlign w:val="superscript"/>
        </w:rPr>
        <w:t>[7]</w:t>
      </w:r>
    </w:p>
    <w:p w14:paraId="49A35955">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表3-29  拿来主义目标与评价依据原表节选</w:t>
      </w:r>
    </w:p>
    <w:tbl>
      <w:tblPr>
        <w:tblStyle w:val="12"/>
        <w:tblW w:w="8522" w:type="dxa"/>
        <w:jc w:val="center"/>
        <w:tblLayout w:type="fixed"/>
        <w:tblCellMar>
          <w:top w:w="0" w:type="dxa"/>
          <w:left w:w="0" w:type="dxa"/>
          <w:bottom w:w="0" w:type="dxa"/>
          <w:right w:w="0" w:type="dxa"/>
        </w:tblCellMar>
      </w:tblPr>
      <w:tblGrid>
        <w:gridCol w:w="1658"/>
        <w:gridCol w:w="3248"/>
        <w:gridCol w:w="3616"/>
      </w:tblGrid>
      <w:tr w14:paraId="75DC070C">
        <w:tblPrEx>
          <w:tblCellMar>
            <w:top w:w="0" w:type="dxa"/>
            <w:left w:w="0" w:type="dxa"/>
            <w:bottom w:w="0" w:type="dxa"/>
            <w:right w:w="0" w:type="dxa"/>
          </w:tblCellMar>
        </w:tblPrEx>
        <w:trPr>
          <w:cantSplit/>
          <w:tblHeader/>
          <w:jc w:val="center"/>
        </w:trPr>
        <w:tc>
          <w:tcPr>
            <w:tcW w:w="1658" w:type="dxa"/>
            <w:tcBorders>
              <w:top w:val="single" w:color="000000" w:sz="12" w:space="0"/>
            </w:tcBorders>
            <w:vAlign w:val="center"/>
          </w:tcPr>
          <w:p w14:paraId="38155385">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原案例层级</w:t>
            </w:r>
          </w:p>
        </w:tc>
        <w:tc>
          <w:tcPr>
            <w:tcW w:w="3248" w:type="dxa"/>
            <w:tcBorders>
              <w:top w:val="single" w:color="000000" w:sz="12" w:space="0"/>
            </w:tcBorders>
            <w:vAlign w:val="center"/>
          </w:tcPr>
          <w:p w14:paraId="2CD43A6C">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具体目标原文节选</w:t>
            </w:r>
          </w:p>
        </w:tc>
        <w:tc>
          <w:tcPr>
            <w:tcW w:w="3616" w:type="dxa"/>
            <w:tcBorders>
              <w:top w:val="single" w:color="000000" w:sz="12" w:space="0"/>
            </w:tcBorders>
            <w:vAlign w:val="center"/>
          </w:tcPr>
          <w:p w14:paraId="497C34C1">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评价依据原文节选</w:t>
            </w:r>
          </w:p>
        </w:tc>
      </w:tr>
      <w:tr w14:paraId="1445106B">
        <w:tblPrEx>
          <w:tblCellMar>
            <w:top w:w="0" w:type="dxa"/>
            <w:left w:w="0" w:type="dxa"/>
            <w:bottom w:w="0" w:type="dxa"/>
            <w:right w:w="0" w:type="dxa"/>
          </w:tblCellMar>
        </w:tblPrEx>
        <w:trPr>
          <w:cantSplit/>
          <w:jc w:val="center"/>
        </w:trPr>
        <w:tc>
          <w:tcPr>
            <w:tcW w:w="1658" w:type="dxa"/>
            <w:tcBorders>
              <w:top w:val="single" w:color="000000" w:sz="4" w:space="0"/>
            </w:tcBorders>
            <w:vAlign w:val="center"/>
          </w:tcPr>
          <w:p w14:paraId="7E86B8B2">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基础目标</w:t>
            </w:r>
          </w:p>
        </w:tc>
        <w:tc>
          <w:tcPr>
            <w:tcW w:w="3248" w:type="dxa"/>
            <w:tcBorders>
              <w:top w:val="single" w:color="000000" w:sz="4" w:space="0"/>
            </w:tcBorders>
            <w:vAlign w:val="center"/>
          </w:tcPr>
          <w:p w14:paraId="70871C2A">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能准确说出“大宅子”比喻中“鱼翅”“鸦片”等本体的指代及处理方法</w:t>
            </w:r>
          </w:p>
        </w:tc>
        <w:tc>
          <w:tcPr>
            <w:tcW w:w="3616" w:type="dxa"/>
            <w:tcBorders>
              <w:top w:val="single" w:color="000000" w:sz="4" w:space="0"/>
            </w:tcBorders>
            <w:vAlign w:val="center"/>
          </w:tcPr>
          <w:p w14:paraId="626EA0B8">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能独立填写“喻体-本体-处理方法”表格，内容完整正确</w:t>
            </w:r>
          </w:p>
        </w:tc>
      </w:tr>
      <w:tr w14:paraId="38604A3E">
        <w:tblPrEx>
          <w:tblCellMar>
            <w:top w:w="0" w:type="dxa"/>
            <w:left w:w="0" w:type="dxa"/>
            <w:bottom w:w="0" w:type="dxa"/>
            <w:right w:w="0" w:type="dxa"/>
          </w:tblCellMar>
        </w:tblPrEx>
        <w:trPr>
          <w:cantSplit/>
          <w:jc w:val="center"/>
        </w:trPr>
        <w:tc>
          <w:tcPr>
            <w:tcW w:w="1658" w:type="dxa"/>
            <w:vAlign w:val="center"/>
          </w:tcPr>
          <w:p w14:paraId="6D5BEC8C">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高阶目标</w:t>
            </w:r>
          </w:p>
        </w:tc>
        <w:tc>
          <w:tcPr>
            <w:tcW w:w="3248" w:type="dxa"/>
            <w:vAlign w:val="center"/>
          </w:tcPr>
          <w:p w14:paraId="7471FE9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能运用“拿来主义”原则，为当代文化现象制定“占有、挑选、创新”的方案</w:t>
            </w:r>
          </w:p>
        </w:tc>
        <w:tc>
          <w:tcPr>
            <w:tcW w:w="3616" w:type="dxa"/>
            <w:vAlign w:val="center"/>
          </w:tcPr>
          <w:p w14:paraId="71F7E3CE">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能完成一篇评论或一幅漫画，方案体现辩证分析与创新构想</w:t>
            </w:r>
          </w:p>
        </w:tc>
      </w:tr>
      <w:tr w14:paraId="6FDD09D8">
        <w:tblPrEx>
          <w:tblCellMar>
            <w:top w:w="0" w:type="dxa"/>
            <w:left w:w="0" w:type="dxa"/>
            <w:bottom w:w="0" w:type="dxa"/>
            <w:right w:w="0" w:type="dxa"/>
          </w:tblCellMar>
        </w:tblPrEx>
        <w:trPr>
          <w:cantSplit/>
          <w:jc w:val="center"/>
        </w:trPr>
        <w:tc>
          <w:tcPr>
            <w:tcW w:w="1658" w:type="dxa"/>
            <w:tcBorders>
              <w:bottom w:val="single" w:color="000000" w:sz="12" w:space="0"/>
            </w:tcBorders>
            <w:vAlign w:val="center"/>
          </w:tcPr>
          <w:p w14:paraId="66BECBBC">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高阶目标中的合作要求</w:t>
            </w:r>
          </w:p>
        </w:tc>
        <w:tc>
          <w:tcPr>
            <w:tcW w:w="3248" w:type="dxa"/>
            <w:tcBorders>
              <w:bottom w:val="single" w:color="000000" w:sz="12" w:space="0"/>
            </w:tcBorders>
            <w:vAlign w:val="center"/>
          </w:tcPr>
          <w:p w14:paraId="259570B2">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面对理解困难或观点冲突时，能主动调节急躁、挫败等情绪，坚持探究</w:t>
            </w:r>
          </w:p>
        </w:tc>
        <w:tc>
          <w:tcPr>
            <w:tcW w:w="3616" w:type="dxa"/>
            <w:tcBorders>
              <w:bottom w:val="single" w:color="000000" w:sz="12" w:space="0"/>
            </w:tcBorders>
            <w:vAlign w:val="center"/>
          </w:tcPr>
          <w:p w14:paraId="6490AF60">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课堂观察中表现出情绪自我平复的言行；能在发言或反思中说出“我理解他为什么这样想”</w:t>
            </w:r>
          </w:p>
        </w:tc>
      </w:tr>
    </w:tbl>
    <w:p w14:paraId="0EB5DD41">
      <w:pPr>
        <w:keepNext/>
        <w:pageBreakBefore w:val="0"/>
        <w:overflowPunct w:val="0"/>
        <w:bidi w:val="0"/>
        <w:spacing w:line="360" w:lineRule="auto"/>
        <w:ind w:firstLineChars="200"/>
        <w:jc w:val="center"/>
        <w:textAlignment w:val="auto"/>
        <w:rPr>
          <w:rFonts w:hint="eastAsia" w:ascii="宋体" w:hAnsi="宋体" w:eastAsia="宋体" w:cs="宋体"/>
        </w:rPr>
      </w:pPr>
    </w:p>
    <w:p w14:paraId="348D0843">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138420" cy="1363980"/>
            <wp:effectExtent l="0" t="0" r="508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7"/>
                    <a:stretch>
                      <a:fillRect/>
                    </a:stretch>
                  </pic:blipFill>
                  <pic:spPr>
                    <a:xfrm>
                      <a:off x="0" y="0"/>
                      <a:ext cx="5138420" cy="1363980"/>
                    </a:xfrm>
                    <a:prstGeom prst="rect">
                      <a:avLst/>
                    </a:prstGeom>
                    <a:noFill/>
                  </pic:spPr>
                </pic:pic>
              </a:graphicData>
            </a:graphic>
          </wp:inline>
        </w:drawing>
      </w:r>
    </w:p>
    <w:p w14:paraId="42038D66">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图3-10  拿来主义自我检测项目截图</w:t>
      </w:r>
    </w:p>
    <w:p w14:paraId="34C548E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截图列出分类表格、比喻说理作用和联系现实理解文化主体性三个自我检测项目，使学生能够逐项对照目标。原图的勾选标记与案例文字说明不完全一致，故此处用于说明自评工具的设计，不据此判断个体达成差异；实际理解仍需通过解释与作答核查。</w:t>
      </w:r>
    </w:p>
    <w:p w14:paraId="25D9F4B8">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8" w:name="_Toc18765"/>
      <w:r>
        <w:rPr>
          <w:rFonts w:hint="eastAsia" w:ascii="宋体" w:hAnsi="宋体" w:eastAsia="宋体" w:cs="宋体"/>
          <w:b/>
          <w:bCs/>
          <w:sz w:val="28"/>
          <w:szCs w:val="24"/>
        </w:rPr>
        <w:t>（3）可见的学习内容分析框架</w:t>
      </w:r>
      <w:bookmarkEnd w:id="78"/>
    </w:p>
    <w:p w14:paraId="7C7D13E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内容组织以学科核心概念、重要关系和典型方法为基础，兼顾学生已有经验与问题解决需要。参考文献从学科与跨学科立场组织实践内容，并区分不同的实践表征水平（图3-11）。本研究吸收其关注知识联系、实践方式和学习深度的思路，围绕核心问题建立相互关联的任务，避免知识点与活动各自分散。[1]</w:t>
      </w:r>
    </w:p>
    <w:p w14:paraId="1790FDA3">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3402965" cy="2331720"/>
            <wp:effectExtent l="0" t="0" r="698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8"/>
                    <a:stretch>
                      <a:fillRect/>
                    </a:stretch>
                  </pic:blipFill>
                  <pic:spPr>
                    <a:xfrm>
                      <a:off x="0" y="0"/>
                      <a:ext cx="3402965" cy="2331720"/>
                    </a:xfrm>
                    <a:prstGeom prst="rect">
                      <a:avLst/>
                    </a:prstGeom>
                    <a:noFill/>
                  </pic:spPr>
                </pic:pic>
              </a:graphicData>
            </a:graphic>
          </wp:inline>
        </w:drawing>
      </w:r>
    </w:p>
    <w:p w14:paraId="388A1EAE">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图3-11  学科实践学习内容分析框架</w:t>
      </w:r>
    </w:p>
    <w:p w14:paraId="20B7365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图3-12  从学习层次、学科实践与跨学科实践三个方面组织内容分析。纵向区分浅层、深层与迁移学习，横向呈现知识运用、问题探究与综合实践，斜向体现跨学科知识与方法的联系。图中的三个方向分别提示内容设计应考虑学习深度、实践方式及知识联系，不能将某种实践类型直接视为某一学习层次，也不能以涉及学科的多少判断学习深度。</w:t>
      </w:r>
    </w:p>
    <w:p w14:paraId="0BDC671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在图3-12所示整体关系基础上，表3-30进一步将三层学习转化为内容组织重点、任务设计示例及学习表现与观察重点，使内容选择、任务安排和证据收集相互衔接。</w:t>
      </w:r>
    </w:p>
    <w:p w14:paraId="1CB2FA2B">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表3-30  三层学习的内容组织与任务设计要点</w:t>
      </w:r>
    </w:p>
    <w:tbl>
      <w:tblPr>
        <w:tblStyle w:val="12"/>
        <w:tblW w:w="9819" w:type="dxa"/>
        <w:jc w:val="center"/>
        <w:tblLayout w:type="fixed"/>
        <w:tblCellMar>
          <w:top w:w="0" w:type="dxa"/>
          <w:left w:w="0" w:type="dxa"/>
          <w:bottom w:w="0" w:type="dxa"/>
          <w:right w:w="0" w:type="dxa"/>
        </w:tblCellMar>
      </w:tblPr>
      <w:tblGrid>
        <w:gridCol w:w="1299"/>
        <w:gridCol w:w="2901"/>
        <w:gridCol w:w="2403"/>
        <w:gridCol w:w="3216"/>
      </w:tblGrid>
      <w:tr w14:paraId="2E69393D">
        <w:tblPrEx>
          <w:tblCellMar>
            <w:top w:w="0" w:type="dxa"/>
            <w:left w:w="0" w:type="dxa"/>
            <w:bottom w:w="0" w:type="dxa"/>
            <w:right w:w="0" w:type="dxa"/>
          </w:tblCellMar>
        </w:tblPrEx>
        <w:trPr>
          <w:cantSplit/>
          <w:tblHeader/>
          <w:jc w:val="center"/>
        </w:trPr>
        <w:tc>
          <w:tcPr>
            <w:tcW w:w="1299" w:type="dxa"/>
            <w:tcBorders>
              <w:top w:val="single" w:color="000000" w:sz="12" w:space="0"/>
            </w:tcBorders>
            <w:vAlign w:val="center"/>
          </w:tcPr>
          <w:p w14:paraId="418F2F4B">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学习层次</w:t>
            </w:r>
          </w:p>
        </w:tc>
        <w:tc>
          <w:tcPr>
            <w:tcW w:w="2901" w:type="dxa"/>
            <w:tcBorders>
              <w:top w:val="single" w:color="000000" w:sz="12" w:space="0"/>
            </w:tcBorders>
            <w:vAlign w:val="center"/>
          </w:tcPr>
          <w:p w14:paraId="46359240">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内容组织重点</w:t>
            </w:r>
          </w:p>
        </w:tc>
        <w:tc>
          <w:tcPr>
            <w:tcW w:w="2403" w:type="dxa"/>
            <w:tcBorders>
              <w:top w:val="single" w:color="000000" w:sz="12" w:space="0"/>
            </w:tcBorders>
            <w:vAlign w:val="center"/>
          </w:tcPr>
          <w:p w14:paraId="4B51F15D">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任务设计示例</w:t>
            </w:r>
          </w:p>
        </w:tc>
        <w:tc>
          <w:tcPr>
            <w:tcW w:w="3216" w:type="dxa"/>
            <w:tcBorders>
              <w:top w:val="single" w:color="000000" w:sz="12" w:space="0"/>
            </w:tcBorders>
            <w:vAlign w:val="center"/>
          </w:tcPr>
          <w:p w14:paraId="2C1C651A">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学习表现与观察重点</w:t>
            </w:r>
          </w:p>
        </w:tc>
      </w:tr>
      <w:tr w14:paraId="3A46E538">
        <w:tblPrEx>
          <w:tblCellMar>
            <w:top w:w="0" w:type="dxa"/>
            <w:left w:w="0" w:type="dxa"/>
            <w:bottom w:w="0" w:type="dxa"/>
            <w:right w:w="0" w:type="dxa"/>
          </w:tblCellMar>
        </w:tblPrEx>
        <w:trPr>
          <w:cantSplit/>
          <w:jc w:val="center"/>
        </w:trPr>
        <w:tc>
          <w:tcPr>
            <w:tcW w:w="1299" w:type="dxa"/>
            <w:tcBorders>
              <w:top w:val="single" w:color="000000" w:sz="4" w:space="0"/>
            </w:tcBorders>
            <w:vAlign w:val="center"/>
          </w:tcPr>
          <w:p w14:paraId="74FACE55">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2901" w:type="dxa"/>
            <w:tcBorders>
              <w:top w:val="single" w:color="000000" w:sz="4" w:space="0"/>
            </w:tcBorders>
            <w:vAlign w:val="center"/>
          </w:tcPr>
          <w:p w14:paraId="5D5B4124">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核心概念、基本事实、必要技能及典型实例</w:t>
            </w:r>
          </w:p>
        </w:tc>
        <w:tc>
          <w:tcPr>
            <w:tcW w:w="2403" w:type="dxa"/>
            <w:tcBorders>
              <w:top w:val="single" w:color="000000" w:sz="4" w:space="0"/>
            </w:tcBorders>
            <w:vAlign w:val="center"/>
          </w:tcPr>
          <w:p w14:paraId="7C1DE84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辨析实例、解释概念，完成基本操作与表达</w:t>
            </w:r>
          </w:p>
        </w:tc>
        <w:tc>
          <w:tcPr>
            <w:tcW w:w="3216" w:type="dxa"/>
            <w:tcBorders>
              <w:top w:val="single" w:color="000000" w:sz="4" w:space="0"/>
            </w:tcBorders>
            <w:vAlign w:val="center"/>
          </w:tcPr>
          <w:p w14:paraId="67AC245C">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能否准确理解概念、完成必要步骤；存在哪些误解或基础缺漏</w:t>
            </w:r>
          </w:p>
        </w:tc>
      </w:tr>
      <w:tr w14:paraId="0BE79596">
        <w:tblPrEx>
          <w:tblCellMar>
            <w:top w:w="0" w:type="dxa"/>
            <w:left w:w="0" w:type="dxa"/>
            <w:bottom w:w="0" w:type="dxa"/>
            <w:right w:w="0" w:type="dxa"/>
          </w:tblCellMar>
        </w:tblPrEx>
        <w:trPr>
          <w:cantSplit/>
          <w:jc w:val="center"/>
        </w:trPr>
        <w:tc>
          <w:tcPr>
            <w:tcW w:w="1299" w:type="dxa"/>
            <w:vAlign w:val="center"/>
          </w:tcPr>
          <w:p w14:paraId="3A66E538">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2901" w:type="dxa"/>
            <w:vAlign w:val="center"/>
          </w:tcPr>
          <w:p w14:paraId="689DA990">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概念之间的联系、方法原理及不同观点，按需联系其他学科知识</w:t>
            </w:r>
          </w:p>
        </w:tc>
        <w:tc>
          <w:tcPr>
            <w:tcW w:w="2403" w:type="dxa"/>
            <w:vAlign w:val="center"/>
          </w:tcPr>
          <w:p w14:paraId="35CD743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比较方法、分析关系、解释原因，运用证据论证并修正判断</w:t>
            </w:r>
          </w:p>
        </w:tc>
        <w:tc>
          <w:tcPr>
            <w:tcW w:w="3216" w:type="dxa"/>
            <w:vAlign w:val="center"/>
          </w:tcPr>
          <w:p w14:paraId="1D422EF7">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能否建立合理联系、说明方法依据；证据与解释是否支持结论</w:t>
            </w:r>
          </w:p>
        </w:tc>
      </w:tr>
      <w:tr w14:paraId="3442246F">
        <w:tblPrEx>
          <w:tblCellMar>
            <w:top w:w="0" w:type="dxa"/>
            <w:left w:w="0" w:type="dxa"/>
            <w:bottom w:w="0" w:type="dxa"/>
            <w:right w:w="0" w:type="dxa"/>
          </w:tblCellMar>
        </w:tblPrEx>
        <w:trPr>
          <w:cantSplit/>
          <w:jc w:val="center"/>
        </w:trPr>
        <w:tc>
          <w:tcPr>
            <w:tcW w:w="1299" w:type="dxa"/>
            <w:tcBorders>
              <w:bottom w:val="single" w:color="000000" w:sz="12" w:space="0"/>
            </w:tcBorders>
            <w:vAlign w:val="center"/>
          </w:tcPr>
          <w:p w14:paraId="6DA57174">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2901" w:type="dxa"/>
            <w:tcBorders>
              <w:bottom w:val="single" w:color="000000" w:sz="12" w:space="0"/>
            </w:tcBorders>
            <w:vAlign w:val="center"/>
          </w:tcPr>
          <w:p w14:paraId="27B5330B">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新情境中的条件变化、知识与方法的适用边界，解决问题所需的跨学科联系</w:t>
            </w:r>
          </w:p>
        </w:tc>
        <w:tc>
          <w:tcPr>
            <w:tcW w:w="2403" w:type="dxa"/>
            <w:tcBorders>
              <w:bottom w:val="single" w:color="000000" w:sz="12" w:space="0"/>
            </w:tcBorders>
            <w:vAlign w:val="center"/>
          </w:tcPr>
          <w:p w14:paraId="034E2BCF">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在新任务中选择、整合与调整方法，形成成果并检验修订</w:t>
            </w:r>
          </w:p>
        </w:tc>
        <w:tc>
          <w:tcPr>
            <w:tcW w:w="3216" w:type="dxa"/>
            <w:tcBorders>
              <w:bottom w:val="single" w:color="000000" w:sz="12" w:space="0"/>
            </w:tcBorders>
            <w:vAlign w:val="center"/>
          </w:tcPr>
          <w:p w14:paraId="31259538">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能否识别新旧情境的异同，独立选择适切方法，并根据结果调整</w:t>
            </w:r>
          </w:p>
        </w:tc>
      </w:tr>
    </w:tbl>
    <w:p w14:paraId="5CC7BB0A">
      <w:pPr>
        <w:pageBreakBefore w:val="0"/>
        <w:overflowPunct w:val="0"/>
        <w:bidi w:val="0"/>
        <w:spacing w:line="240" w:lineRule="auto"/>
        <w:ind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注：三层学习用于区分学习要求，同一任务可涉及不同层次。知识运用、问题探究与综合实践均可承载三层学习；跨学科内容依据任务需要引入，不作为学习层次高低的判断标准。</w:t>
      </w:r>
    </w:p>
    <w:p w14:paraId="309BEDD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表3-31  中，浅层学习着重识别概念与步骤上的误解，深层学习着重考察知识联系和论证依据，迁移学习着重考察条件辨识与方法调整。例如，语文任务可由文本信息理解进入比较解释，再在新文本中检验阅读方法；科学类任务可由概念与操作学习进入现象解释，再在变化条件下检验方案。跨学科内容依据任务需要引入，并说明其对解决问题的具体作用。</w:t>
      </w:r>
    </w:p>
    <w:p w14:paraId="0F3557C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内容是否形成联系，需要通过学生的概念图、方法比较、问题分解及解释记录加以判断。教师据此识别理解困难，决定补充基础、深化关系或调整迁移任务。责任担当、情绪调节与合作共情等要求则结合共同任务中的分工、受阻与分歧加以落实，使知识学习与社会情感支持发生于同一实践过程。</w:t>
      </w:r>
    </w:p>
    <w:p w14:paraId="5BE037E4">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围绕关键关系组织语文学习内容</w:t>
      </w:r>
    </w:p>
    <w:p w14:paraId="3964D86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秋天的怀念》第二课时将三次看花、人物心理、菊花意象与“好好儿活”联系起来，形成内容深化的路径。学生先从关键语句梳理情节和人物表现，再比较三次看花中“我”的态度变化，解释菊花、秋天与生命主题的关系，最后借助新文本考察阅读方法能否迁移。内容的递进依据是学生需要理解的关系逐步增多，而非问题数量的增加。</w:t>
      </w:r>
    </w:p>
    <w:p w14:paraId="45947D08">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表3-32  秋天的怀念案例的内容组织</w:t>
      </w:r>
    </w:p>
    <w:tbl>
      <w:tblPr>
        <w:tblStyle w:val="12"/>
        <w:tblW w:w="8522" w:type="dxa"/>
        <w:jc w:val="center"/>
        <w:tblLayout w:type="fixed"/>
        <w:tblCellMar>
          <w:top w:w="0" w:type="dxa"/>
          <w:left w:w="0" w:type="dxa"/>
          <w:bottom w:w="0" w:type="dxa"/>
          <w:right w:w="0" w:type="dxa"/>
        </w:tblCellMar>
      </w:tblPr>
      <w:tblGrid>
        <w:gridCol w:w="1884"/>
        <w:gridCol w:w="4355"/>
        <w:gridCol w:w="2283"/>
      </w:tblGrid>
      <w:tr w14:paraId="2896F796">
        <w:tblPrEx>
          <w:tblCellMar>
            <w:top w:w="0" w:type="dxa"/>
            <w:left w:w="0" w:type="dxa"/>
            <w:bottom w:w="0" w:type="dxa"/>
            <w:right w:w="0" w:type="dxa"/>
          </w:tblCellMar>
        </w:tblPrEx>
        <w:trPr>
          <w:cantSplit/>
          <w:tblHeader/>
          <w:jc w:val="center"/>
        </w:trPr>
        <w:tc>
          <w:tcPr>
            <w:tcW w:w="1884" w:type="dxa"/>
            <w:tcBorders>
              <w:top w:val="single" w:color="000000" w:sz="12" w:space="0"/>
            </w:tcBorders>
            <w:vAlign w:val="center"/>
          </w:tcPr>
          <w:p w14:paraId="23D71852">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学习重点</w:t>
            </w:r>
          </w:p>
        </w:tc>
        <w:tc>
          <w:tcPr>
            <w:tcW w:w="4355" w:type="dxa"/>
            <w:tcBorders>
              <w:top w:val="single" w:color="000000" w:sz="12" w:space="0"/>
            </w:tcBorders>
            <w:vAlign w:val="center"/>
          </w:tcPr>
          <w:p w14:paraId="140A184B">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材料与任务</w:t>
            </w:r>
          </w:p>
        </w:tc>
        <w:tc>
          <w:tcPr>
            <w:tcW w:w="2283" w:type="dxa"/>
            <w:tcBorders>
              <w:top w:val="single" w:color="000000" w:sz="12" w:space="0"/>
            </w:tcBorders>
            <w:vAlign w:val="center"/>
          </w:tcPr>
          <w:p w14:paraId="4A043C82">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学习证据</w:t>
            </w:r>
          </w:p>
        </w:tc>
      </w:tr>
      <w:tr w14:paraId="783C91C8">
        <w:tblPrEx>
          <w:tblCellMar>
            <w:top w:w="0" w:type="dxa"/>
            <w:left w:w="0" w:type="dxa"/>
            <w:bottom w:w="0" w:type="dxa"/>
            <w:right w:w="0" w:type="dxa"/>
          </w:tblCellMar>
        </w:tblPrEx>
        <w:trPr>
          <w:cantSplit/>
          <w:jc w:val="center"/>
        </w:trPr>
        <w:tc>
          <w:tcPr>
            <w:tcW w:w="1884" w:type="dxa"/>
            <w:tcBorders>
              <w:top w:val="single" w:color="000000" w:sz="4" w:space="0"/>
            </w:tcBorders>
            <w:vAlign w:val="center"/>
          </w:tcPr>
          <w:p w14:paraId="5F98FEEB">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辨认细节与情节</w:t>
            </w:r>
          </w:p>
        </w:tc>
        <w:tc>
          <w:tcPr>
            <w:tcW w:w="4355" w:type="dxa"/>
            <w:tcBorders>
              <w:top w:val="single" w:color="000000" w:sz="4" w:space="0"/>
            </w:tcBorders>
            <w:vAlign w:val="center"/>
          </w:tcPr>
          <w:p w14:paraId="03C8BFA9">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梳理看花情节，品读“悄悄”“扑”“抓”等词语</w:t>
            </w:r>
          </w:p>
        </w:tc>
        <w:tc>
          <w:tcPr>
            <w:tcW w:w="2283" w:type="dxa"/>
            <w:tcBorders>
              <w:top w:val="single" w:color="000000" w:sz="4" w:space="0"/>
            </w:tcBorders>
            <w:vAlign w:val="center"/>
          </w:tcPr>
          <w:p w14:paraId="7698E1D6">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学案中的圈画、批注与解释</w:t>
            </w:r>
          </w:p>
        </w:tc>
      </w:tr>
      <w:tr w14:paraId="784C7375">
        <w:tblPrEx>
          <w:tblCellMar>
            <w:top w:w="0" w:type="dxa"/>
            <w:left w:w="0" w:type="dxa"/>
            <w:bottom w:w="0" w:type="dxa"/>
            <w:right w:w="0" w:type="dxa"/>
          </w:tblCellMar>
        </w:tblPrEx>
        <w:trPr>
          <w:cantSplit/>
          <w:jc w:val="center"/>
        </w:trPr>
        <w:tc>
          <w:tcPr>
            <w:tcW w:w="1884" w:type="dxa"/>
            <w:vAlign w:val="center"/>
          </w:tcPr>
          <w:p w14:paraId="3964231D">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建立意象与主旨的联系</w:t>
            </w:r>
          </w:p>
        </w:tc>
        <w:tc>
          <w:tcPr>
            <w:tcW w:w="4355" w:type="dxa"/>
            <w:vAlign w:val="center"/>
          </w:tcPr>
          <w:p w14:paraId="18C77CD0">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比较人物心理，讨论菊花与“好好儿活”的关系</w:t>
            </w:r>
          </w:p>
        </w:tc>
        <w:tc>
          <w:tcPr>
            <w:tcW w:w="2283" w:type="dxa"/>
            <w:vAlign w:val="center"/>
          </w:tcPr>
          <w:p w14:paraId="1E018175">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思维导图、短笺及答辩回应</w:t>
            </w:r>
          </w:p>
        </w:tc>
      </w:tr>
      <w:tr w14:paraId="1CFC2FE2">
        <w:trPr>
          <w:cantSplit/>
          <w:jc w:val="center"/>
        </w:trPr>
        <w:tc>
          <w:tcPr>
            <w:tcW w:w="1884" w:type="dxa"/>
            <w:tcBorders>
              <w:bottom w:val="single" w:color="000000" w:sz="12" w:space="0"/>
            </w:tcBorders>
            <w:vAlign w:val="center"/>
          </w:tcPr>
          <w:p w14:paraId="2D6D2A16">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在新文本中运用方法</w:t>
            </w:r>
          </w:p>
        </w:tc>
        <w:tc>
          <w:tcPr>
            <w:tcW w:w="4355" w:type="dxa"/>
            <w:tcBorders>
              <w:bottom w:val="single" w:color="000000" w:sz="12" w:space="0"/>
            </w:tcBorders>
            <w:vAlign w:val="center"/>
          </w:tcPr>
          <w:p w14:paraId="13B44FB5">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阅读《合欢树》，比较细节、意象与情感表达</w:t>
            </w:r>
          </w:p>
        </w:tc>
        <w:tc>
          <w:tcPr>
            <w:tcW w:w="2283" w:type="dxa"/>
            <w:tcBorders>
              <w:bottom w:val="single" w:color="000000" w:sz="12" w:space="0"/>
            </w:tcBorders>
            <w:vAlign w:val="center"/>
          </w:tcPr>
          <w:p w14:paraId="6066744E">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跨文本阅读记录和方法自评</w:t>
            </w:r>
          </w:p>
        </w:tc>
      </w:tr>
    </w:tbl>
    <w:p w14:paraId="53C1767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案例记录中，一名学生在《合欢树》阅读中联系母亲求医的细节解释母爱，并比较两篇文章中菊花与树的作用；同时反思自己在意象分析上容易停滞。这一记录为该生运用阅读方法和诊断自身困难提供了个案证据，也提示迁移后仍需保留反馈。对人物处境的共情属于文本理解内容；学生是否能够倾听同伴、协商分歧，则需依据实际互动另行判断。</w:t>
      </w:r>
    </w:p>
    <w:p w14:paraId="5A4BFE1C">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440680" cy="2982595"/>
            <wp:effectExtent l="0" t="0" r="7620" b="825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19"/>
                    <a:srcRect t="10394" b="14190"/>
                    <a:stretch>
                      <a:fillRect/>
                    </a:stretch>
                  </pic:blipFill>
                  <pic:spPr>
                    <a:xfrm>
                      <a:off x="0" y="0"/>
                      <a:ext cx="5440680" cy="2982595"/>
                    </a:xfrm>
                    <a:prstGeom prst="rect">
                      <a:avLst/>
                    </a:prstGeom>
                    <a:noFill/>
                  </pic:spPr>
                </pic:pic>
              </a:graphicData>
            </a:graphic>
          </wp:inline>
        </w:drawing>
      </w:r>
    </w:p>
    <w:p w14:paraId="5D78FB7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图3-13  跨文本迁移阅读记录卡</w:t>
      </w:r>
    </w:p>
    <w:p w14:paraId="16BB22A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记录卡同时保留细节摘抄、意象解释、新旧文本比较和方法自评，使内容分析能够落到学生实际运用的方法上。学生自评指出意象分析仍有困难，也为下一步补充情节与意象联系的支持提供了依据。</w:t>
      </w:r>
    </w:p>
    <w:p w14:paraId="634CC064">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从物件特征组织到叙事与情感联系</w:t>
      </w:r>
    </w:p>
    <w:p w14:paraId="5FF0FD8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状物写作的内容不是若干描写技巧的并列，而是围绕“物件怎样成为表达线索”形成联系。原案例按“物件本体→客观特征→场景故事→岁月痕迹→主旨取舍”组织支架：颜色和材质提供观察基础，使用场景把物与事联系起来，生活痕迹引出记忆，主旨决定细节取舍。学生在藤椅版本中从外形写到夏日使用感受，再写个人生活经历，说明内容组织为表达深化提供了路径。版本编号用于追踪本次写作变化，不作为固定的能力等级。</w:t>
      </w:r>
    </w:p>
    <w:p w14:paraId="23B2E079">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从比喻分类深入到论证关系</w:t>
      </w:r>
    </w:p>
    <w:p w14:paraId="1DBFD39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先通过“喻体—本体—处理方法”整理信息，再讨论分类依据及第8—10段的关系，最后联系当代文化现象作出判断。原案例中的学生将段落联系解释为“态度—方法—结果和意义”，另一名学生补充“前面批判‘送去主义’是破，后面讲‘拿来主义’是立”。这些回答显示，学习已从辨认局部指代进入分析整体论证。学生提出的分类或排序标准仍需回到原文检验，教师应支持有依据的比较，而非把某一概括作为唯一答案。</w:t>
      </w:r>
    </w:p>
    <w:p w14:paraId="5D4487CA">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993005" cy="1803400"/>
            <wp:effectExtent l="0" t="0" r="7620" b="635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20"/>
                    <a:stretch>
                      <a:fillRect/>
                    </a:stretch>
                  </pic:blipFill>
                  <pic:spPr>
                    <a:xfrm>
                      <a:off x="0" y="0"/>
                      <a:ext cx="4993005" cy="1803400"/>
                    </a:xfrm>
                    <a:prstGeom prst="rect">
                      <a:avLst/>
                    </a:prstGeom>
                    <a:noFill/>
                  </pic:spPr>
                </pic:pic>
              </a:graphicData>
            </a:graphic>
          </wp:inline>
        </w:drawing>
      </w:r>
    </w:p>
    <w:p w14:paraId="572FFC3C">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图3-14  拿来主义学生小组分类表作答</w:t>
      </w:r>
    </w:p>
    <w:p w14:paraId="336509E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原件保留了学生对喻体、本体和处理方法的对应填写，可用于检查其是否建立文本中的关键联系。将这一作答与段落关系的解释结合，能够进一步区分“填出内容”与“说清论证关系”两种学习表现。</w:t>
      </w:r>
    </w:p>
    <w:p w14:paraId="7131E30D">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79" w:name="_Toc20068"/>
      <w:r>
        <w:rPr>
          <w:rFonts w:hint="eastAsia" w:ascii="宋体" w:hAnsi="宋体" w:eastAsia="宋体" w:cs="宋体"/>
          <w:b/>
          <w:bCs/>
          <w:sz w:val="28"/>
          <w:szCs w:val="24"/>
        </w:rPr>
        <w:t>（4）可见的学习过程分析框架</w:t>
      </w:r>
      <w:bookmarkEnd w:id="79"/>
    </w:p>
    <w:p w14:paraId="3144B167">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参考文献将教师活动与学生实践联系起来，强调依据证据反馈促进过程深化（图3-15）。本研究在这一思路上，将五环学习与教师持续调节融入同一活动：学生呈现思路并运用反馈，教师依据表现判断需要、选择支持并考察其作用。</w:t>
      </w:r>
    </w:p>
    <w:p w14:paraId="2F4FDE0A">
      <w:pPr>
        <w:pageBreakBefore w:val="0"/>
        <w:overflowPunct w:val="0"/>
        <w:bidi w:val="0"/>
        <w:spacing w:line="240" w:lineRule="auto"/>
        <w:jc w:val="both"/>
        <w:textAlignment w:val="auto"/>
        <w:rPr>
          <w:rFonts w:hint="eastAsia" w:ascii="宋体" w:hAnsi="宋体" w:eastAsia="宋体" w:cs="宋体"/>
          <w:b w:val="0"/>
          <w:color w:val="C00000"/>
          <w:sz w:val="21"/>
          <w:lang w:eastAsia="zh-CN"/>
        </w:rPr>
      </w:pPr>
      <w:r>
        <w:rPr>
          <w:rFonts w:hint="eastAsia" w:ascii="宋体" w:hAnsi="宋体" w:eastAsia="宋体" w:cs="宋体"/>
          <w:b w:val="0"/>
          <w:color w:val="C00000"/>
          <w:sz w:val="21"/>
          <w:lang w:eastAsia="zh-CN"/>
        </w:rPr>
        <w:drawing>
          <wp:inline distT="0" distB="0" distL="114300" distR="114300">
            <wp:extent cx="5267325" cy="1915160"/>
            <wp:effectExtent l="0" t="0" r="0" b="8890"/>
            <wp:docPr id="37" name="图片 37" descr="109a4ff5-179c-4545-a1e3-237ccb891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9a4ff5-179c-4545-a1e3-237ccb8915f0"/>
                    <pic:cNvPicPr>
                      <a:picLocks noChangeAspect="1"/>
                    </pic:cNvPicPr>
                  </pic:nvPicPr>
                  <pic:blipFill>
                    <a:blip r:embed="rId21"/>
                    <a:stretch>
                      <a:fillRect/>
                    </a:stretch>
                  </pic:blipFill>
                  <pic:spPr>
                    <a:xfrm>
                      <a:off x="0" y="0"/>
                      <a:ext cx="5267325" cy="1915160"/>
                    </a:xfrm>
                    <a:prstGeom prst="rect">
                      <a:avLst/>
                    </a:prstGeom>
                  </pic:spPr>
                </pic:pic>
              </a:graphicData>
            </a:graphic>
          </wp:inline>
        </w:drawing>
      </w:r>
      <w:bookmarkStart w:id="170" w:name="_GoBack"/>
      <w:bookmarkEnd w:id="170"/>
    </w:p>
    <w:p w14:paraId="64D66DE0">
      <w:pPr>
        <w:pageBreakBefore w:val="0"/>
        <w:overflowPunct w:val="0"/>
        <w:bidi w:val="0"/>
        <w:spacing w:line="240" w:lineRule="auto"/>
        <w:ind w:firstLineChars="200"/>
        <w:jc w:val="center"/>
        <w:textAlignment w:val="auto"/>
        <w:rPr>
          <w:rFonts w:hint="eastAsia" w:ascii="宋体" w:hAnsi="宋体" w:eastAsia="宋体" w:cs="宋体"/>
          <w:color w:val="C00000"/>
          <w:sz w:val="24"/>
          <w:szCs w:val="24"/>
        </w:rPr>
      </w:pPr>
      <w:r>
        <w:rPr>
          <w:rFonts w:hint="eastAsia" w:ascii="宋体" w:hAnsi="宋体" w:eastAsia="宋体" w:cs="宋体"/>
          <w:b w:val="0"/>
          <w:color w:val="C00000"/>
          <w:sz w:val="21"/>
        </w:rPr>
        <w:t>图3-15  学科实践学习过程分析框架</w:t>
      </w:r>
    </w:p>
    <w:p w14:paraId="402F7BCE">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图3-16  以三层学习把握任务深度，以五环组织学习过程，并通过实践表征联系学生学习与教师调节。浅层、深层与迁移不与五环逐一对应，各环节均可根据需要补充基础、深化联系或开展迁移；学生发现新问题后，也可返回此前环节继续探究。上方的“诊断发现—干预—实施—评估”构成持续调节过程，作用于整个五环。图中双向箭头与教、学交错符号共同表明，学生表现既是学习活动的结果，也是教师选择支持、师生继续改进的依据。</w:t>
      </w:r>
    </w:p>
    <w:p w14:paraId="1F639AB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表3-33  五环学习与教师调节的实施要点</w:t>
      </w:r>
    </w:p>
    <w:tbl>
      <w:tblPr>
        <w:tblStyle w:val="12"/>
        <w:tblW w:w="9931" w:type="dxa"/>
        <w:jc w:val="center"/>
        <w:tblLayout w:type="fixed"/>
        <w:tblCellMar>
          <w:top w:w="0" w:type="dxa"/>
          <w:left w:w="0" w:type="dxa"/>
          <w:bottom w:w="0" w:type="dxa"/>
          <w:right w:w="0" w:type="dxa"/>
        </w:tblCellMar>
      </w:tblPr>
      <w:tblGrid>
        <w:gridCol w:w="1295"/>
        <w:gridCol w:w="2266"/>
        <w:gridCol w:w="3215"/>
        <w:gridCol w:w="3155"/>
      </w:tblGrid>
      <w:tr w14:paraId="68C4CF2D">
        <w:tblPrEx>
          <w:tblCellMar>
            <w:top w:w="0" w:type="dxa"/>
            <w:left w:w="0" w:type="dxa"/>
            <w:bottom w:w="0" w:type="dxa"/>
            <w:right w:w="0" w:type="dxa"/>
          </w:tblCellMar>
        </w:tblPrEx>
        <w:trPr>
          <w:cantSplit/>
          <w:tblHeader/>
          <w:jc w:val="center"/>
        </w:trPr>
        <w:tc>
          <w:tcPr>
            <w:tcW w:w="1295" w:type="dxa"/>
            <w:tcBorders>
              <w:top w:val="single" w:color="000000" w:sz="12" w:space="0"/>
            </w:tcBorders>
            <w:vAlign w:val="center"/>
          </w:tcPr>
          <w:p w14:paraId="18713B95">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环节</w:t>
            </w:r>
          </w:p>
        </w:tc>
        <w:tc>
          <w:tcPr>
            <w:tcW w:w="2266" w:type="dxa"/>
            <w:tcBorders>
              <w:top w:val="single" w:color="000000" w:sz="12" w:space="0"/>
            </w:tcBorders>
            <w:vAlign w:val="center"/>
          </w:tcPr>
          <w:p w14:paraId="56FBB4AB">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学生主要行动</w:t>
            </w:r>
          </w:p>
        </w:tc>
        <w:tc>
          <w:tcPr>
            <w:tcW w:w="3215" w:type="dxa"/>
            <w:tcBorders>
              <w:top w:val="single" w:color="000000" w:sz="12" w:space="0"/>
            </w:tcBorders>
            <w:vAlign w:val="center"/>
          </w:tcPr>
          <w:p w14:paraId="4021A524">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教师调节重点</w:t>
            </w:r>
          </w:p>
        </w:tc>
        <w:tc>
          <w:tcPr>
            <w:tcW w:w="3155" w:type="dxa"/>
            <w:tcBorders>
              <w:top w:val="single" w:color="000000" w:sz="12" w:space="0"/>
            </w:tcBorders>
            <w:vAlign w:val="center"/>
          </w:tcPr>
          <w:p w14:paraId="390B6E57">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实践表征与判断依据</w:t>
            </w:r>
          </w:p>
        </w:tc>
      </w:tr>
      <w:tr w14:paraId="74A0B6A2">
        <w:tblPrEx>
          <w:tblCellMar>
            <w:top w:w="0" w:type="dxa"/>
            <w:left w:w="0" w:type="dxa"/>
            <w:bottom w:w="0" w:type="dxa"/>
            <w:right w:w="0" w:type="dxa"/>
          </w:tblCellMar>
        </w:tblPrEx>
        <w:trPr>
          <w:cantSplit/>
          <w:jc w:val="center"/>
        </w:trPr>
        <w:tc>
          <w:tcPr>
            <w:tcW w:w="1295" w:type="dxa"/>
            <w:tcBorders>
              <w:top w:val="single" w:color="000000" w:sz="4" w:space="0"/>
            </w:tcBorders>
            <w:vAlign w:val="center"/>
          </w:tcPr>
          <w:p w14:paraId="1008408B">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目标引领</w:t>
            </w:r>
          </w:p>
        </w:tc>
        <w:tc>
          <w:tcPr>
            <w:tcW w:w="2266" w:type="dxa"/>
            <w:tcBorders>
              <w:top w:val="single" w:color="000000" w:sz="4" w:space="0"/>
            </w:tcBorders>
            <w:vAlign w:val="center"/>
          </w:tcPr>
          <w:p w14:paraId="23853F37">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理解目标与标准，联系已有基础，明确学习需要</w:t>
            </w:r>
          </w:p>
        </w:tc>
        <w:tc>
          <w:tcPr>
            <w:tcW w:w="3215" w:type="dxa"/>
            <w:tcBorders>
              <w:top w:val="single" w:color="000000" w:sz="4" w:space="0"/>
            </w:tcBorders>
            <w:vAlign w:val="center"/>
          </w:tcPr>
          <w:p w14:paraId="059BE91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根据初始表现诊断起点，澄清标准，调整学习要求</w:t>
            </w:r>
          </w:p>
        </w:tc>
        <w:tc>
          <w:tcPr>
            <w:tcW w:w="3155" w:type="dxa"/>
            <w:tcBorders>
              <w:top w:val="single" w:color="000000" w:sz="4" w:space="0"/>
            </w:tcBorders>
            <w:vAlign w:val="center"/>
          </w:tcPr>
          <w:p w14:paraId="66B8396F">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初始作答、目标复述与样例判断：能否说明任务要求，识别已有基础与学习差距</w:t>
            </w:r>
          </w:p>
        </w:tc>
      </w:tr>
      <w:tr w14:paraId="1A025A79">
        <w:tblPrEx>
          <w:tblCellMar>
            <w:top w:w="0" w:type="dxa"/>
            <w:left w:w="0" w:type="dxa"/>
            <w:bottom w:w="0" w:type="dxa"/>
            <w:right w:w="0" w:type="dxa"/>
          </w:tblCellMar>
        </w:tblPrEx>
        <w:trPr>
          <w:cantSplit/>
          <w:jc w:val="center"/>
        </w:trPr>
        <w:tc>
          <w:tcPr>
            <w:tcW w:w="1295" w:type="dxa"/>
            <w:vAlign w:val="center"/>
          </w:tcPr>
          <w:p w14:paraId="3A856532">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任务驱动</w:t>
            </w:r>
          </w:p>
        </w:tc>
        <w:tc>
          <w:tcPr>
            <w:tcW w:w="2266" w:type="dxa"/>
            <w:vAlign w:val="center"/>
          </w:tcPr>
          <w:p w14:paraId="7ACD378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分析条件，联系知识，提出问题与初步思路</w:t>
            </w:r>
          </w:p>
        </w:tc>
        <w:tc>
          <w:tcPr>
            <w:tcW w:w="3215" w:type="dxa"/>
            <w:vAlign w:val="center"/>
          </w:tcPr>
          <w:p w14:paraId="7E746696">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判断任务难度与学生准备情况，提供支架，观察思路变化</w:t>
            </w:r>
          </w:p>
        </w:tc>
        <w:tc>
          <w:tcPr>
            <w:tcW w:w="3155" w:type="dxa"/>
            <w:vAlign w:val="center"/>
          </w:tcPr>
          <w:p w14:paraId="6197F382">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问题分析、知识联系与初步方案：能否识别关键条件，形成切合任务的思路</w:t>
            </w:r>
          </w:p>
        </w:tc>
      </w:tr>
      <w:tr w14:paraId="3E675F3C">
        <w:tblPrEx>
          <w:tblCellMar>
            <w:top w:w="0" w:type="dxa"/>
            <w:left w:w="0" w:type="dxa"/>
            <w:bottom w:w="0" w:type="dxa"/>
            <w:right w:w="0" w:type="dxa"/>
          </w:tblCellMar>
        </w:tblPrEx>
        <w:trPr>
          <w:cantSplit/>
          <w:jc w:val="center"/>
        </w:trPr>
        <w:tc>
          <w:tcPr>
            <w:tcW w:w="1295" w:type="dxa"/>
            <w:vAlign w:val="center"/>
          </w:tcPr>
          <w:p w14:paraId="0D4A8D9C">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探究展学</w:t>
            </w:r>
          </w:p>
        </w:tc>
        <w:tc>
          <w:tcPr>
            <w:tcW w:w="2266" w:type="dxa"/>
            <w:vAlign w:val="center"/>
          </w:tcPr>
          <w:p w14:paraId="1DE1C988">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合作探究，解释理由，回应不同观点</w:t>
            </w:r>
          </w:p>
        </w:tc>
        <w:tc>
          <w:tcPr>
            <w:tcW w:w="3215" w:type="dxa"/>
            <w:vAlign w:val="center"/>
          </w:tcPr>
          <w:p w14:paraId="0CA64E52">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根据探究与交流表现追问点拨，调整支架，支持协商与情绪调节</w:t>
            </w:r>
          </w:p>
        </w:tc>
        <w:tc>
          <w:tcPr>
            <w:tcW w:w="3155" w:type="dxa"/>
            <w:vAlign w:val="center"/>
          </w:tcPr>
          <w:p w14:paraId="031347D7">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探究记录、发言与作品：解释是否有据，能否建立联系、回应同伴并履行分工</w:t>
            </w:r>
          </w:p>
        </w:tc>
      </w:tr>
      <w:tr w14:paraId="4D8ADCE1">
        <w:tblPrEx>
          <w:tblCellMar>
            <w:top w:w="0" w:type="dxa"/>
            <w:left w:w="0" w:type="dxa"/>
            <w:bottom w:w="0" w:type="dxa"/>
            <w:right w:w="0" w:type="dxa"/>
          </w:tblCellMar>
        </w:tblPrEx>
        <w:trPr>
          <w:cantSplit/>
          <w:jc w:val="center"/>
        </w:trPr>
        <w:tc>
          <w:tcPr>
            <w:tcW w:w="1295" w:type="dxa"/>
            <w:vAlign w:val="center"/>
          </w:tcPr>
          <w:p w14:paraId="40F6EDD8">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反馈迭代</w:t>
            </w:r>
          </w:p>
        </w:tc>
        <w:tc>
          <w:tcPr>
            <w:tcW w:w="2266" w:type="dxa"/>
            <w:vAlign w:val="center"/>
          </w:tcPr>
          <w:p w14:paraId="34F4A0A0">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对照标准分析不足，修订方法与成果，检验修改效果</w:t>
            </w:r>
          </w:p>
        </w:tc>
        <w:tc>
          <w:tcPr>
            <w:tcW w:w="3215" w:type="dxa"/>
            <w:vAlign w:val="center"/>
          </w:tcPr>
          <w:p w14:paraId="521D74D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定位困难，提供具体反馈，依据再次表现调整支持</w:t>
            </w:r>
          </w:p>
        </w:tc>
        <w:tc>
          <w:tcPr>
            <w:tcW w:w="3155" w:type="dxa"/>
            <w:vAlign w:val="center"/>
          </w:tcPr>
          <w:p w14:paraId="588B54BF">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前后版本、修改理由与验证结果：修订是否回应问题，能否说明改进依据</w:t>
            </w:r>
          </w:p>
        </w:tc>
      </w:tr>
      <w:tr w14:paraId="2E200AE1">
        <w:tblPrEx>
          <w:tblCellMar>
            <w:top w:w="0" w:type="dxa"/>
            <w:left w:w="0" w:type="dxa"/>
            <w:bottom w:w="0" w:type="dxa"/>
            <w:right w:w="0" w:type="dxa"/>
          </w:tblCellMar>
        </w:tblPrEx>
        <w:trPr>
          <w:cantSplit/>
          <w:jc w:val="center"/>
        </w:trPr>
        <w:tc>
          <w:tcPr>
            <w:tcW w:w="1295" w:type="dxa"/>
            <w:tcBorders>
              <w:bottom w:val="single" w:color="000000" w:sz="12" w:space="0"/>
            </w:tcBorders>
            <w:vAlign w:val="center"/>
          </w:tcPr>
          <w:p w14:paraId="3B0EB6EE">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反思迁移</w:t>
            </w:r>
          </w:p>
        </w:tc>
        <w:tc>
          <w:tcPr>
            <w:tcW w:w="2266" w:type="dxa"/>
            <w:tcBorders>
              <w:bottom w:val="single" w:color="000000" w:sz="12" w:space="0"/>
            </w:tcBorders>
            <w:vAlign w:val="center"/>
          </w:tcPr>
          <w:p w14:paraId="0C30EC2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提炼方法及适用条件，在新情境中尝试、检验与调整</w:t>
            </w:r>
          </w:p>
        </w:tc>
        <w:tc>
          <w:tcPr>
            <w:tcW w:w="3215" w:type="dxa"/>
            <w:tcBorders>
              <w:bottom w:val="single" w:color="000000" w:sz="12" w:space="0"/>
            </w:tcBorders>
            <w:vAlign w:val="center"/>
          </w:tcPr>
          <w:p w14:paraId="26CDA1DB">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判断独立运用情况，适时撤减或补充支架，确定后续学习需要</w:t>
            </w:r>
          </w:p>
        </w:tc>
        <w:tc>
          <w:tcPr>
            <w:tcW w:w="3155" w:type="dxa"/>
            <w:tcBorders>
              <w:bottom w:val="single" w:color="000000" w:sz="12" w:space="0"/>
            </w:tcBorders>
            <w:vAlign w:val="center"/>
          </w:tcPr>
          <w:p w14:paraId="62865ECA">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迁移任务、方法说明与反思：能否辨识情境变化，选择并调整方法</w:t>
            </w:r>
          </w:p>
        </w:tc>
      </w:tr>
    </w:tbl>
    <w:p w14:paraId="7144BF78">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表3-34  将图7中的关系落实为各环节的学生行动、教师调节重点及实践表征与判断依据。目标复述、问题分析、探究记录、作品版本与迁移表现，分别为判断当前学习需要提供材料，并不限定该环节只能开展某一层次的学习。“五见”贯穿其中：目标与标准提供参照，表达与作品呈现思维，学习证据支持判断，前后比较呈现进步，多次任务中的独立运用支持能力考察。教师据此持续诊断、选择并实施支持，再以学生的修订和再次尝试评估作用，使调节贯穿学习全过程。</w:t>
      </w:r>
    </w:p>
    <w:p w14:paraId="5EED0798">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在探究与修改中呈现学生学习和教师调节</w:t>
      </w:r>
    </w:p>
    <w:p w14:paraId="1960EB4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的折射》中，学生先从叉鱼失败提出疑问，再通过实体实验与仿真实验检验猜想，随后展示光路图并接受质询。案例记载，有学生将光的传播方向画反，同伴指出光应从鱼出发到达人眼后，该生修正作图；另一名学生漏画法线，在同伴追问角度参照后补画并重新标角。学习由展示结论进入检查模型，学生的错误与修订也为教师判断支持是否有效提供了直接线索。</w:t>
      </w:r>
    </w:p>
    <w:p w14:paraId="2B0F751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教师调节同时贯穿这一过程：从初始回答发现问题，在实体实验难以辨明差异时提供仿真支架，在展学中组织同伴追问，再通过作业批注检验理解。教师的支持并不随环节结束而停止，而是根据新的学习表现继续调整。案例材料另指出课内迁移时间不足，因此课后迁移作答不能替代对课堂迁移机会的分析。</w:t>
      </w:r>
    </w:p>
    <w:p w14:paraId="550E6732">
      <w:pPr>
        <w:keepNext/>
        <w:pageBreakBefore w:val="0"/>
        <w:overflowPunct w:val="0"/>
        <w:bidi w:val="0"/>
        <w:spacing w:line="360" w:lineRule="auto"/>
        <w:jc w:val="both"/>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838700" cy="2190115"/>
            <wp:effectExtent l="0" t="0" r="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22"/>
                    <a:srcRect l="10250"/>
                    <a:stretch>
                      <a:fillRect/>
                    </a:stretch>
                  </pic:blipFill>
                  <pic:spPr>
                    <a:xfrm>
                      <a:off x="0" y="0"/>
                      <a:ext cx="4838700" cy="2190115"/>
                    </a:xfrm>
                    <a:prstGeom prst="rect">
                      <a:avLst/>
                    </a:prstGeom>
                    <a:noFill/>
                  </pic:spPr>
                </pic:pic>
              </a:graphicData>
            </a:graphic>
          </wp:inline>
        </w:drawing>
      </w:r>
    </w:p>
    <w:p w14:paraId="4FA14EF3">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图3-17  实体光具盘实验与PhET仿真</w:t>
      </w:r>
    </w:p>
    <w:p w14:paraId="1F500B2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实体实验提供实际观察和操作经验，仿真用于辨明角度与光路变化。两者构成探究条件的互补；学生是否形成合理解释，仍应结合数据整理、光路图与口头说明判断。</w:t>
      </w:r>
      <w:r>
        <w:rPr>
          <w:rFonts w:hint="eastAsia" w:ascii="宋体" w:hAnsi="宋体" w:eastAsia="宋体" w:cs="宋体"/>
          <w:b w:val="0"/>
          <w:sz w:val="24"/>
          <w:szCs w:val="24"/>
          <w:vertAlign w:val="superscript"/>
        </w:rPr>
        <w:t>[3]</w:t>
      </w:r>
    </w:p>
    <w:p w14:paraId="4CB12B8B">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114800" cy="2715895"/>
            <wp:effectExtent l="0" t="0" r="0" b="82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23"/>
                    <a:stretch>
                      <a:fillRect/>
                    </a:stretch>
                  </pic:blipFill>
                  <pic:spPr>
                    <a:xfrm>
                      <a:off x="0" y="0"/>
                      <a:ext cx="4114800" cy="2715895"/>
                    </a:xfrm>
                    <a:prstGeom prst="rect">
                      <a:avLst/>
                    </a:prstGeom>
                    <a:noFill/>
                  </pic:spPr>
                </pic:pic>
              </a:graphicData>
            </a:graphic>
          </wp:inline>
        </w:drawing>
      </w:r>
    </w:p>
    <w:p w14:paraId="5A5E4924">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图3-18  学生绘制的叉鱼光路图</w:t>
      </w:r>
    </w:p>
    <w:p w14:paraId="638ACDF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光路图把学生对实际位置、观察方向和虚像位置的理解固定下来，便于同伴检查传播方向、法线和角度参照。教师据此定位具体困难，而不只依据最后结论判断学生是否理解。</w:t>
      </w:r>
    </w:p>
    <w:p w14:paraId="57E31C1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状物写作则以三轮AI生成图像与实物比较推动学习。学生最初仅输入“凳子”，生成图像与实物不符；在补充颜色、材质、形状和高矮信息后，图像逐渐接近实物。教师利用差异追问缺失信息，学生据此修改描写。这一过程使抽象的“描写具体”转化为可以讨论的问题。AI图像用于暴露描述歧义，判断描写是否真实、细节是否适切，仍需回到实物、生活经验与文本表达。</w:t>
      </w:r>
      <w:r>
        <w:rPr>
          <w:rFonts w:hint="eastAsia" w:ascii="宋体" w:hAnsi="宋体" w:eastAsia="宋体" w:cs="宋体"/>
        </w:rPr>
        <w:drawing>
          <wp:inline distT="0" distB="0" distL="0" distR="0">
            <wp:extent cx="5091430" cy="1400175"/>
            <wp:effectExtent l="0" t="0" r="444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24"/>
                    <a:stretch>
                      <a:fillRect/>
                    </a:stretch>
                  </pic:blipFill>
                  <pic:spPr>
                    <a:xfrm>
                      <a:off x="0" y="0"/>
                      <a:ext cx="5091430" cy="1400175"/>
                    </a:xfrm>
                    <a:prstGeom prst="rect">
                      <a:avLst/>
                    </a:prstGeom>
                    <a:noFill/>
                  </pic:spPr>
                </pic:pic>
              </a:graphicData>
            </a:graphic>
          </wp:inline>
        </w:drawing>
      </w:r>
    </w:p>
    <w:p w14:paraId="72553FB5">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图3-19  实物与三轮AI生成图像的对照</w:t>
      </w:r>
    </w:p>
    <w:p w14:paraId="27A041B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从左至右依次为实物、第一轮、第二轮和第三轮生成结果。图文差异暴露了描述中缺少的信息；学生补充特征、比较结果并再次修改，呈现了分析与修订的过程。生成图像属于课堂反馈材料，其接近实物的程度不能替代对写作质量的评价。</w:t>
      </w:r>
    </w:p>
    <w:p w14:paraId="6F508647">
      <w:pPr>
        <w:pageBreakBefore w:val="0"/>
        <w:overflowPunct w:val="0"/>
        <w:bidi w:val="0"/>
        <w:spacing w:before="0" w:after="0" w:line="360" w:lineRule="auto"/>
        <w:ind w:firstLineChars="200"/>
        <w:jc w:val="both"/>
        <w:textAlignment w:val="auto"/>
        <w:rPr>
          <w:rFonts w:hint="eastAsia" w:ascii="宋体" w:hAnsi="宋体" w:eastAsia="宋体" w:cs="宋体"/>
          <w:sz w:val="24"/>
          <w:szCs w:val="24"/>
          <w:lang w:eastAsia="zh-CN"/>
        </w:rPr>
      </w:pPr>
      <w:r>
        <w:rPr>
          <w:rFonts w:hint="eastAsia" w:ascii="宋体" w:hAnsi="宋体" w:eastAsia="宋体" w:cs="宋体"/>
          <w:b w:val="0"/>
          <w:sz w:val="24"/>
        </w:rPr>
        <w:t>上述片段共同呈现了“发现差异—分析原因—获得反馈—再次修订”的学习过程，与图3-16及表3-34所强调的往返推进相呼应。光路图中的传播方向与角度参照、写作中的物件特征与表达取舍，均构成可观察的实践表征。保留初始表现、支持过程与修订结果，才能进一步判断学生调整了什么，以及教师的后续支持应指向何处</w:t>
      </w:r>
      <w:r>
        <w:rPr>
          <w:rFonts w:hint="eastAsia" w:ascii="宋体" w:hAnsi="宋体" w:eastAsia="宋体" w:cs="宋体"/>
          <w:b w:val="0"/>
          <w:sz w:val="24"/>
          <w:lang w:eastAsia="zh-CN"/>
        </w:rPr>
        <w:t>。</w:t>
      </w:r>
    </w:p>
    <w:p w14:paraId="265C5CFE">
      <w:pPr>
        <w:pStyle w:val="4"/>
        <w:keepNext/>
        <w:pageBreakBefore w:val="0"/>
        <w:overflowPunct w:val="0"/>
        <w:bidi w:val="0"/>
        <w:spacing w:before="280" w:after="280" w:line="360" w:lineRule="auto"/>
        <w:ind w:firstLine="562" w:firstLineChars="200"/>
        <w:textAlignment w:val="auto"/>
        <w:outlineLvl w:val="4"/>
        <w:rPr>
          <w:rFonts w:hint="eastAsia" w:ascii="宋体" w:hAnsi="宋体" w:eastAsia="宋体" w:cs="宋体"/>
          <w:sz w:val="24"/>
          <w:szCs w:val="24"/>
        </w:rPr>
      </w:pPr>
      <w:r>
        <w:rPr>
          <w:rFonts w:hint="eastAsia" w:ascii="宋体" w:hAnsi="宋体" w:eastAsia="宋体" w:cs="宋体"/>
          <w:b/>
          <w:sz w:val="28"/>
          <w:szCs w:val="24"/>
        </w:rPr>
        <w:t>语文案例  在观点冲突中同步推进论证与协商</w:t>
      </w:r>
    </w:p>
    <w:p w14:paraId="416ADAF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的课堂观察表直接记录了学生受阻和分歧中的言行，使教师调节有了具体对象。面对分类停滞，教师提示从史料价值重新审视；面对意见冲突，教师要求学生补充理由、复述对方观点后回应。支持既作用于文本分析，也作用于继续探究和协商的方式。表中材料为课堂记录节选，可与学生表格、同伴批注相互参照。</w:t>
      </w:r>
    </w:p>
    <w:p w14:paraId="56039550">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表3-35  拿来主义课堂观察记录原表节选</w:t>
      </w:r>
    </w:p>
    <w:tbl>
      <w:tblPr>
        <w:tblStyle w:val="12"/>
        <w:tblW w:w="8522" w:type="dxa"/>
        <w:jc w:val="center"/>
        <w:tblLayout w:type="fixed"/>
        <w:tblCellMar>
          <w:top w:w="0" w:type="dxa"/>
          <w:left w:w="0" w:type="dxa"/>
          <w:bottom w:w="0" w:type="dxa"/>
          <w:right w:w="0" w:type="dxa"/>
        </w:tblCellMar>
      </w:tblPr>
      <w:tblGrid>
        <w:gridCol w:w="1381"/>
        <w:gridCol w:w="1380"/>
        <w:gridCol w:w="5761"/>
      </w:tblGrid>
      <w:tr w14:paraId="313186B1">
        <w:tblPrEx>
          <w:tblCellMar>
            <w:top w:w="0" w:type="dxa"/>
            <w:left w:w="0" w:type="dxa"/>
            <w:bottom w:w="0" w:type="dxa"/>
            <w:right w:w="0" w:type="dxa"/>
          </w:tblCellMar>
        </w:tblPrEx>
        <w:trPr>
          <w:cantSplit/>
          <w:tblHeader/>
          <w:jc w:val="center"/>
        </w:trPr>
        <w:tc>
          <w:tcPr>
            <w:tcW w:w="1381" w:type="dxa"/>
            <w:tcBorders>
              <w:top w:val="single" w:color="000000" w:sz="12" w:space="0"/>
            </w:tcBorders>
            <w:vAlign w:val="center"/>
          </w:tcPr>
          <w:p w14:paraId="6629D46A">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观察维度</w:t>
            </w:r>
          </w:p>
        </w:tc>
        <w:tc>
          <w:tcPr>
            <w:tcW w:w="1380" w:type="dxa"/>
            <w:tcBorders>
              <w:top w:val="single" w:color="000000" w:sz="12" w:space="0"/>
            </w:tcBorders>
            <w:vAlign w:val="center"/>
          </w:tcPr>
          <w:p w14:paraId="09376FF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观察对象</w:t>
            </w:r>
          </w:p>
        </w:tc>
        <w:tc>
          <w:tcPr>
            <w:tcW w:w="5761" w:type="dxa"/>
            <w:tcBorders>
              <w:top w:val="single" w:color="000000" w:sz="12" w:space="0"/>
            </w:tcBorders>
            <w:vAlign w:val="center"/>
          </w:tcPr>
          <w:p w14:paraId="0753AB18">
            <w:pPr>
              <w:overflowPunct w:val="0"/>
              <w:bidi w:val="0"/>
              <w:snapToGrid w:val="0"/>
              <w:spacing w:before="0" w:after="0" w:line="240" w:lineRule="auto"/>
              <w:ind w:left="0" w:right="0" w:firstLineChars="200"/>
              <w:jc w:val="center"/>
              <w:textAlignment w:val="auto"/>
              <w:rPr>
                <w:rFonts w:hint="eastAsia" w:ascii="宋体" w:hAnsi="宋体" w:eastAsia="宋体" w:cs="宋体"/>
                <w:b/>
                <w:sz w:val="24"/>
                <w:szCs w:val="24"/>
              </w:rPr>
            </w:pPr>
            <w:r>
              <w:rPr>
                <w:rFonts w:hint="eastAsia" w:ascii="宋体" w:hAnsi="宋体" w:eastAsia="宋体" w:cs="宋体"/>
                <w:b/>
                <w:sz w:val="21"/>
                <w:szCs w:val="24"/>
              </w:rPr>
              <w:t>典型表现记录原文</w:t>
            </w:r>
          </w:p>
        </w:tc>
      </w:tr>
      <w:tr w14:paraId="7BF1C01B">
        <w:tblPrEx>
          <w:tblCellMar>
            <w:top w:w="0" w:type="dxa"/>
            <w:left w:w="0" w:type="dxa"/>
            <w:bottom w:w="0" w:type="dxa"/>
            <w:right w:w="0" w:type="dxa"/>
          </w:tblCellMar>
        </w:tblPrEx>
        <w:trPr>
          <w:cantSplit/>
          <w:jc w:val="center"/>
        </w:trPr>
        <w:tc>
          <w:tcPr>
            <w:tcW w:w="1381" w:type="dxa"/>
            <w:tcBorders>
              <w:top w:val="single" w:color="000000" w:sz="4" w:space="0"/>
            </w:tcBorders>
            <w:vAlign w:val="center"/>
          </w:tcPr>
          <w:p w14:paraId="1C314ABA">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责任担当</w:t>
            </w:r>
          </w:p>
        </w:tc>
        <w:tc>
          <w:tcPr>
            <w:tcW w:w="1380" w:type="dxa"/>
            <w:tcBorders>
              <w:top w:val="single" w:color="000000" w:sz="4" w:space="0"/>
            </w:tcBorders>
            <w:vAlign w:val="center"/>
          </w:tcPr>
          <w:p w14:paraId="33027D52">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第4组</w:t>
            </w:r>
          </w:p>
        </w:tc>
        <w:tc>
          <w:tcPr>
            <w:tcW w:w="5761" w:type="dxa"/>
            <w:tcBorders>
              <w:top w:val="single" w:color="000000" w:sz="4" w:space="0"/>
            </w:tcBorders>
            <w:vAlign w:val="center"/>
          </w:tcPr>
          <w:p w14:paraId="60797449">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在给“烟枪烟灯”归类时，组内一度沉默。生A主动说：“我们再试一次，先看它有没有史料价值。”</w:t>
            </w:r>
          </w:p>
        </w:tc>
      </w:tr>
      <w:tr w14:paraId="63E49ADE">
        <w:tblPrEx>
          <w:tblCellMar>
            <w:top w:w="0" w:type="dxa"/>
            <w:left w:w="0" w:type="dxa"/>
            <w:bottom w:w="0" w:type="dxa"/>
            <w:right w:w="0" w:type="dxa"/>
          </w:tblCellMar>
        </w:tblPrEx>
        <w:trPr>
          <w:cantSplit/>
          <w:jc w:val="center"/>
        </w:trPr>
        <w:tc>
          <w:tcPr>
            <w:tcW w:w="1381" w:type="dxa"/>
            <w:vAlign w:val="center"/>
          </w:tcPr>
          <w:p w14:paraId="01A5C9E2">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情绪调节</w:t>
            </w:r>
          </w:p>
        </w:tc>
        <w:tc>
          <w:tcPr>
            <w:tcW w:w="1380" w:type="dxa"/>
            <w:vAlign w:val="center"/>
          </w:tcPr>
          <w:p w14:paraId="63A59031">
            <w:pPr>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第2组</w:t>
            </w:r>
          </w:p>
        </w:tc>
        <w:tc>
          <w:tcPr>
            <w:tcW w:w="5761" w:type="dxa"/>
            <w:vAlign w:val="center"/>
          </w:tcPr>
          <w:p w14:paraId="35525311">
            <w:pPr>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生B提出“姨太太也是人，不该全扔”，被生C反驳后，生B停顿片刻，说：“我理解你觉得她是糟粕，但我想说的是……”</w:t>
            </w:r>
          </w:p>
        </w:tc>
      </w:tr>
      <w:tr w14:paraId="29B43A6A">
        <w:tblPrEx>
          <w:tblCellMar>
            <w:top w:w="0" w:type="dxa"/>
            <w:left w:w="0" w:type="dxa"/>
            <w:bottom w:w="0" w:type="dxa"/>
            <w:right w:w="0" w:type="dxa"/>
          </w:tblCellMar>
        </w:tblPrEx>
        <w:trPr>
          <w:cantSplit/>
          <w:jc w:val="center"/>
        </w:trPr>
        <w:tc>
          <w:tcPr>
            <w:tcW w:w="1381" w:type="dxa"/>
            <w:tcBorders>
              <w:bottom w:val="single" w:color="000000" w:sz="12" w:space="0"/>
            </w:tcBorders>
            <w:vAlign w:val="center"/>
          </w:tcPr>
          <w:p w14:paraId="0B63865B">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合作共情</w:t>
            </w:r>
          </w:p>
        </w:tc>
        <w:tc>
          <w:tcPr>
            <w:tcW w:w="1380" w:type="dxa"/>
            <w:tcBorders>
              <w:bottom w:val="single" w:color="000000" w:sz="12" w:space="0"/>
            </w:tcBorders>
            <w:vAlign w:val="center"/>
          </w:tcPr>
          <w:p w14:paraId="183C5339">
            <w:pPr>
              <w:keepNext/>
              <w:overflowPunct w:val="0"/>
              <w:bidi w:val="0"/>
              <w:snapToGrid w:val="0"/>
              <w:spacing w:before="0" w:after="0" w:line="240" w:lineRule="auto"/>
              <w:ind w:left="0" w:right="0" w:firstLineChars="200"/>
              <w:jc w:val="center"/>
              <w:textAlignment w:val="auto"/>
              <w:rPr>
                <w:rFonts w:hint="eastAsia" w:ascii="宋体" w:hAnsi="宋体" w:eastAsia="宋体" w:cs="宋体"/>
                <w:sz w:val="24"/>
                <w:szCs w:val="24"/>
              </w:rPr>
            </w:pPr>
            <w:r>
              <w:rPr>
                <w:rFonts w:hint="eastAsia" w:ascii="宋体" w:hAnsi="宋体" w:eastAsia="宋体" w:cs="宋体"/>
                <w:b w:val="0"/>
                <w:sz w:val="21"/>
                <w:szCs w:val="24"/>
              </w:rPr>
              <w:t>第5组</w:t>
            </w:r>
          </w:p>
        </w:tc>
        <w:tc>
          <w:tcPr>
            <w:tcW w:w="5761" w:type="dxa"/>
            <w:tcBorders>
              <w:bottom w:val="single" w:color="000000" w:sz="12" w:space="0"/>
            </w:tcBorders>
            <w:vAlign w:val="center"/>
          </w:tcPr>
          <w:p w14:paraId="1722D2DB">
            <w:pPr>
              <w:keepNext/>
              <w:overflowPunct w:val="0"/>
              <w:bidi w:val="0"/>
              <w:snapToGrid w:val="0"/>
              <w:spacing w:before="0" w:after="0" w:line="240" w:lineRule="auto"/>
              <w:ind w:left="0" w:right="0"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生D在回应前先说：“你的意思是，鸦片虽然有毒，但药用价值不能忽视，对吗？”</w:t>
            </w:r>
          </w:p>
        </w:tc>
      </w:tr>
    </w:tbl>
    <w:p w14:paraId="763D5CB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与物理的光路纠错、状物写作的图文比较相参照，本案例表明：教师需要依据任务中的真实困难选择支持。作图错误需要概念与参照检查，描写笼统需要观察与比较，观点冲突则需要理由追问和协商支持。学生随后如何修改成果、调整回应方式，是考察调节作用的共同依据。</w:t>
      </w:r>
    </w:p>
    <w:p w14:paraId="2378BD68">
      <w:pPr>
        <w:pStyle w:val="3"/>
        <w:keepNext/>
        <w:pageBreakBefore w:val="0"/>
        <w:overflowPunct w:val="0"/>
        <w:bidi w:val="0"/>
        <w:spacing w:line="360" w:lineRule="auto"/>
        <w:ind w:firstLine="562" w:firstLineChars="200"/>
        <w:textAlignment w:val="auto"/>
        <w:outlineLvl w:val="3"/>
        <w:rPr>
          <w:rFonts w:hint="eastAsia" w:ascii="宋体" w:hAnsi="宋体" w:eastAsia="宋体" w:cs="宋体"/>
          <w:b/>
          <w:bCs/>
          <w:sz w:val="24"/>
          <w:szCs w:val="24"/>
        </w:rPr>
      </w:pPr>
      <w:bookmarkStart w:id="80" w:name="_Toc30424"/>
      <w:r>
        <w:rPr>
          <w:rFonts w:hint="eastAsia" w:ascii="宋体" w:hAnsi="宋体" w:eastAsia="宋体" w:cs="宋体"/>
          <w:b/>
          <w:bCs/>
          <w:sz w:val="28"/>
          <w:szCs w:val="24"/>
        </w:rPr>
        <w:t>（5）可见的学习多元评价样态</w:t>
      </w:r>
      <w:bookmarkEnd w:id="80"/>
    </w:p>
    <w:p w14:paraId="2EDFD33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多元评价围绕学习目标收集和解释证据，综合运用学生自评、同伴互评与教师评价，考察知识理解、关系建构、迁移运用及共同任务中的合作与调节。表3-36从评价重点、证据与方式、判断内容及反馈行动四方面建立对应关系，突出评价对后续学习的指导作用。其中，“合作与调节”作为贯穿三层学习的观察内容，不另作一个学习层次。</w:t>
      </w:r>
    </w:p>
    <w:p w14:paraId="1A2AAB3F">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表3-36  学习层次与多元评价的对应设计</w:t>
      </w:r>
    </w:p>
    <w:tbl>
      <w:tblPr>
        <w:tblStyle w:val="12"/>
        <w:tblW w:w="8522" w:type="dxa"/>
        <w:jc w:val="center"/>
        <w:tblLayout w:type="fixed"/>
        <w:tblCellMar>
          <w:top w:w="0" w:type="dxa"/>
          <w:left w:w="0" w:type="dxa"/>
          <w:bottom w:w="0" w:type="dxa"/>
          <w:right w:w="0" w:type="dxa"/>
        </w:tblCellMar>
      </w:tblPr>
      <w:tblGrid>
        <w:gridCol w:w="1551"/>
        <w:gridCol w:w="1972"/>
        <w:gridCol w:w="2467"/>
        <w:gridCol w:w="2532"/>
      </w:tblGrid>
      <w:tr w14:paraId="49E41BFA">
        <w:tblPrEx>
          <w:tblCellMar>
            <w:top w:w="0" w:type="dxa"/>
            <w:left w:w="0" w:type="dxa"/>
            <w:bottom w:w="0" w:type="dxa"/>
            <w:right w:w="0" w:type="dxa"/>
          </w:tblCellMar>
        </w:tblPrEx>
        <w:trPr>
          <w:cantSplit/>
          <w:tblHeader/>
          <w:jc w:val="center"/>
        </w:trPr>
        <w:tc>
          <w:tcPr>
            <w:tcW w:w="1551" w:type="dxa"/>
            <w:tcBorders>
              <w:top w:val="single" w:color="000000" w:sz="12" w:space="0"/>
            </w:tcBorders>
            <w:vAlign w:val="center"/>
          </w:tcPr>
          <w:p w14:paraId="5A10E1AC">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评价重点</w:t>
            </w:r>
          </w:p>
        </w:tc>
        <w:tc>
          <w:tcPr>
            <w:tcW w:w="1972" w:type="dxa"/>
            <w:tcBorders>
              <w:top w:val="single" w:color="000000" w:sz="12" w:space="0"/>
            </w:tcBorders>
            <w:vAlign w:val="center"/>
          </w:tcPr>
          <w:p w14:paraId="0E1B34BB">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证据与方式</w:t>
            </w:r>
          </w:p>
        </w:tc>
        <w:tc>
          <w:tcPr>
            <w:tcW w:w="2467" w:type="dxa"/>
            <w:tcBorders>
              <w:top w:val="single" w:color="000000" w:sz="12" w:space="0"/>
            </w:tcBorders>
            <w:vAlign w:val="center"/>
          </w:tcPr>
          <w:p w14:paraId="42BB71B2">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判断内容</w:t>
            </w:r>
          </w:p>
        </w:tc>
        <w:tc>
          <w:tcPr>
            <w:tcW w:w="2532" w:type="dxa"/>
            <w:tcBorders>
              <w:top w:val="single" w:color="000000" w:sz="12" w:space="0"/>
            </w:tcBorders>
            <w:vAlign w:val="center"/>
          </w:tcPr>
          <w:p w14:paraId="7CAAACE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反馈行动</w:t>
            </w:r>
          </w:p>
        </w:tc>
      </w:tr>
      <w:tr w14:paraId="650DE65A">
        <w:tblPrEx>
          <w:tblCellMar>
            <w:top w:w="0" w:type="dxa"/>
            <w:left w:w="0" w:type="dxa"/>
            <w:bottom w:w="0" w:type="dxa"/>
            <w:right w:w="0" w:type="dxa"/>
          </w:tblCellMar>
        </w:tblPrEx>
        <w:trPr>
          <w:cantSplit/>
          <w:jc w:val="center"/>
        </w:trPr>
        <w:tc>
          <w:tcPr>
            <w:tcW w:w="1551" w:type="dxa"/>
            <w:tcBorders>
              <w:top w:val="single" w:color="000000" w:sz="4" w:space="0"/>
            </w:tcBorders>
            <w:vAlign w:val="center"/>
          </w:tcPr>
          <w:p w14:paraId="22D1947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浅层学习</w:t>
            </w:r>
          </w:p>
        </w:tc>
        <w:tc>
          <w:tcPr>
            <w:tcW w:w="1972" w:type="dxa"/>
            <w:tcBorders>
              <w:top w:val="single" w:color="000000" w:sz="4" w:space="0"/>
            </w:tcBorders>
            <w:vAlign w:val="center"/>
          </w:tcPr>
          <w:p w14:paraId="01FB739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诊断任务、口头解释、基础操作</w:t>
            </w:r>
          </w:p>
        </w:tc>
        <w:tc>
          <w:tcPr>
            <w:tcW w:w="2467" w:type="dxa"/>
            <w:tcBorders>
              <w:top w:val="single" w:color="000000" w:sz="4" w:space="0"/>
            </w:tcBorders>
            <w:vAlign w:val="center"/>
          </w:tcPr>
          <w:p w14:paraId="73AE07D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概念和步骤是否准确</w:t>
            </w:r>
          </w:p>
        </w:tc>
        <w:tc>
          <w:tcPr>
            <w:tcW w:w="2532" w:type="dxa"/>
            <w:tcBorders>
              <w:top w:val="single" w:color="000000" w:sz="4" w:space="0"/>
            </w:tcBorders>
            <w:vAlign w:val="center"/>
          </w:tcPr>
          <w:p w14:paraId="6E356112">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澄清误解，补充基础</w:t>
            </w:r>
          </w:p>
        </w:tc>
      </w:tr>
      <w:tr w14:paraId="38FFEAA3">
        <w:tblPrEx>
          <w:tblCellMar>
            <w:top w:w="0" w:type="dxa"/>
            <w:left w:w="0" w:type="dxa"/>
            <w:bottom w:w="0" w:type="dxa"/>
            <w:right w:w="0" w:type="dxa"/>
          </w:tblCellMar>
        </w:tblPrEx>
        <w:trPr>
          <w:cantSplit/>
          <w:jc w:val="center"/>
        </w:trPr>
        <w:tc>
          <w:tcPr>
            <w:tcW w:w="1551" w:type="dxa"/>
            <w:vAlign w:val="center"/>
          </w:tcPr>
          <w:p w14:paraId="1E8411B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深层学习</w:t>
            </w:r>
          </w:p>
        </w:tc>
        <w:tc>
          <w:tcPr>
            <w:tcW w:w="1972" w:type="dxa"/>
            <w:vAlign w:val="center"/>
          </w:tcPr>
          <w:p w14:paraId="0686A3D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比较表、论证记录、概念图</w:t>
            </w:r>
          </w:p>
        </w:tc>
        <w:tc>
          <w:tcPr>
            <w:tcW w:w="2467" w:type="dxa"/>
            <w:vAlign w:val="center"/>
          </w:tcPr>
          <w:p w14:paraId="3DAEC1C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联系是否成立，理由是否充分</w:t>
            </w:r>
          </w:p>
        </w:tc>
        <w:tc>
          <w:tcPr>
            <w:tcW w:w="2532" w:type="dxa"/>
            <w:vAlign w:val="center"/>
          </w:tcPr>
          <w:p w14:paraId="5EA79151">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补充解释，重组关系，修订判断</w:t>
            </w:r>
          </w:p>
        </w:tc>
      </w:tr>
      <w:tr w14:paraId="17FC9568">
        <w:tblPrEx>
          <w:tblCellMar>
            <w:top w:w="0" w:type="dxa"/>
            <w:left w:w="0" w:type="dxa"/>
            <w:bottom w:w="0" w:type="dxa"/>
            <w:right w:w="0" w:type="dxa"/>
          </w:tblCellMar>
        </w:tblPrEx>
        <w:trPr>
          <w:cantSplit/>
          <w:jc w:val="center"/>
        </w:trPr>
        <w:tc>
          <w:tcPr>
            <w:tcW w:w="1551" w:type="dxa"/>
            <w:vAlign w:val="center"/>
          </w:tcPr>
          <w:p w14:paraId="70E16D3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迁移学习</w:t>
            </w:r>
          </w:p>
        </w:tc>
        <w:tc>
          <w:tcPr>
            <w:tcW w:w="1972" w:type="dxa"/>
            <w:vAlign w:val="center"/>
          </w:tcPr>
          <w:p w14:paraId="7AF9ACB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变化情境任务、方案与作品版本</w:t>
            </w:r>
          </w:p>
        </w:tc>
        <w:tc>
          <w:tcPr>
            <w:tcW w:w="2467" w:type="dxa"/>
            <w:vAlign w:val="center"/>
          </w:tcPr>
          <w:p w14:paraId="1FC9218B">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方法是否适切，能否检验与调整</w:t>
            </w:r>
          </w:p>
        </w:tc>
        <w:tc>
          <w:tcPr>
            <w:tcW w:w="2532" w:type="dxa"/>
            <w:vAlign w:val="center"/>
          </w:tcPr>
          <w:p w14:paraId="6FEEAE74">
            <w:pPr>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比较适用条件，改进方案，再次运用</w:t>
            </w:r>
          </w:p>
        </w:tc>
      </w:tr>
      <w:tr w14:paraId="5DE42005">
        <w:tblPrEx>
          <w:tblCellMar>
            <w:top w:w="0" w:type="dxa"/>
            <w:left w:w="0" w:type="dxa"/>
            <w:bottom w:w="0" w:type="dxa"/>
            <w:right w:w="0" w:type="dxa"/>
          </w:tblCellMar>
        </w:tblPrEx>
        <w:trPr>
          <w:cantSplit/>
          <w:jc w:val="center"/>
        </w:trPr>
        <w:tc>
          <w:tcPr>
            <w:tcW w:w="1551" w:type="dxa"/>
            <w:tcBorders>
              <w:bottom w:val="single" w:color="000000" w:sz="12" w:space="0"/>
            </w:tcBorders>
            <w:vAlign w:val="center"/>
          </w:tcPr>
          <w:p w14:paraId="45ACAD2F">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合作与调节</w:t>
            </w:r>
          </w:p>
        </w:tc>
        <w:tc>
          <w:tcPr>
            <w:tcW w:w="1972" w:type="dxa"/>
            <w:tcBorders>
              <w:bottom w:val="single" w:color="000000" w:sz="12" w:space="0"/>
            </w:tcBorders>
            <w:vAlign w:val="center"/>
          </w:tcPr>
          <w:p w14:paraId="3E6E4F6F">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分工记录、同伴回应、反思说明</w:t>
            </w:r>
          </w:p>
        </w:tc>
        <w:tc>
          <w:tcPr>
            <w:tcW w:w="2467" w:type="dxa"/>
            <w:tcBorders>
              <w:bottom w:val="single" w:color="000000" w:sz="12" w:space="0"/>
            </w:tcBorders>
            <w:vAlign w:val="center"/>
          </w:tcPr>
          <w:p w14:paraId="4F4F8EAD">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责任履行、倾听协商与受挫调整</w:t>
            </w:r>
          </w:p>
        </w:tc>
        <w:tc>
          <w:tcPr>
            <w:tcW w:w="2532" w:type="dxa"/>
            <w:tcBorders>
              <w:bottom w:val="single" w:color="000000" w:sz="12" w:space="0"/>
            </w:tcBorders>
            <w:vAlign w:val="center"/>
          </w:tcPr>
          <w:p w14:paraId="181AEF95">
            <w:pPr>
              <w:keepNext/>
              <w:overflowPunct w:val="0"/>
              <w:bidi w:val="0"/>
              <w:snapToGrid w:val="0"/>
              <w:spacing w:before="0" w:after="0" w:line="240" w:lineRule="auto"/>
              <w:ind w:left="0" w:right="0" w:firstLine="0"/>
              <w:jc w:val="left"/>
              <w:textAlignment w:val="auto"/>
              <w:rPr>
                <w:rFonts w:hint="eastAsia" w:ascii="宋体" w:hAnsi="宋体" w:eastAsia="宋体" w:cs="宋体"/>
                <w:sz w:val="24"/>
                <w:szCs w:val="24"/>
              </w:rPr>
            </w:pPr>
            <w:r>
              <w:rPr>
                <w:rFonts w:hint="eastAsia" w:ascii="宋体" w:hAnsi="宋体" w:eastAsia="宋体" w:cs="宋体"/>
                <w:b w:val="0"/>
                <w:sz w:val="21"/>
                <w:szCs w:val="24"/>
              </w:rPr>
              <w:t>调整分工、回应方式和行动策略</w:t>
            </w:r>
          </w:p>
        </w:tc>
      </w:tr>
    </w:tbl>
    <w:p w14:paraId="0CF57A3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评价量规采用具体表现描述。论证任务可关注观点、依据、解释和回应；合作任务可关注分工履行、倾听理解和分歧处理。教师在任务前通过样例帮助学生理解要求，在过程中选择关键表现反馈，并为修改保留时间。不同版本的作品和理由说明，使进步有据可察。</w:t>
      </w:r>
    </w:p>
    <w:p w14:paraId="1877404B">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依据“可见的学习”对教学影响的关注，评价既需考察学生表现，也需分析教师支持与学习变化之间的联系。问卷主要反映学生的自我认识，发言、作品与修订记录呈现任务中的实际运用，五维评课及希沃资料则补充学习机会、活动组织与反馈情况。不同材料相互参照，有助于判断学生经历了怎样的学习、哪些支持与具体改进相联系；不能以活动时长、互动频次或教师自评直接替代对思考质量与能力发展的判断。</w:t>
      </w:r>
    </w:p>
    <w:p w14:paraId="08EFA73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数字工具用于汇集匿名作品、保存修订版本和整理课堂记录，其作用在于帮助师生持续获取并使用学习证据。教师应核查学生是否理解反馈、能否据此修订，并根据再次表现调整支持。学生则逐步学习对照标准识别差距、选择策略和检验结果，使评价参与由接受外部判断转向主动监控与改进学习。外部提示的减少应以学生实际表现为依据。</w:t>
      </w:r>
    </w:p>
    <w:p w14:paraId="4BDBB4D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据此，多元评价与前述目标、内容和过程设计形成联系：目标确定判断参照，内容与任务提供表现机会，五环组织证据生成与反馈运用。评价的关键在于学生能否理解反馈并据此改进，教师能否根据再次表现调整支持。以下结合稿次、批注、互评与群体水平分布，具体分析这一联系。</w:t>
      </w:r>
    </w:p>
    <w:p w14:paraId="05C98FD1">
      <w:pPr>
        <w:pStyle w:val="4"/>
        <w:keepNext/>
        <w:pageBreakBefore w:val="0"/>
        <w:overflowPunct w:val="0"/>
        <w:bidi w:val="0"/>
        <w:spacing w:before="280" w:after="280" w:line="360" w:lineRule="auto"/>
        <w:ind w:firstLine="562" w:firstLineChars="200"/>
        <w:jc w:val="left"/>
        <w:textAlignment w:val="auto"/>
        <w:outlineLvl w:val="4"/>
        <w:rPr>
          <w:rFonts w:hint="eastAsia" w:ascii="宋体" w:hAnsi="宋体" w:eastAsia="宋体" w:cs="宋体"/>
          <w:sz w:val="24"/>
          <w:szCs w:val="24"/>
        </w:rPr>
      </w:pPr>
      <w:r>
        <w:rPr>
          <w:rFonts w:hint="eastAsia" w:ascii="宋体" w:hAnsi="宋体" w:eastAsia="宋体" w:cs="宋体"/>
          <w:b/>
          <w:sz w:val="28"/>
          <w:szCs w:val="24"/>
        </w:rPr>
        <w:t>案例分析  以多稿反馈和水平分布考察学习变化</w:t>
      </w:r>
    </w:p>
    <w:p w14:paraId="31F59C36">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英语写作案例保留草稿至终稿，并安排教师反馈、同伴互评与自我评估。教师从一份草稿中发现两条建议实质重复且缺少理由，因而把反馈指向建议区分与论证完整性；同伴互评关注观点是否明确、理由是否支持建议及表达是否连贯；学生再依据标准说明自己的问题与修改办法。三种评价主体围绕相同要求工作，使反馈能够转化为具体修改。</w:t>
      </w:r>
    </w:p>
    <w:p w14:paraId="5C9C5DB1">
      <w:pPr>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714240" cy="2912745"/>
            <wp:effectExtent l="0" t="0" r="6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a:blip r:embed="rId25"/>
                    <a:stretch>
                      <a:fillRect/>
                    </a:stretch>
                  </pic:blipFill>
                  <pic:spPr>
                    <a:xfrm>
                      <a:off x="0" y="0"/>
                      <a:ext cx="4714240" cy="2912745"/>
                    </a:xfrm>
                    <a:prstGeom prst="rect">
                      <a:avLst/>
                    </a:prstGeom>
                    <a:noFill/>
                  </pic:spPr>
                </pic:pic>
              </a:graphicData>
            </a:graphic>
          </wp:inline>
        </w:drawing>
      </w:r>
    </w:p>
    <w:p w14:paraId="194F64C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图3-20  英语写作草稿与一稿的教师批注</w:t>
      </w:r>
    </w:p>
    <w:p w14:paraId="48020DD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左侧草稿暴露了建议重复、理由不足等问题，右侧一稿保留了教师针对表达与论证的批注。将两份材料与后续稿次对照，可以分析反馈究竟改变了观点、理由还是语言形式。</w:t>
      </w:r>
    </w:p>
    <w:p w14:paraId="51EFF50F">
      <w:pPr>
        <w:keepNext/>
        <w:pageBreakBefore w:val="0"/>
        <w:overflowPunct w:val="0"/>
        <w:bidi w:val="0"/>
        <w:spacing w:line="360" w:lineRule="auto"/>
        <w:ind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59264" behindDoc="0" locked="0" layoutInCell="0" allowOverlap="1">
            <wp:simplePos x="0" y="0"/>
            <wp:positionH relativeFrom="column">
              <wp:posOffset>-307340</wp:posOffset>
            </wp:positionH>
            <wp:positionV relativeFrom="paragraph">
              <wp:posOffset>15875</wp:posOffset>
            </wp:positionV>
            <wp:extent cx="6126480" cy="2474595"/>
            <wp:effectExtent l="0" t="0" r="7620" b="1905"/>
            <wp:wrapThrough wrapText="bothSides">
              <wp:wrapPolygon>
                <wp:start x="0" y="0"/>
                <wp:lineTo x="0" y="21533"/>
                <wp:lineTo x="21560" y="21533"/>
                <wp:lineTo x="21560"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26"/>
                    <a:stretch>
                      <a:fillRect/>
                    </a:stretch>
                  </pic:blipFill>
                  <pic:spPr>
                    <a:xfrm>
                      <a:off x="0" y="0"/>
                      <a:ext cx="6126480" cy="2474595"/>
                    </a:xfrm>
                    <a:prstGeom prst="rect">
                      <a:avLst/>
                    </a:prstGeom>
                    <a:noFill/>
                  </pic:spPr>
                </pic:pic>
              </a:graphicData>
            </a:graphic>
          </wp:anchor>
        </w:drawing>
      </w:r>
    </w:p>
    <w:p w14:paraId="495DF5D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图3-21  学生填写的英语写作同伴互评表</w:t>
      </w:r>
    </w:p>
    <w:p w14:paraId="4698B9B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互评表将核心观点、支持依据、建议与理由及语言表现分别列出，并要求在原文标示或补充建议。表中记录说明同伴参与了诊断；互评是否有效，还要看下一稿是否回应所指出的问题。</w:t>
      </w:r>
    </w:p>
    <w:p w14:paraId="3DF2BCE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图3-22  与图12共同呈现了教师反馈、同伴判断与学生修订之间的联系，可用于分析建议、理由和语言表达的具体变化。现有材料尚未提供全班各稿次的等级统计，因而主要支持对反馈运用过程的个案分析；终稿自评及迁移设想仍需结合新任务中的实际表现检验。</w:t>
      </w:r>
    </w:p>
    <w:p w14:paraId="4C7F0626">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表3-37  状物写作案例初稿与终稿的水平分布（n=86）</w:t>
      </w:r>
    </w:p>
    <w:tbl>
      <w:tblPr>
        <w:tblStyle w:val="12"/>
        <w:tblW w:w="8519" w:type="dxa"/>
        <w:jc w:val="center"/>
        <w:tblLayout w:type="fixed"/>
        <w:tblCellMar>
          <w:top w:w="0" w:type="dxa"/>
          <w:left w:w="0" w:type="dxa"/>
          <w:bottom w:w="0" w:type="dxa"/>
          <w:right w:w="0" w:type="dxa"/>
        </w:tblCellMar>
      </w:tblPr>
      <w:tblGrid>
        <w:gridCol w:w="1698"/>
        <w:gridCol w:w="1706"/>
        <w:gridCol w:w="1704"/>
        <w:gridCol w:w="1707"/>
        <w:gridCol w:w="1704"/>
      </w:tblGrid>
      <w:tr w14:paraId="1FA038B6">
        <w:tblPrEx>
          <w:tblCellMar>
            <w:top w:w="0" w:type="dxa"/>
            <w:left w:w="0" w:type="dxa"/>
            <w:bottom w:w="0" w:type="dxa"/>
            <w:right w:w="0" w:type="dxa"/>
          </w:tblCellMar>
        </w:tblPrEx>
        <w:trPr>
          <w:cantSplit/>
          <w:tblHeader/>
          <w:jc w:val="center"/>
        </w:trPr>
        <w:tc>
          <w:tcPr>
            <w:tcW w:w="1698" w:type="dxa"/>
            <w:tcBorders>
              <w:top w:val="single" w:color="000000" w:sz="12" w:space="0"/>
            </w:tcBorders>
            <w:vAlign w:val="center"/>
          </w:tcPr>
          <w:p w14:paraId="5FA01D3D">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水平</w:t>
            </w:r>
          </w:p>
        </w:tc>
        <w:tc>
          <w:tcPr>
            <w:tcW w:w="1706" w:type="dxa"/>
            <w:tcBorders>
              <w:top w:val="single" w:color="000000" w:sz="12" w:space="0"/>
            </w:tcBorders>
            <w:vAlign w:val="center"/>
          </w:tcPr>
          <w:p w14:paraId="084129FD">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初稿人数</w:t>
            </w:r>
          </w:p>
        </w:tc>
        <w:tc>
          <w:tcPr>
            <w:tcW w:w="1704" w:type="dxa"/>
            <w:tcBorders>
              <w:top w:val="single" w:color="000000" w:sz="12" w:space="0"/>
            </w:tcBorders>
            <w:vAlign w:val="center"/>
          </w:tcPr>
          <w:p w14:paraId="204C531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初稿比例</w:t>
            </w:r>
          </w:p>
        </w:tc>
        <w:tc>
          <w:tcPr>
            <w:tcW w:w="1707" w:type="dxa"/>
            <w:tcBorders>
              <w:top w:val="single" w:color="000000" w:sz="12" w:space="0"/>
            </w:tcBorders>
            <w:vAlign w:val="center"/>
          </w:tcPr>
          <w:p w14:paraId="049ED5D6">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终稿人数</w:t>
            </w:r>
          </w:p>
        </w:tc>
        <w:tc>
          <w:tcPr>
            <w:tcW w:w="1704" w:type="dxa"/>
            <w:tcBorders>
              <w:top w:val="single" w:color="000000" w:sz="12" w:space="0"/>
            </w:tcBorders>
            <w:vAlign w:val="center"/>
          </w:tcPr>
          <w:p w14:paraId="1BF56F19">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终稿比例</w:t>
            </w:r>
          </w:p>
        </w:tc>
      </w:tr>
      <w:tr w14:paraId="5237D221">
        <w:tblPrEx>
          <w:tblCellMar>
            <w:top w:w="0" w:type="dxa"/>
            <w:left w:w="0" w:type="dxa"/>
            <w:bottom w:w="0" w:type="dxa"/>
            <w:right w:w="0" w:type="dxa"/>
          </w:tblCellMar>
        </w:tblPrEx>
        <w:trPr>
          <w:cantSplit/>
          <w:jc w:val="center"/>
        </w:trPr>
        <w:tc>
          <w:tcPr>
            <w:tcW w:w="1698" w:type="dxa"/>
            <w:tcBorders>
              <w:top w:val="single" w:color="000000" w:sz="4" w:space="0"/>
            </w:tcBorders>
            <w:vAlign w:val="center"/>
          </w:tcPr>
          <w:p w14:paraId="24A053B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初始水平</w:t>
            </w:r>
          </w:p>
        </w:tc>
        <w:tc>
          <w:tcPr>
            <w:tcW w:w="1706" w:type="dxa"/>
            <w:tcBorders>
              <w:top w:val="single" w:color="000000" w:sz="4" w:space="0"/>
            </w:tcBorders>
            <w:vAlign w:val="center"/>
          </w:tcPr>
          <w:p w14:paraId="66857C7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32</w:t>
            </w:r>
          </w:p>
        </w:tc>
        <w:tc>
          <w:tcPr>
            <w:tcW w:w="1704" w:type="dxa"/>
            <w:tcBorders>
              <w:top w:val="single" w:color="000000" w:sz="4" w:space="0"/>
            </w:tcBorders>
            <w:vAlign w:val="center"/>
          </w:tcPr>
          <w:p w14:paraId="62AC303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37.2%</w:t>
            </w:r>
          </w:p>
        </w:tc>
        <w:tc>
          <w:tcPr>
            <w:tcW w:w="1707" w:type="dxa"/>
            <w:tcBorders>
              <w:top w:val="single" w:color="000000" w:sz="4" w:space="0"/>
            </w:tcBorders>
            <w:vAlign w:val="center"/>
          </w:tcPr>
          <w:p w14:paraId="76FB43E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11</w:t>
            </w:r>
          </w:p>
        </w:tc>
        <w:tc>
          <w:tcPr>
            <w:tcW w:w="1704" w:type="dxa"/>
            <w:tcBorders>
              <w:top w:val="single" w:color="000000" w:sz="4" w:space="0"/>
            </w:tcBorders>
            <w:vAlign w:val="center"/>
          </w:tcPr>
          <w:p w14:paraId="4BC5D3F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12.8%</w:t>
            </w:r>
          </w:p>
        </w:tc>
      </w:tr>
      <w:tr w14:paraId="21984AF3">
        <w:tblPrEx>
          <w:tblCellMar>
            <w:top w:w="0" w:type="dxa"/>
            <w:left w:w="0" w:type="dxa"/>
            <w:bottom w:w="0" w:type="dxa"/>
            <w:right w:w="0" w:type="dxa"/>
          </w:tblCellMar>
        </w:tblPrEx>
        <w:trPr>
          <w:cantSplit/>
          <w:jc w:val="center"/>
        </w:trPr>
        <w:tc>
          <w:tcPr>
            <w:tcW w:w="1698" w:type="dxa"/>
            <w:vAlign w:val="center"/>
          </w:tcPr>
          <w:p w14:paraId="625E2F57">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入门水平</w:t>
            </w:r>
          </w:p>
        </w:tc>
        <w:tc>
          <w:tcPr>
            <w:tcW w:w="1706" w:type="dxa"/>
            <w:vAlign w:val="center"/>
          </w:tcPr>
          <w:p w14:paraId="594B7F8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29</w:t>
            </w:r>
          </w:p>
        </w:tc>
        <w:tc>
          <w:tcPr>
            <w:tcW w:w="1704" w:type="dxa"/>
            <w:vAlign w:val="center"/>
          </w:tcPr>
          <w:p w14:paraId="5993064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33.7%</w:t>
            </w:r>
          </w:p>
        </w:tc>
        <w:tc>
          <w:tcPr>
            <w:tcW w:w="1707" w:type="dxa"/>
            <w:vAlign w:val="center"/>
          </w:tcPr>
          <w:p w14:paraId="3B7F0FA1">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21</w:t>
            </w:r>
          </w:p>
        </w:tc>
        <w:tc>
          <w:tcPr>
            <w:tcW w:w="1704" w:type="dxa"/>
            <w:vAlign w:val="center"/>
          </w:tcPr>
          <w:p w14:paraId="6B71D27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24.4%</w:t>
            </w:r>
          </w:p>
        </w:tc>
      </w:tr>
      <w:tr w14:paraId="42928758">
        <w:tblPrEx>
          <w:tblCellMar>
            <w:top w:w="0" w:type="dxa"/>
            <w:left w:w="0" w:type="dxa"/>
            <w:bottom w:w="0" w:type="dxa"/>
            <w:right w:w="0" w:type="dxa"/>
          </w:tblCellMar>
        </w:tblPrEx>
        <w:trPr>
          <w:cantSplit/>
          <w:jc w:val="center"/>
        </w:trPr>
        <w:tc>
          <w:tcPr>
            <w:tcW w:w="1698" w:type="dxa"/>
            <w:vAlign w:val="center"/>
          </w:tcPr>
          <w:p w14:paraId="15DDAA9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进阶水平</w:t>
            </w:r>
          </w:p>
        </w:tc>
        <w:tc>
          <w:tcPr>
            <w:tcW w:w="1706" w:type="dxa"/>
            <w:vAlign w:val="center"/>
          </w:tcPr>
          <w:p w14:paraId="5054610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18</w:t>
            </w:r>
          </w:p>
        </w:tc>
        <w:tc>
          <w:tcPr>
            <w:tcW w:w="1704" w:type="dxa"/>
            <w:vAlign w:val="center"/>
          </w:tcPr>
          <w:p w14:paraId="7340658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20.9%</w:t>
            </w:r>
          </w:p>
        </w:tc>
        <w:tc>
          <w:tcPr>
            <w:tcW w:w="1707" w:type="dxa"/>
            <w:vAlign w:val="center"/>
          </w:tcPr>
          <w:p w14:paraId="1BA37A0F">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36</w:t>
            </w:r>
          </w:p>
        </w:tc>
        <w:tc>
          <w:tcPr>
            <w:tcW w:w="1704" w:type="dxa"/>
            <w:vAlign w:val="center"/>
          </w:tcPr>
          <w:p w14:paraId="7CAFC824">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41.9%</w:t>
            </w:r>
          </w:p>
        </w:tc>
      </w:tr>
      <w:tr w14:paraId="3056B1B9">
        <w:tblPrEx>
          <w:tblCellMar>
            <w:top w:w="0" w:type="dxa"/>
            <w:left w:w="0" w:type="dxa"/>
            <w:bottom w:w="0" w:type="dxa"/>
            <w:right w:w="0" w:type="dxa"/>
          </w:tblCellMar>
        </w:tblPrEx>
        <w:trPr>
          <w:cantSplit/>
          <w:jc w:val="center"/>
        </w:trPr>
        <w:tc>
          <w:tcPr>
            <w:tcW w:w="1698" w:type="dxa"/>
            <w:vAlign w:val="center"/>
          </w:tcPr>
          <w:p w14:paraId="3B44170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高阶水平</w:t>
            </w:r>
          </w:p>
        </w:tc>
        <w:tc>
          <w:tcPr>
            <w:tcW w:w="1706" w:type="dxa"/>
            <w:vAlign w:val="center"/>
          </w:tcPr>
          <w:p w14:paraId="48C42CE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7</w:t>
            </w:r>
          </w:p>
        </w:tc>
        <w:tc>
          <w:tcPr>
            <w:tcW w:w="1704" w:type="dxa"/>
            <w:vAlign w:val="center"/>
          </w:tcPr>
          <w:p w14:paraId="7A14939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8.1%</w:t>
            </w:r>
          </w:p>
        </w:tc>
        <w:tc>
          <w:tcPr>
            <w:tcW w:w="1707" w:type="dxa"/>
            <w:vAlign w:val="center"/>
          </w:tcPr>
          <w:p w14:paraId="27A8F632">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18</w:t>
            </w:r>
          </w:p>
        </w:tc>
        <w:tc>
          <w:tcPr>
            <w:tcW w:w="1704" w:type="dxa"/>
            <w:vAlign w:val="center"/>
          </w:tcPr>
          <w:p w14:paraId="74D1836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20.9%</w:t>
            </w:r>
          </w:p>
        </w:tc>
      </w:tr>
      <w:tr w14:paraId="464170FB">
        <w:tblPrEx>
          <w:tblCellMar>
            <w:top w:w="0" w:type="dxa"/>
            <w:left w:w="0" w:type="dxa"/>
            <w:bottom w:w="0" w:type="dxa"/>
            <w:right w:w="0" w:type="dxa"/>
          </w:tblCellMar>
        </w:tblPrEx>
        <w:trPr>
          <w:cantSplit/>
          <w:jc w:val="center"/>
        </w:trPr>
        <w:tc>
          <w:tcPr>
            <w:tcW w:w="1698" w:type="dxa"/>
            <w:tcBorders>
              <w:bottom w:val="single" w:color="000000" w:sz="12" w:space="0"/>
            </w:tcBorders>
            <w:vAlign w:val="center"/>
          </w:tcPr>
          <w:p w14:paraId="63511FA4">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合计</w:t>
            </w:r>
          </w:p>
        </w:tc>
        <w:tc>
          <w:tcPr>
            <w:tcW w:w="1706" w:type="dxa"/>
            <w:tcBorders>
              <w:bottom w:val="single" w:color="000000" w:sz="12" w:space="0"/>
            </w:tcBorders>
            <w:vAlign w:val="center"/>
          </w:tcPr>
          <w:p w14:paraId="51E9119E">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86</w:t>
            </w:r>
          </w:p>
        </w:tc>
        <w:tc>
          <w:tcPr>
            <w:tcW w:w="1704" w:type="dxa"/>
            <w:tcBorders>
              <w:bottom w:val="single" w:color="000000" w:sz="12" w:space="0"/>
            </w:tcBorders>
            <w:vAlign w:val="center"/>
          </w:tcPr>
          <w:p w14:paraId="5D18B182">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100.0%</w:t>
            </w:r>
          </w:p>
        </w:tc>
        <w:tc>
          <w:tcPr>
            <w:tcW w:w="1707" w:type="dxa"/>
            <w:tcBorders>
              <w:bottom w:val="single" w:color="000000" w:sz="12" w:space="0"/>
            </w:tcBorders>
            <w:vAlign w:val="center"/>
          </w:tcPr>
          <w:p w14:paraId="59BCDCD5">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86</w:t>
            </w:r>
          </w:p>
        </w:tc>
        <w:tc>
          <w:tcPr>
            <w:tcW w:w="1704" w:type="dxa"/>
            <w:tcBorders>
              <w:bottom w:val="single" w:color="000000" w:sz="12" w:space="0"/>
            </w:tcBorders>
            <w:vAlign w:val="center"/>
          </w:tcPr>
          <w:p w14:paraId="2F46FDB9">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100.0%</w:t>
            </w:r>
          </w:p>
        </w:tc>
      </w:tr>
    </w:tbl>
    <w:p w14:paraId="0FFCA5C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按人数计算，进阶与高阶作品合计由25份增至54份，所占比例由29.1%增至62.8%。该结果显示本次任务中作品水平分布向较高等级移动。结合案例中补充生活场景、筛选细节与建立情感联系的修订记录，可以进一步解释变化的具体内容。由于尚缺少逐生等级转移表和评分者一致性信息，这一分布不用于推断每名学生的进步路径，也不直接证明变化完全由某一教学措施引起。</w:t>
      </w:r>
    </w:p>
    <w:p w14:paraId="57D60E9F">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表3-38  提供了作品水平分布的群体证据，图11、图12则保留了反馈与修改的过程材料，两者分别回答“分布如何变化”与“修改如何发生”，需在各自课例范围内解释。下文图13、图14进一步通过三稿记录和答辩回应，呈现理解修正的具体过程；表13补充社会情感表现的观察内容，使评价同时关注成果变化与任务中的行动。</w:t>
      </w:r>
    </w:p>
    <w:p w14:paraId="65AB7FD5">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3508375" cy="3717290"/>
            <wp:effectExtent l="0" t="0" r="6350" b="698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27"/>
                    <a:srcRect t="6159" b="2526"/>
                    <a:stretch>
                      <a:fillRect/>
                    </a:stretch>
                  </pic:blipFill>
                  <pic:spPr>
                    <a:xfrm>
                      <a:off x="0" y="0"/>
                      <a:ext cx="3508375" cy="3717290"/>
                    </a:xfrm>
                    <a:prstGeom prst="rect">
                      <a:avLst/>
                    </a:prstGeom>
                    <a:noFill/>
                  </pic:spPr>
                </pic:pic>
              </a:graphicData>
            </a:graphic>
          </wp:inline>
        </w:drawing>
      </w:r>
    </w:p>
    <w:p w14:paraId="473C5FAA">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图3-23  好好儿活短笺的三稿迭代记录</w:t>
      </w:r>
    </w:p>
    <w:p w14:paraId="4D09167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初稿、二稿和终稿中保留了教师评语、修改理由与学生启示。记录显示，学生从一般性的坚强表述补入考试失利的生活经验，再依据答辩意见区分母子对“好好儿活”的不同理解，反馈与修改之间的联系因而可以追溯。</w:t>
      </w:r>
      <w:r>
        <w:rPr>
          <w:rFonts w:hint="eastAsia" w:ascii="宋体" w:hAnsi="宋体" w:eastAsia="宋体" w:cs="宋体"/>
          <w:b w:val="0"/>
          <w:sz w:val="24"/>
          <w:szCs w:val="24"/>
          <w:vertAlign w:val="superscript"/>
        </w:rPr>
        <w:t>[6]</w:t>
      </w:r>
    </w:p>
    <w:p w14:paraId="702B3F9A">
      <w:pPr>
        <w:keepNext/>
        <w:pageBreakBefore w:val="0"/>
        <w:overflowPunct w:val="0"/>
        <w:bidi w:val="0"/>
        <w:spacing w:line="360" w:lineRule="auto"/>
        <w:ind w:firstLineChars="200"/>
        <w:jc w:val="center"/>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4478020" cy="2386330"/>
            <wp:effectExtent l="0" t="0" r="8255" b="444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28"/>
                    <a:srcRect t="11382" b="13781"/>
                    <a:stretch>
                      <a:fillRect/>
                    </a:stretch>
                  </pic:blipFill>
                  <pic:spPr>
                    <a:xfrm>
                      <a:off x="0" y="0"/>
                      <a:ext cx="4478020" cy="2386330"/>
                    </a:xfrm>
                    <a:prstGeom prst="rect">
                      <a:avLst/>
                    </a:prstGeom>
                    <a:noFill/>
                  </pic:spPr>
                </pic:pic>
              </a:graphicData>
            </a:graphic>
          </wp:inline>
        </w:drawing>
      </w:r>
    </w:p>
    <w:p w14:paraId="4B57406B">
      <w:pPr>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图3-24  短笺成果答辩记录</w:t>
      </w:r>
    </w:p>
    <w:p w14:paraId="0E0E3A96">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图3-25  保留同伴提问、学生回应、意见采纳及终稿变化，与图13的版本记录相互参照，可追踪学生如何在交流后修正理解。评价重点是学生能否说明取舍理由、使表达更有依据，而非采纳意见的数量。表13据此补充责任履行、情绪调节、合作共情与包容创新的观察要点，相关判断还需结合具体互动记录和学生反思。</w:t>
      </w:r>
    </w:p>
    <w:tbl>
      <w:tblPr>
        <w:tblStyle w:val="12"/>
        <w:tblW w:w="8522" w:type="dxa"/>
        <w:jc w:val="center"/>
        <w:tblLayout w:type="fixed"/>
        <w:tblCellMar>
          <w:top w:w="0" w:type="dxa"/>
          <w:left w:w="0" w:type="dxa"/>
          <w:bottom w:w="0" w:type="dxa"/>
          <w:right w:w="0" w:type="dxa"/>
        </w:tblCellMar>
      </w:tblPr>
      <w:tblGrid>
        <w:gridCol w:w="1390"/>
        <w:gridCol w:w="4708"/>
        <w:gridCol w:w="2424"/>
      </w:tblGrid>
      <w:tr w14:paraId="32545751">
        <w:tblPrEx>
          <w:tblCellMar>
            <w:top w:w="0" w:type="dxa"/>
            <w:left w:w="0" w:type="dxa"/>
            <w:bottom w:w="0" w:type="dxa"/>
            <w:right w:w="0" w:type="dxa"/>
          </w:tblCellMar>
        </w:tblPrEx>
        <w:trPr>
          <w:cantSplit/>
          <w:tblHeader/>
          <w:jc w:val="center"/>
        </w:trPr>
        <w:tc>
          <w:tcPr>
            <w:tcW w:w="1390" w:type="dxa"/>
            <w:tcBorders>
              <w:top w:val="single" w:color="000000" w:sz="12" w:space="0"/>
            </w:tcBorders>
            <w:vAlign w:val="center"/>
          </w:tcPr>
          <w:p w14:paraId="09CB15DF">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观察维度</w:t>
            </w:r>
          </w:p>
        </w:tc>
        <w:tc>
          <w:tcPr>
            <w:tcW w:w="4708" w:type="dxa"/>
            <w:tcBorders>
              <w:top w:val="single" w:color="000000" w:sz="12" w:space="0"/>
            </w:tcBorders>
            <w:vAlign w:val="center"/>
          </w:tcPr>
          <w:p w14:paraId="34555E55">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原案例中的观察要点</w:t>
            </w:r>
          </w:p>
        </w:tc>
        <w:tc>
          <w:tcPr>
            <w:tcW w:w="2424" w:type="dxa"/>
            <w:tcBorders>
              <w:top w:val="single" w:color="000000" w:sz="12" w:space="0"/>
            </w:tcBorders>
            <w:vAlign w:val="center"/>
          </w:tcPr>
          <w:p w14:paraId="2B118283">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sz w:val="21"/>
                <w:szCs w:val="24"/>
              </w:rPr>
              <w:t>配套记录</w:t>
            </w:r>
          </w:p>
        </w:tc>
      </w:tr>
      <w:tr w14:paraId="2E11AEA0">
        <w:tblPrEx>
          <w:tblCellMar>
            <w:top w:w="0" w:type="dxa"/>
            <w:left w:w="0" w:type="dxa"/>
            <w:bottom w:w="0" w:type="dxa"/>
            <w:right w:w="0" w:type="dxa"/>
          </w:tblCellMar>
        </w:tblPrEx>
        <w:trPr>
          <w:cantSplit/>
          <w:jc w:val="center"/>
        </w:trPr>
        <w:tc>
          <w:tcPr>
            <w:tcW w:w="1390" w:type="dxa"/>
            <w:tcBorders>
              <w:top w:val="single" w:color="000000" w:sz="4" w:space="0"/>
            </w:tcBorders>
            <w:vAlign w:val="center"/>
          </w:tcPr>
          <w:p w14:paraId="3B2BF7C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责任担当</w:t>
            </w:r>
          </w:p>
        </w:tc>
        <w:tc>
          <w:tcPr>
            <w:tcW w:w="4708" w:type="dxa"/>
            <w:tcBorders>
              <w:top w:val="single" w:color="000000" w:sz="4" w:space="0"/>
            </w:tcBorders>
            <w:vAlign w:val="center"/>
          </w:tcPr>
          <w:p w14:paraId="34235AF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主动认领任务，反思自身不足，带动同伴参与</w:t>
            </w:r>
          </w:p>
        </w:tc>
        <w:tc>
          <w:tcPr>
            <w:tcW w:w="2424" w:type="dxa"/>
            <w:tcBorders>
              <w:top w:val="single" w:color="000000" w:sz="4" w:space="0"/>
            </w:tcBorders>
            <w:vAlign w:val="center"/>
          </w:tcPr>
          <w:p w14:paraId="23115A3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记录对象与典型表现</w:t>
            </w:r>
          </w:p>
        </w:tc>
      </w:tr>
      <w:tr w14:paraId="01E4D185">
        <w:tblPrEx>
          <w:tblCellMar>
            <w:top w:w="0" w:type="dxa"/>
            <w:left w:w="0" w:type="dxa"/>
            <w:bottom w:w="0" w:type="dxa"/>
            <w:right w:w="0" w:type="dxa"/>
          </w:tblCellMar>
        </w:tblPrEx>
        <w:trPr>
          <w:cantSplit/>
          <w:jc w:val="center"/>
        </w:trPr>
        <w:tc>
          <w:tcPr>
            <w:tcW w:w="1390" w:type="dxa"/>
            <w:vAlign w:val="center"/>
          </w:tcPr>
          <w:p w14:paraId="582EA3F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情绪调节</w:t>
            </w:r>
          </w:p>
        </w:tc>
        <w:tc>
          <w:tcPr>
            <w:tcW w:w="4708" w:type="dxa"/>
            <w:vAlign w:val="center"/>
          </w:tcPr>
          <w:p w14:paraId="5C64913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观点冲突时平复情绪，继续理性交流</w:t>
            </w:r>
          </w:p>
        </w:tc>
        <w:tc>
          <w:tcPr>
            <w:tcW w:w="2424" w:type="dxa"/>
            <w:vAlign w:val="center"/>
          </w:tcPr>
          <w:p w14:paraId="54F93A4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困难情境与调整行动</w:t>
            </w:r>
          </w:p>
        </w:tc>
      </w:tr>
      <w:tr w14:paraId="313CCF0E">
        <w:tblPrEx>
          <w:tblCellMar>
            <w:top w:w="0" w:type="dxa"/>
            <w:left w:w="0" w:type="dxa"/>
            <w:bottom w:w="0" w:type="dxa"/>
            <w:right w:w="0" w:type="dxa"/>
          </w:tblCellMar>
        </w:tblPrEx>
        <w:trPr>
          <w:cantSplit/>
          <w:jc w:val="center"/>
        </w:trPr>
        <w:tc>
          <w:tcPr>
            <w:tcW w:w="1390" w:type="dxa"/>
            <w:vAlign w:val="center"/>
          </w:tcPr>
          <w:p w14:paraId="72FD8D1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合作共情</w:t>
            </w:r>
          </w:p>
        </w:tc>
        <w:tc>
          <w:tcPr>
            <w:tcW w:w="4708" w:type="dxa"/>
            <w:vAlign w:val="center"/>
          </w:tcPr>
          <w:p w14:paraId="05D4133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不打断发言，复述同伴观点后再表达意见</w:t>
            </w:r>
          </w:p>
        </w:tc>
        <w:tc>
          <w:tcPr>
            <w:tcW w:w="2424" w:type="dxa"/>
            <w:vAlign w:val="center"/>
          </w:tcPr>
          <w:p w14:paraId="3D143D8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同伴回应及协商片段</w:t>
            </w:r>
          </w:p>
        </w:tc>
      </w:tr>
      <w:tr w14:paraId="3DA825C0">
        <w:tblPrEx>
          <w:tblCellMar>
            <w:top w:w="0" w:type="dxa"/>
            <w:left w:w="0" w:type="dxa"/>
            <w:bottom w:w="0" w:type="dxa"/>
            <w:right w:w="0" w:type="dxa"/>
          </w:tblCellMar>
        </w:tblPrEx>
        <w:trPr>
          <w:cantSplit/>
          <w:jc w:val="center"/>
        </w:trPr>
        <w:tc>
          <w:tcPr>
            <w:tcW w:w="1390" w:type="dxa"/>
            <w:tcBorders>
              <w:bottom w:val="single" w:color="000000" w:sz="12" w:space="0"/>
            </w:tcBorders>
            <w:vAlign w:val="center"/>
          </w:tcPr>
          <w:p w14:paraId="2915FD58">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包容创新</w:t>
            </w:r>
          </w:p>
        </w:tc>
        <w:tc>
          <w:tcPr>
            <w:tcW w:w="4708" w:type="dxa"/>
            <w:tcBorders>
              <w:bottom w:val="single" w:color="000000" w:sz="12" w:space="0"/>
            </w:tcBorders>
            <w:vAlign w:val="center"/>
          </w:tcPr>
          <w:p w14:paraId="4A9DB28A">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不简单否定异见，吸收观点形成新表达</w:t>
            </w:r>
          </w:p>
        </w:tc>
        <w:tc>
          <w:tcPr>
            <w:tcW w:w="2424" w:type="dxa"/>
            <w:tcBorders>
              <w:bottom w:val="single" w:color="000000" w:sz="12" w:space="0"/>
            </w:tcBorders>
            <w:vAlign w:val="center"/>
          </w:tcPr>
          <w:p w14:paraId="54581C91">
            <w:pPr>
              <w:keepNext/>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sz w:val="21"/>
                <w:szCs w:val="24"/>
              </w:rPr>
              <w:t>意见取舍与作品修改</w:t>
            </w:r>
          </w:p>
        </w:tc>
      </w:tr>
    </w:tbl>
    <w:p w14:paraId="766500A2">
      <w:pPr>
        <w:keepNext/>
        <w:pageBreakBefore w:val="0"/>
        <w:overflowPunct w:val="0"/>
        <w:bidi w:val="0"/>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表3-39  社会情感课堂观察工具节选</w:t>
      </w:r>
    </w:p>
    <w:p w14:paraId="2D5D58AA">
      <w:pPr>
        <w:pageBreakBefore w:val="0"/>
        <w:overflowPunct w:val="0"/>
        <w:bidi w:val="0"/>
        <w:spacing w:line="240" w:lineRule="auto"/>
        <w:ind w:firstLineChars="200"/>
        <w:jc w:val="left"/>
        <w:textAlignment w:val="auto"/>
        <w:rPr>
          <w:rFonts w:hint="eastAsia" w:ascii="宋体" w:hAnsi="宋体" w:eastAsia="宋体" w:cs="宋体"/>
          <w:sz w:val="24"/>
          <w:szCs w:val="24"/>
        </w:rPr>
      </w:pPr>
      <w:r>
        <w:rPr>
          <w:rFonts w:hint="eastAsia" w:ascii="宋体" w:hAnsi="宋体" w:eastAsia="宋体" w:cs="宋体"/>
          <w:b w:val="0"/>
          <w:sz w:val="21"/>
          <w:szCs w:val="24"/>
        </w:rPr>
        <w:t>注：依据董丹案例观察工具整理，统一使用本研究的“包容创新”名称。该表呈现观察内容与记录方式，不代表已有完整的全班行为统计。</w:t>
      </w:r>
    </w:p>
    <w:p w14:paraId="0B1476F6">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1" w:name="_Toc14593"/>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6）</w:t>
      </w:r>
      <w:r>
        <w:rPr>
          <w:rFonts w:hint="eastAsia" w:ascii="宋体" w:hAnsi="宋体" w:eastAsia="宋体" w:cs="宋体"/>
          <w:b w:val="0"/>
          <w:bCs/>
          <w:sz w:val="24"/>
          <w:szCs w:val="24"/>
        </w:rPr>
        <w:t>五个框架的实践联系</w:t>
      </w:r>
      <w:bookmarkEnd w:id="81"/>
    </w:p>
    <w:p w14:paraId="36DAB1F3">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个框架共同构成学科场域的实施逻辑：以课程标准的核心素养要求确定方向，以目标与表现标准明确学习要求，以内容关联和任务实践提供学习机会，再通过证据解释、反馈运用与教师调节推动改进。“可见的学习”的三层学习用于把握任务深度，五环用于组织过程，“五见”用于师生共同分析学习。物理的实验与模型、语文的文本解释与表达、英语的情境回应与论证保留各自学科特点，并在呈现思考、依据证据判断和持续修订上形成联系。既有案例为这一实施逻辑提供了具体材料，能力发展的持续性与迁移性仍需通过多次任务表现进一步考察。</w:t>
      </w:r>
    </w:p>
    <w:p w14:paraId="68D6A9C2">
      <w:pPr>
        <w:pStyle w:val="4"/>
        <w:keepNext/>
        <w:pageBreakBefore w:val="0"/>
        <w:overflowPunct w:val="0"/>
        <w:bidi w:val="0"/>
        <w:spacing w:before="280" w:after="280" w:line="360" w:lineRule="auto"/>
        <w:ind w:firstLineChars="200"/>
        <w:textAlignment w:val="auto"/>
        <w:rPr>
          <w:rFonts w:hint="eastAsia" w:ascii="宋体" w:hAnsi="宋体" w:eastAsia="宋体" w:cs="宋体"/>
          <w:b/>
          <w:bCs/>
          <w:sz w:val="24"/>
          <w:szCs w:val="24"/>
        </w:rPr>
      </w:pPr>
      <w:bookmarkStart w:id="82" w:name="_Toc22504"/>
      <w:r>
        <w:rPr>
          <w:rFonts w:hint="eastAsia" w:ascii="宋体" w:hAnsi="宋体" w:eastAsia="宋体" w:cs="宋体"/>
          <w:b/>
          <w:bCs/>
          <w:sz w:val="28"/>
          <w:szCs w:val="24"/>
        </w:rPr>
        <w:t>2.科创教育场域的实施</w:t>
      </w:r>
      <w:bookmarkEnd w:id="82"/>
    </w:p>
    <w:p w14:paraId="35A9EF9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场域以真实问题及其改进需要组织学习，将课程标准的核心素养要求落实于调查研究、方案设计、实践验证和成果交流。针对前测中学生复杂问题拆解、多种方案生成及反思调节等方面的需要，本研究延续学科场域的五个分析框架，在知识、目标、实践和评价之外增设“方案”要素，着重考察学生如何把知识转化为可论证、可实施和可改进的解决思路。</w:t>
      </w:r>
    </w:p>
    <w:p w14:paraId="0E853A4B">
      <w:pPr>
        <w:pageBreakBefore w:val="0"/>
        <w:overflowPunct w:val="0"/>
        <w:bidi w:val="0"/>
        <w:spacing w:before="0" w:after="0" w:line="360" w:lineRule="auto"/>
        <w:ind w:firstLineChars="200"/>
        <w:jc w:val="both"/>
        <w:textAlignment w:val="auto"/>
        <w:rPr>
          <w:rFonts w:hint="eastAsia" w:ascii="宋体" w:hAnsi="宋体" w:eastAsia="宋体" w:cs="宋体"/>
          <w:b w:val="0"/>
          <w:color w:val="000000"/>
          <w:sz w:val="24"/>
          <w:lang w:eastAsia="zh-CN"/>
        </w:rPr>
      </w:pPr>
      <w:r>
        <w:rPr>
          <w:rFonts w:hint="eastAsia" w:ascii="宋体" w:hAnsi="宋体" w:eastAsia="宋体" w:cs="宋体"/>
          <w:b w:val="0"/>
          <w:sz w:val="24"/>
          <w:szCs w:val="24"/>
        </w:rPr>
        <w:t>“可见的学习”在这一场域中的落实，体现为学生理解项目目标与成功标准，通过数据、方案及作品呈现思考，并参与判断与修订；教师则依据这些表现持续诊断学习需要，调整支持并考察作用。</w:t>
      </w:r>
      <w:r>
        <w:rPr>
          <w:rFonts w:hint="eastAsia" w:ascii="宋体" w:hAnsi="宋体" w:eastAsia="宋体" w:cs="宋体"/>
          <w:b w:val="0"/>
          <w:color w:val="000000"/>
          <w:sz w:val="24"/>
        </w:rPr>
        <w:t>以下结合《探索我的水足迹——节水环保双语方案》</w:t>
      </w:r>
      <w:r>
        <w:rPr>
          <w:rFonts w:hint="eastAsia" w:ascii="宋体" w:hAnsi="宋体" w:eastAsia="宋体" w:cs="宋体"/>
          <w:b w:val="0"/>
          <w:color w:val="C00000"/>
          <w:sz w:val="24"/>
        </w:rPr>
        <w:t>、</w:t>
      </w:r>
      <w:r>
        <w:rPr>
          <w:rFonts w:hint="eastAsia" w:ascii="宋体" w:hAnsi="宋体" w:eastAsia="宋体" w:cs="宋体"/>
          <w:b w:val="0"/>
          <w:color w:val="000000"/>
          <w:sz w:val="24"/>
        </w:rPr>
        <w:t>“机械臂路径规划”</w:t>
      </w:r>
      <w:r>
        <w:rPr>
          <w:rFonts w:hint="eastAsia" w:ascii="宋体" w:hAnsi="宋体" w:eastAsia="宋体" w:cs="宋体"/>
          <w:b w:val="0"/>
          <w:color w:val="C00000"/>
          <w:sz w:val="24"/>
        </w:rPr>
        <w:t>及《基于TOF深度相机的三维信息触觉化导盲辅助系统》三</w:t>
      </w:r>
      <w:r>
        <w:rPr>
          <w:rFonts w:hint="eastAsia" w:ascii="宋体" w:hAnsi="宋体" w:eastAsia="宋体" w:cs="宋体"/>
          <w:b w:val="0"/>
          <w:color w:val="000000"/>
          <w:sz w:val="24"/>
        </w:rPr>
        <w:t>个项目展开分析。</w:t>
      </w:r>
      <w:r>
        <w:rPr>
          <w:rFonts w:hint="eastAsia" w:ascii="宋体" w:hAnsi="宋体" w:eastAsia="宋体" w:cs="宋体"/>
          <w:b w:val="0"/>
          <w:color w:val="C00000"/>
          <w:sz w:val="24"/>
        </w:rPr>
        <w:t>三</w:t>
      </w:r>
      <w:r>
        <w:rPr>
          <w:rFonts w:hint="eastAsia" w:ascii="宋体" w:hAnsi="宋体" w:eastAsia="宋体" w:cs="宋体"/>
          <w:b w:val="0"/>
          <w:color w:val="000000"/>
          <w:sz w:val="24"/>
        </w:rPr>
        <w:t>者</w:t>
      </w:r>
      <w:r>
        <w:rPr>
          <w:rFonts w:hint="eastAsia" w:ascii="宋体" w:hAnsi="宋体" w:eastAsia="宋体" w:cs="宋体"/>
          <w:b w:val="0"/>
          <w:color w:val="C00000"/>
          <w:sz w:val="24"/>
        </w:rPr>
        <w:t>分别侧重</w:t>
      </w:r>
      <w:r>
        <w:rPr>
          <w:rFonts w:hint="eastAsia" w:ascii="宋体" w:hAnsi="宋体" w:eastAsia="宋体" w:cs="宋体"/>
          <w:b w:val="0"/>
          <w:color w:val="000000"/>
          <w:sz w:val="24"/>
        </w:rPr>
        <w:t>行动方案</w:t>
      </w:r>
      <w:r>
        <w:rPr>
          <w:rFonts w:hint="eastAsia" w:ascii="宋体" w:hAnsi="宋体" w:eastAsia="宋体" w:cs="宋体"/>
          <w:b w:val="0"/>
          <w:color w:val="C00000"/>
          <w:sz w:val="24"/>
        </w:rPr>
        <w:t>形成、工程路径权衡及软硬件系统开发</w:t>
      </w:r>
      <w:r>
        <w:rPr>
          <w:rFonts w:hint="eastAsia" w:ascii="宋体" w:hAnsi="宋体" w:eastAsia="宋体" w:cs="宋体"/>
          <w:b w:val="0"/>
          <w:color w:val="000000"/>
          <w:sz w:val="24"/>
        </w:rPr>
        <w:t>，</w:t>
      </w:r>
      <w:r>
        <w:rPr>
          <w:rFonts w:hint="eastAsia" w:ascii="宋体" w:hAnsi="宋体" w:eastAsia="宋体" w:cs="宋体"/>
          <w:b w:val="0"/>
          <w:color w:val="C00000"/>
          <w:sz w:val="24"/>
        </w:rPr>
        <w:t>能够从调查、设计</w:t>
      </w:r>
      <w:r>
        <w:rPr>
          <w:rFonts w:hint="eastAsia" w:ascii="宋体" w:hAnsi="宋体" w:eastAsia="宋体" w:cs="宋体"/>
          <w:b w:val="0"/>
          <w:color w:val="000000"/>
          <w:sz w:val="24"/>
        </w:rPr>
        <w:t>、调试与</w:t>
      </w:r>
      <w:r>
        <w:rPr>
          <w:rFonts w:hint="eastAsia" w:ascii="宋体" w:hAnsi="宋体" w:eastAsia="宋体" w:cs="宋体"/>
          <w:b w:val="0"/>
          <w:color w:val="C00000"/>
          <w:sz w:val="24"/>
        </w:rPr>
        <w:t>多场景测试等</w:t>
      </w:r>
      <w:r>
        <w:rPr>
          <w:rFonts w:hint="eastAsia" w:ascii="宋体" w:hAnsi="宋体" w:eastAsia="宋体" w:cs="宋体"/>
          <w:b w:val="0"/>
          <w:color w:val="000000"/>
          <w:sz w:val="24"/>
        </w:rPr>
        <w:t>方面，呈现共同框架在科创</w:t>
      </w:r>
      <w:r>
        <w:rPr>
          <w:rFonts w:hint="eastAsia" w:ascii="宋体" w:hAnsi="宋体" w:eastAsia="宋体" w:cs="宋体"/>
          <w:b w:val="0"/>
          <w:color w:val="C00000"/>
          <w:sz w:val="24"/>
        </w:rPr>
        <w:t>项目</w:t>
      </w:r>
      <w:r>
        <w:rPr>
          <w:rFonts w:hint="eastAsia" w:ascii="宋体" w:hAnsi="宋体" w:eastAsia="宋体" w:cs="宋体"/>
          <w:b w:val="0"/>
          <w:color w:val="000000"/>
          <w:sz w:val="24"/>
        </w:rPr>
        <w:t>中的落实方式</w:t>
      </w:r>
      <w:r>
        <w:rPr>
          <w:rFonts w:hint="eastAsia" w:ascii="宋体" w:hAnsi="宋体" w:eastAsia="宋体" w:cs="宋体"/>
          <w:b w:val="0"/>
          <w:color w:val="000000"/>
          <w:sz w:val="24"/>
          <w:lang w:eastAsia="zh-CN"/>
        </w:rPr>
        <w:t>。</w:t>
      </w:r>
    </w:p>
    <w:p w14:paraId="1252507D">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3" w:name="_Toc17218"/>
      <w:r>
        <w:rPr>
          <w:rFonts w:hint="eastAsia" w:ascii="宋体" w:hAnsi="宋体" w:eastAsia="宋体" w:cs="宋体"/>
          <w:b w:val="0"/>
          <w:bCs/>
          <w:sz w:val="24"/>
          <w:szCs w:val="24"/>
        </w:rPr>
        <w:t>（1）可见的学习五要素分析框架</w:t>
      </w:r>
      <w:bookmarkEnd w:id="83"/>
    </w:p>
    <w:p w14:paraId="1E13F27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项目要求学生在现实条件下作出选择。知识能够解释问题，目标能够明确要求，但从“理解问题”到“采取行动”之间，还需要形成并论证解决方案。《义务教育科学课程标准（2022年版）》在技术与工程相关内容中，将明确问题、设计方案、实施、检验和改进等纳入工程实践要求[9]；科学与工程实践研究也强调围绕问题及约束设计、比较和检验解决思路[10]。据此，本研究将“方案”作为连接知识与实践的独立分析要素。这是对学科场域四要素框架的情境化拓展，并非将其视为“可见的学习”理论原有的固定要素。</w:t>
      </w:r>
    </w:p>
    <w:p w14:paraId="73531A9E">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方案”指学生针对已界定的问题，说明目标对象、设计依据、实施路径、所需条件及检验办法所形成的解决思路。它可以通过设计草图、行动计划、流程、模型说明或技术设计书呈现。方案与实践相互作用：前者使行动具有可讨论的依据，后者通过调查、试验、试用或情境验证检验其合理性。工程制作类项目可以形成原型，调查与行动类项目则可通过小规模试行检验方案，不以是否制作实体装置作为科创学习的唯一标志。</w:t>
      </w:r>
    </w:p>
    <w:p w14:paraId="7882F64E">
      <w:pPr>
        <w:keepNext/>
        <w:jc w:val="center"/>
        <w:rPr>
          <w:rFonts w:hint="eastAsia" w:ascii="宋体" w:hAnsi="宋体" w:eastAsia="宋体" w:cs="宋体"/>
        </w:rPr>
      </w:pPr>
      <w:r>
        <w:rPr>
          <w:rFonts w:hint="eastAsia" w:ascii="宋体" w:hAnsi="宋体" w:eastAsia="宋体" w:cs="宋体"/>
        </w:rPr>
        <w:drawing>
          <wp:inline distT="0" distB="0" distL="0" distR="0">
            <wp:extent cx="4545330" cy="2563495"/>
            <wp:effectExtent l="0" t="0" r="7620" b="8255"/>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29"/>
                    <a:stretch>
                      <a:fillRect/>
                    </a:stretch>
                  </pic:blipFill>
                  <pic:spPr>
                    <a:xfrm>
                      <a:off x="0" y="0"/>
                      <a:ext cx="4545330" cy="2563495"/>
                    </a:xfrm>
                    <a:prstGeom prst="rect">
                      <a:avLst/>
                    </a:prstGeom>
                    <a:noFill/>
                  </pic:spPr>
                </pic:pic>
              </a:graphicData>
            </a:graphic>
          </wp:inline>
        </w:drawing>
      </w:r>
    </w:p>
    <w:p w14:paraId="5FF2B6C2">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图3-26  科创教育五要素分析框架（本研究在四要素框架基础上拓展）</w:t>
      </w:r>
    </w:p>
    <w:p w14:paraId="3E12DA8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图3-27  以目标为参照，将知识、方案、实践与评价相互联系，并在五个要素中同时明确学生行动和教师支持。表14进一步列出相应的学习表现。“五见”贯穿其中：以目标与标准确定方向，以方案论证呈现思维，以调查和验证支撑判断，以版本比较辨识进步，并结合多次任务表现考察能力。方案因而成为学习证据的重要载体，而不仅是项目启动时填写的一份表格。</w:t>
      </w:r>
    </w:p>
    <w:p w14:paraId="216BF80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表3-40  科创教育五要素的实施分析</w:t>
      </w:r>
    </w:p>
    <w:tbl>
      <w:tblPr>
        <w:tblStyle w:val="12"/>
        <w:tblW w:w="9605" w:type="dxa"/>
        <w:tblInd w:w="0" w:type="dxa"/>
        <w:tblLayout w:type="fixed"/>
        <w:tblCellMar>
          <w:top w:w="95" w:type="dxa"/>
          <w:left w:w="75" w:type="dxa"/>
          <w:bottom w:w="95" w:type="dxa"/>
          <w:right w:w="75" w:type="dxa"/>
        </w:tblCellMar>
      </w:tblPr>
      <w:tblGrid>
        <w:gridCol w:w="792"/>
        <w:gridCol w:w="2375"/>
        <w:gridCol w:w="2593"/>
        <w:gridCol w:w="3845"/>
      </w:tblGrid>
      <w:tr w14:paraId="216149B1">
        <w:tblPrEx>
          <w:tblCellMar>
            <w:top w:w="95" w:type="dxa"/>
            <w:left w:w="75" w:type="dxa"/>
            <w:bottom w:w="95" w:type="dxa"/>
            <w:right w:w="75" w:type="dxa"/>
          </w:tblCellMar>
        </w:tblPrEx>
        <w:trPr>
          <w:cantSplit/>
          <w:tblHeader/>
        </w:trPr>
        <w:tc>
          <w:tcPr>
            <w:tcW w:w="792" w:type="dxa"/>
            <w:tcBorders>
              <w:top w:val="single" w:color="000000" w:sz="8" w:space="0"/>
              <w:bottom w:val="single" w:color="000000" w:sz="8" w:space="0"/>
            </w:tcBorders>
            <w:vAlign w:val="center"/>
          </w:tcPr>
          <w:p w14:paraId="073E447A">
            <w:pPr>
              <w:spacing w:before="0" w:after="0" w:line="240" w:lineRule="auto"/>
              <w:ind w:firstLine="0"/>
              <w:rPr>
                <w:rFonts w:hint="eastAsia" w:ascii="宋体" w:hAnsi="宋体" w:eastAsia="宋体" w:cs="宋体"/>
              </w:rPr>
            </w:pPr>
            <w:r>
              <w:rPr>
                <w:rFonts w:hint="eastAsia" w:ascii="宋体" w:hAnsi="宋体" w:eastAsia="宋体" w:cs="宋体"/>
                <w:b/>
                <w:sz w:val="21"/>
              </w:rPr>
              <w:t>要素</w:t>
            </w:r>
          </w:p>
        </w:tc>
        <w:tc>
          <w:tcPr>
            <w:tcW w:w="2375" w:type="dxa"/>
            <w:tcBorders>
              <w:top w:val="single" w:color="000000" w:sz="8" w:space="0"/>
              <w:bottom w:val="single" w:color="000000" w:sz="8" w:space="0"/>
            </w:tcBorders>
            <w:vAlign w:val="center"/>
          </w:tcPr>
          <w:p w14:paraId="72943201">
            <w:pPr>
              <w:spacing w:before="0" w:after="0" w:line="240" w:lineRule="auto"/>
              <w:ind w:firstLine="0"/>
              <w:rPr>
                <w:rFonts w:hint="eastAsia" w:ascii="宋体" w:hAnsi="宋体" w:eastAsia="宋体" w:cs="宋体"/>
              </w:rPr>
            </w:pPr>
            <w:r>
              <w:rPr>
                <w:rFonts w:hint="eastAsia" w:ascii="宋体" w:hAnsi="宋体" w:eastAsia="宋体" w:cs="宋体"/>
                <w:b/>
                <w:sz w:val="21"/>
              </w:rPr>
              <w:t>学生主要行动</w:t>
            </w:r>
          </w:p>
        </w:tc>
        <w:tc>
          <w:tcPr>
            <w:tcW w:w="2593" w:type="dxa"/>
            <w:tcBorders>
              <w:top w:val="single" w:color="000000" w:sz="8" w:space="0"/>
              <w:bottom w:val="single" w:color="000000" w:sz="8" w:space="0"/>
            </w:tcBorders>
            <w:vAlign w:val="center"/>
          </w:tcPr>
          <w:p w14:paraId="03472BC8">
            <w:pPr>
              <w:spacing w:before="0" w:after="0" w:line="240" w:lineRule="auto"/>
              <w:ind w:firstLine="0"/>
              <w:rPr>
                <w:rFonts w:hint="eastAsia" w:ascii="宋体" w:hAnsi="宋体" w:eastAsia="宋体" w:cs="宋体"/>
              </w:rPr>
            </w:pPr>
            <w:r>
              <w:rPr>
                <w:rFonts w:hint="eastAsia" w:ascii="宋体" w:hAnsi="宋体" w:eastAsia="宋体" w:cs="宋体"/>
                <w:b/>
                <w:sz w:val="21"/>
              </w:rPr>
              <w:t>教师支持</w:t>
            </w:r>
          </w:p>
        </w:tc>
        <w:tc>
          <w:tcPr>
            <w:tcW w:w="3845" w:type="dxa"/>
            <w:tcBorders>
              <w:top w:val="single" w:color="000000" w:sz="8" w:space="0"/>
              <w:bottom w:val="single" w:color="000000" w:sz="8" w:space="0"/>
            </w:tcBorders>
            <w:vAlign w:val="center"/>
          </w:tcPr>
          <w:p w14:paraId="0DD45166">
            <w:pPr>
              <w:spacing w:before="0" w:after="0" w:line="240" w:lineRule="auto"/>
              <w:ind w:firstLine="0"/>
              <w:rPr>
                <w:rFonts w:hint="eastAsia" w:ascii="宋体" w:hAnsi="宋体" w:eastAsia="宋体" w:cs="宋体"/>
              </w:rPr>
            </w:pPr>
            <w:r>
              <w:rPr>
                <w:rFonts w:hint="eastAsia" w:ascii="宋体" w:hAnsi="宋体" w:eastAsia="宋体" w:cs="宋体"/>
                <w:b/>
                <w:sz w:val="21"/>
              </w:rPr>
              <w:t>表现与判断依据</w:t>
            </w:r>
          </w:p>
        </w:tc>
      </w:tr>
      <w:tr w14:paraId="59070923">
        <w:tblPrEx>
          <w:tblCellMar>
            <w:top w:w="95" w:type="dxa"/>
            <w:left w:w="75" w:type="dxa"/>
            <w:bottom w:w="95" w:type="dxa"/>
            <w:right w:w="75" w:type="dxa"/>
          </w:tblCellMar>
        </w:tblPrEx>
        <w:trPr>
          <w:cantSplit/>
        </w:trPr>
        <w:tc>
          <w:tcPr>
            <w:tcW w:w="792" w:type="dxa"/>
            <w:vAlign w:val="center"/>
          </w:tcPr>
          <w:p w14:paraId="7AB50FA2">
            <w:pPr>
              <w:spacing w:before="0" w:after="0" w:line="240" w:lineRule="auto"/>
              <w:ind w:firstLine="0"/>
              <w:rPr>
                <w:rFonts w:hint="eastAsia" w:ascii="宋体" w:hAnsi="宋体" w:eastAsia="宋体" w:cs="宋体"/>
              </w:rPr>
            </w:pPr>
            <w:r>
              <w:rPr>
                <w:rFonts w:hint="eastAsia" w:ascii="宋体" w:hAnsi="宋体" w:eastAsia="宋体" w:cs="宋体"/>
                <w:b w:val="0"/>
                <w:sz w:val="21"/>
              </w:rPr>
              <w:t>知识</w:t>
            </w:r>
          </w:p>
        </w:tc>
        <w:tc>
          <w:tcPr>
            <w:tcW w:w="2375" w:type="dxa"/>
            <w:vAlign w:val="center"/>
          </w:tcPr>
          <w:p w14:paraId="22FCB624">
            <w:pPr>
              <w:spacing w:before="0" w:after="0" w:line="240" w:lineRule="auto"/>
              <w:ind w:firstLine="0"/>
              <w:rPr>
                <w:rFonts w:hint="eastAsia" w:ascii="宋体" w:hAnsi="宋体" w:eastAsia="宋体" w:cs="宋体"/>
              </w:rPr>
            </w:pPr>
            <w:r>
              <w:rPr>
                <w:rFonts w:hint="eastAsia" w:ascii="宋体" w:hAnsi="宋体" w:eastAsia="宋体" w:cs="宋体"/>
                <w:b w:val="0"/>
                <w:sz w:val="21"/>
              </w:rPr>
              <w:t>联系概念、数据与方法</w:t>
            </w:r>
          </w:p>
        </w:tc>
        <w:tc>
          <w:tcPr>
            <w:tcW w:w="2593" w:type="dxa"/>
            <w:vAlign w:val="center"/>
          </w:tcPr>
          <w:p w14:paraId="787D0A0B">
            <w:pPr>
              <w:spacing w:before="0" w:after="0" w:line="240" w:lineRule="auto"/>
              <w:ind w:firstLine="0"/>
              <w:rPr>
                <w:rFonts w:hint="eastAsia" w:ascii="宋体" w:hAnsi="宋体" w:eastAsia="宋体" w:cs="宋体"/>
              </w:rPr>
            </w:pPr>
            <w:r>
              <w:rPr>
                <w:rFonts w:hint="eastAsia" w:ascii="宋体" w:hAnsi="宋体" w:eastAsia="宋体" w:cs="宋体"/>
                <w:b w:val="0"/>
                <w:sz w:val="21"/>
              </w:rPr>
              <w:t>诊断基础，按需补充资源</w:t>
            </w:r>
          </w:p>
        </w:tc>
        <w:tc>
          <w:tcPr>
            <w:tcW w:w="3845" w:type="dxa"/>
            <w:vAlign w:val="center"/>
          </w:tcPr>
          <w:p w14:paraId="33AD9B17">
            <w:pPr>
              <w:spacing w:before="0" w:after="0" w:line="240" w:lineRule="auto"/>
              <w:ind w:firstLine="0"/>
              <w:rPr>
                <w:rFonts w:hint="eastAsia" w:ascii="宋体" w:hAnsi="宋体" w:eastAsia="宋体" w:cs="宋体"/>
              </w:rPr>
            </w:pPr>
            <w:r>
              <w:rPr>
                <w:rFonts w:hint="eastAsia" w:ascii="宋体" w:hAnsi="宋体" w:eastAsia="宋体" w:cs="宋体"/>
                <w:b w:val="0"/>
                <w:sz w:val="21"/>
              </w:rPr>
              <w:t>能否解释原理并用于分析问题</w:t>
            </w:r>
          </w:p>
        </w:tc>
      </w:tr>
      <w:tr w14:paraId="23CEC245">
        <w:tblPrEx>
          <w:tblCellMar>
            <w:top w:w="95" w:type="dxa"/>
            <w:left w:w="75" w:type="dxa"/>
            <w:bottom w:w="95" w:type="dxa"/>
            <w:right w:w="75" w:type="dxa"/>
          </w:tblCellMar>
        </w:tblPrEx>
        <w:trPr>
          <w:cantSplit/>
        </w:trPr>
        <w:tc>
          <w:tcPr>
            <w:tcW w:w="792" w:type="dxa"/>
            <w:vAlign w:val="center"/>
          </w:tcPr>
          <w:p w14:paraId="52FA1AA2">
            <w:pPr>
              <w:spacing w:before="0" w:after="0" w:line="240" w:lineRule="auto"/>
              <w:ind w:firstLine="0"/>
              <w:rPr>
                <w:rFonts w:hint="eastAsia" w:ascii="宋体" w:hAnsi="宋体" w:eastAsia="宋体" w:cs="宋体"/>
              </w:rPr>
            </w:pPr>
            <w:r>
              <w:rPr>
                <w:rFonts w:hint="eastAsia" w:ascii="宋体" w:hAnsi="宋体" w:eastAsia="宋体" w:cs="宋体"/>
                <w:b w:val="0"/>
                <w:sz w:val="21"/>
              </w:rPr>
              <w:t>目标</w:t>
            </w:r>
          </w:p>
        </w:tc>
        <w:tc>
          <w:tcPr>
            <w:tcW w:w="2375" w:type="dxa"/>
            <w:vAlign w:val="center"/>
          </w:tcPr>
          <w:p w14:paraId="5D08C2E8">
            <w:pPr>
              <w:spacing w:before="0" w:after="0" w:line="240" w:lineRule="auto"/>
              <w:ind w:firstLine="0"/>
              <w:rPr>
                <w:rFonts w:hint="eastAsia" w:ascii="宋体" w:hAnsi="宋体" w:eastAsia="宋体" w:cs="宋体"/>
              </w:rPr>
            </w:pPr>
            <w:r>
              <w:rPr>
                <w:rFonts w:hint="eastAsia" w:ascii="宋体" w:hAnsi="宋体" w:eastAsia="宋体" w:cs="宋体"/>
                <w:b w:val="0"/>
                <w:sz w:val="21"/>
              </w:rPr>
              <w:t>理解需求与成功标准</w:t>
            </w:r>
          </w:p>
        </w:tc>
        <w:tc>
          <w:tcPr>
            <w:tcW w:w="2593" w:type="dxa"/>
            <w:vAlign w:val="center"/>
          </w:tcPr>
          <w:p w14:paraId="39D5B58B">
            <w:pPr>
              <w:spacing w:before="0" w:after="0" w:line="240" w:lineRule="auto"/>
              <w:ind w:firstLine="0"/>
              <w:rPr>
                <w:rFonts w:hint="eastAsia" w:ascii="宋体" w:hAnsi="宋体" w:eastAsia="宋体" w:cs="宋体"/>
              </w:rPr>
            </w:pPr>
            <w:r>
              <w:rPr>
                <w:rFonts w:hint="eastAsia" w:ascii="宋体" w:hAnsi="宋体" w:eastAsia="宋体" w:cs="宋体"/>
                <w:b w:val="0"/>
                <w:sz w:val="21"/>
              </w:rPr>
              <w:t>协调课程要求、项目需求与学情</w:t>
            </w:r>
          </w:p>
        </w:tc>
        <w:tc>
          <w:tcPr>
            <w:tcW w:w="3845" w:type="dxa"/>
            <w:vAlign w:val="center"/>
          </w:tcPr>
          <w:p w14:paraId="5A5E3936">
            <w:pPr>
              <w:spacing w:before="0" w:after="0" w:line="240" w:lineRule="auto"/>
              <w:ind w:firstLine="0"/>
              <w:rPr>
                <w:rFonts w:hint="eastAsia" w:ascii="宋体" w:hAnsi="宋体" w:eastAsia="宋体" w:cs="宋体"/>
              </w:rPr>
            </w:pPr>
            <w:r>
              <w:rPr>
                <w:rFonts w:hint="eastAsia" w:ascii="宋体" w:hAnsi="宋体" w:eastAsia="宋体" w:cs="宋体"/>
                <w:b w:val="0"/>
                <w:sz w:val="21"/>
              </w:rPr>
              <w:t>能否说明要解决什么、如何判断达成</w:t>
            </w:r>
          </w:p>
        </w:tc>
      </w:tr>
      <w:tr w14:paraId="76A887F0">
        <w:tblPrEx>
          <w:tblCellMar>
            <w:top w:w="95" w:type="dxa"/>
            <w:left w:w="75" w:type="dxa"/>
            <w:bottom w:w="95" w:type="dxa"/>
            <w:right w:w="75" w:type="dxa"/>
          </w:tblCellMar>
        </w:tblPrEx>
        <w:trPr>
          <w:cantSplit/>
        </w:trPr>
        <w:tc>
          <w:tcPr>
            <w:tcW w:w="792" w:type="dxa"/>
            <w:vAlign w:val="center"/>
          </w:tcPr>
          <w:p w14:paraId="25A86B94">
            <w:pPr>
              <w:spacing w:before="0" w:after="0" w:line="240" w:lineRule="auto"/>
              <w:ind w:firstLine="0"/>
              <w:rPr>
                <w:rFonts w:hint="eastAsia" w:ascii="宋体" w:hAnsi="宋体" w:eastAsia="宋体" w:cs="宋体"/>
              </w:rPr>
            </w:pPr>
            <w:r>
              <w:rPr>
                <w:rFonts w:hint="eastAsia" w:ascii="宋体" w:hAnsi="宋体" w:eastAsia="宋体" w:cs="宋体"/>
                <w:b w:val="0"/>
                <w:sz w:val="21"/>
              </w:rPr>
              <w:t>方案</w:t>
            </w:r>
          </w:p>
        </w:tc>
        <w:tc>
          <w:tcPr>
            <w:tcW w:w="2375" w:type="dxa"/>
            <w:vAlign w:val="center"/>
          </w:tcPr>
          <w:p w14:paraId="77398BAA">
            <w:pPr>
              <w:spacing w:before="0" w:after="0" w:line="240" w:lineRule="auto"/>
              <w:ind w:firstLine="0"/>
              <w:rPr>
                <w:rFonts w:hint="eastAsia" w:ascii="宋体" w:hAnsi="宋体" w:eastAsia="宋体" w:cs="宋体"/>
              </w:rPr>
            </w:pPr>
            <w:r>
              <w:rPr>
                <w:rFonts w:hint="eastAsia" w:ascii="宋体" w:hAnsi="宋体" w:eastAsia="宋体" w:cs="宋体"/>
                <w:b w:val="0"/>
                <w:sz w:val="21"/>
              </w:rPr>
              <w:t>生成思路，比较选择，规划验证</w:t>
            </w:r>
          </w:p>
        </w:tc>
        <w:tc>
          <w:tcPr>
            <w:tcW w:w="2593" w:type="dxa"/>
            <w:vAlign w:val="center"/>
          </w:tcPr>
          <w:p w14:paraId="0EFFAF9B">
            <w:pPr>
              <w:spacing w:before="0" w:after="0" w:line="240" w:lineRule="auto"/>
              <w:ind w:firstLine="0"/>
              <w:rPr>
                <w:rFonts w:hint="eastAsia" w:ascii="宋体" w:hAnsi="宋体" w:eastAsia="宋体" w:cs="宋体"/>
              </w:rPr>
            </w:pPr>
            <w:r>
              <w:rPr>
                <w:rFonts w:hint="eastAsia" w:ascii="宋体" w:hAnsi="宋体" w:eastAsia="宋体" w:cs="宋体"/>
                <w:b w:val="0"/>
                <w:sz w:val="21"/>
              </w:rPr>
              <w:t>追问依据，提示约束与替代思路</w:t>
            </w:r>
          </w:p>
        </w:tc>
        <w:tc>
          <w:tcPr>
            <w:tcW w:w="3845" w:type="dxa"/>
            <w:vAlign w:val="center"/>
          </w:tcPr>
          <w:p w14:paraId="0868970F">
            <w:pPr>
              <w:spacing w:before="0" w:after="0" w:line="240" w:lineRule="auto"/>
              <w:ind w:firstLine="0"/>
              <w:rPr>
                <w:rFonts w:hint="eastAsia" w:ascii="宋体" w:hAnsi="宋体" w:eastAsia="宋体" w:cs="宋体"/>
              </w:rPr>
            </w:pPr>
            <w:r>
              <w:rPr>
                <w:rFonts w:hint="eastAsia" w:ascii="宋体" w:hAnsi="宋体" w:eastAsia="宋体" w:cs="宋体"/>
                <w:b w:val="0"/>
                <w:sz w:val="21"/>
              </w:rPr>
              <w:t>方案是否回应需求，选择是否有据</w:t>
            </w:r>
          </w:p>
        </w:tc>
      </w:tr>
      <w:tr w14:paraId="74BB409D">
        <w:tblPrEx>
          <w:tblCellMar>
            <w:top w:w="95" w:type="dxa"/>
            <w:left w:w="75" w:type="dxa"/>
            <w:bottom w:w="95" w:type="dxa"/>
            <w:right w:w="75" w:type="dxa"/>
          </w:tblCellMar>
        </w:tblPrEx>
        <w:trPr>
          <w:cantSplit/>
        </w:trPr>
        <w:tc>
          <w:tcPr>
            <w:tcW w:w="792" w:type="dxa"/>
            <w:vAlign w:val="center"/>
          </w:tcPr>
          <w:p w14:paraId="2772C5CC">
            <w:pPr>
              <w:spacing w:before="0" w:after="0" w:line="240" w:lineRule="auto"/>
              <w:ind w:firstLine="0"/>
              <w:rPr>
                <w:rFonts w:hint="eastAsia" w:ascii="宋体" w:hAnsi="宋体" w:eastAsia="宋体" w:cs="宋体"/>
              </w:rPr>
            </w:pPr>
            <w:r>
              <w:rPr>
                <w:rFonts w:hint="eastAsia" w:ascii="宋体" w:hAnsi="宋体" w:eastAsia="宋体" w:cs="宋体"/>
                <w:b w:val="0"/>
                <w:sz w:val="21"/>
              </w:rPr>
              <w:t>实践</w:t>
            </w:r>
          </w:p>
        </w:tc>
        <w:tc>
          <w:tcPr>
            <w:tcW w:w="2375" w:type="dxa"/>
            <w:vAlign w:val="center"/>
          </w:tcPr>
          <w:p w14:paraId="226F2863">
            <w:pPr>
              <w:spacing w:before="0" w:after="0" w:line="240" w:lineRule="auto"/>
              <w:ind w:firstLine="0"/>
              <w:rPr>
                <w:rFonts w:hint="eastAsia" w:ascii="宋体" w:hAnsi="宋体" w:eastAsia="宋体" w:cs="宋体"/>
              </w:rPr>
            </w:pPr>
            <w:r>
              <w:rPr>
                <w:rFonts w:hint="eastAsia" w:ascii="宋体" w:hAnsi="宋体" w:eastAsia="宋体" w:cs="宋体"/>
                <w:b w:val="0"/>
                <w:sz w:val="21"/>
              </w:rPr>
              <w:t>调查、试验或试行，记录并调整</w:t>
            </w:r>
          </w:p>
        </w:tc>
        <w:tc>
          <w:tcPr>
            <w:tcW w:w="2593" w:type="dxa"/>
            <w:vAlign w:val="center"/>
          </w:tcPr>
          <w:p w14:paraId="1FC96BCB">
            <w:pPr>
              <w:spacing w:before="0" w:after="0" w:line="240" w:lineRule="auto"/>
              <w:ind w:firstLine="0"/>
              <w:rPr>
                <w:rFonts w:hint="eastAsia" w:ascii="宋体" w:hAnsi="宋体" w:eastAsia="宋体" w:cs="宋体"/>
              </w:rPr>
            </w:pPr>
            <w:r>
              <w:rPr>
                <w:rFonts w:hint="eastAsia" w:ascii="宋体" w:hAnsi="宋体" w:eastAsia="宋体" w:cs="宋体"/>
                <w:b w:val="0"/>
                <w:sz w:val="21"/>
              </w:rPr>
              <w:t>保障条件，指导方法，支持合作</w:t>
            </w:r>
          </w:p>
        </w:tc>
        <w:tc>
          <w:tcPr>
            <w:tcW w:w="3845" w:type="dxa"/>
            <w:vAlign w:val="center"/>
          </w:tcPr>
          <w:p w14:paraId="0DDA9C85">
            <w:pPr>
              <w:spacing w:before="0" w:after="0" w:line="240" w:lineRule="auto"/>
              <w:ind w:firstLine="0"/>
              <w:rPr>
                <w:rFonts w:hint="eastAsia" w:ascii="宋体" w:hAnsi="宋体" w:eastAsia="宋体" w:cs="宋体"/>
              </w:rPr>
            </w:pPr>
            <w:r>
              <w:rPr>
                <w:rFonts w:hint="eastAsia" w:ascii="宋体" w:hAnsi="宋体" w:eastAsia="宋体" w:cs="宋体"/>
                <w:b w:val="0"/>
                <w:sz w:val="21"/>
              </w:rPr>
              <w:t>记录是否可靠，验证是否回应问题</w:t>
            </w:r>
          </w:p>
        </w:tc>
      </w:tr>
      <w:tr w14:paraId="3C4961CC">
        <w:tblPrEx>
          <w:tblCellMar>
            <w:top w:w="95" w:type="dxa"/>
            <w:left w:w="75" w:type="dxa"/>
            <w:bottom w:w="95" w:type="dxa"/>
            <w:right w:w="75" w:type="dxa"/>
          </w:tblCellMar>
        </w:tblPrEx>
        <w:trPr>
          <w:cantSplit/>
        </w:trPr>
        <w:tc>
          <w:tcPr>
            <w:tcW w:w="792" w:type="dxa"/>
            <w:tcBorders>
              <w:bottom w:val="single" w:color="000000" w:sz="8" w:space="0"/>
            </w:tcBorders>
            <w:vAlign w:val="center"/>
          </w:tcPr>
          <w:p w14:paraId="0DDB88FC">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评价</w:t>
            </w:r>
          </w:p>
        </w:tc>
        <w:tc>
          <w:tcPr>
            <w:tcW w:w="2375" w:type="dxa"/>
            <w:tcBorders>
              <w:bottom w:val="single" w:color="000000" w:sz="8" w:space="0"/>
            </w:tcBorders>
            <w:vAlign w:val="center"/>
          </w:tcPr>
          <w:p w14:paraId="218CE223">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核查证据，回应质询，修订反思</w:t>
            </w:r>
          </w:p>
        </w:tc>
        <w:tc>
          <w:tcPr>
            <w:tcW w:w="2593" w:type="dxa"/>
            <w:tcBorders>
              <w:bottom w:val="single" w:color="000000" w:sz="8" w:space="0"/>
            </w:tcBorders>
            <w:vAlign w:val="center"/>
          </w:tcPr>
          <w:p w14:paraId="2AF4422D">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反馈具体差距，考察再次表现</w:t>
            </w:r>
          </w:p>
        </w:tc>
        <w:tc>
          <w:tcPr>
            <w:tcW w:w="3845" w:type="dxa"/>
            <w:tcBorders>
              <w:bottom w:val="single" w:color="000000" w:sz="8" w:space="0"/>
            </w:tcBorders>
            <w:vAlign w:val="center"/>
          </w:tcPr>
          <w:p w14:paraId="4AE2C87D">
            <w:pPr>
              <w:keepNext/>
              <w:spacing w:before="0" w:after="0" w:line="240" w:lineRule="auto"/>
              <w:ind w:firstLine="0"/>
              <w:rPr>
                <w:rFonts w:hint="eastAsia" w:ascii="宋体" w:hAnsi="宋体" w:eastAsia="宋体" w:cs="宋体"/>
              </w:rPr>
            </w:pPr>
            <w:r>
              <w:rPr>
                <w:rFonts w:hint="eastAsia" w:ascii="宋体" w:hAnsi="宋体" w:eastAsia="宋体" w:cs="宋体"/>
                <w:b w:val="0"/>
                <w:sz w:val="21"/>
              </w:rPr>
              <w:t>修订是否有依据，改进能否得到检验</w:t>
            </w:r>
          </w:p>
        </w:tc>
      </w:tr>
    </w:tbl>
    <w:p w14:paraId="5100FDA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资料来源：本研究结合文献[1—2][9—10]编制。</w:t>
      </w:r>
    </w:p>
    <w:p w14:paraId="35C9480C">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以数据支撑双语节水方案</w:t>
      </w:r>
    </w:p>
    <w:p w14:paraId="3388C88F">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水足迹”项目中，学生先记录家庭直接用水，分类整理数据，再确定需要改进的用水环节，形成双语节水方案。方案初稿列出缩短淋浴时间、收集冷水再利用等建议；同伴和教师进一步追问再利用的具体用途、淋浴时长及建议的数据依据，学生据此补充行动细节[11]。知识由统计与解释进入方案形成，实践与评价又使方案不断具体化，呈现了五要素的相互联系。</w:t>
      </w:r>
    </w:p>
    <w:p w14:paraId="1B3CB49F">
      <w:pPr>
        <w:keepNext/>
        <w:jc w:val="both"/>
        <w:rPr>
          <w:rFonts w:hint="eastAsia" w:ascii="宋体" w:hAnsi="宋体" w:eastAsia="宋体" w:cs="宋体"/>
        </w:rPr>
      </w:pPr>
      <w:r>
        <w:rPr>
          <w:rFonts w:hint="eastAsia" w:ascii="宋体" w:hAnsi="宋体" w:eastAsia="宋体" w:cs="宋体"/>
        </w:rPr>
        <w:drawing>
          <wp:inline distT="0" distB="0" distL="0" distR="0">
            <wp:extent cx="4688205" cy="2672715"/>
            <wp:effectExtent l="0" t="0" r="7620" b="381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0"/>
                    <a:stretch>
                      <a:fillRect/>
                    </a:stretch>
                  </pic:blipFill>
                  <pic:spPr>
                    <a:xfrm>
                      <a:off x="0" y="0"/>
                      <a:ext cx="4688205" cy="2672715"/>
                    </a:xfrm>
                    <a:prstGeom prst="rect">
                      <a:avLst/>
                    </a:prstGeom>
                    <a:noFill/>
                  </pic:spPr>
                </pic:pic>
              </a:graphicData>
            </a:graphic>
          </wp:inline>
        </w:drawing>
      </w:r>
    </w:p>
    <w:p w14:paraId="7FCD72A8">
      <w:pPr>
        <w:spacing w:line="240" w:lineRule="auto"/>
        <w:ind w:firstLine="0"/>
        <w:jc w:val="center"/>
        <w:rPr>
          <w:rFonts w:hint="eastAsia" w:ascii="宋体" w:hAnsi="宋体" w:eastAsia="宋体" w:cs="宋体"/>
        </w:rPr>
      </w:pPr>
      <w:r>
        <w:rPr>
          <w:rFonts w:hint="eastAsia" w:ascii="宋体" w:hAnsi="宋体" w:eastAsia="宋体" w:cs="宋体"/>
          <w:b w:val="0"/>
          <w:sz w:val="21"/>
        </w:rPr>
        <w:t>图3-28  两类科创项目的初始方案</w:t>
      </w:r>
    </w:p>
    <w:p w14:paraId="219FC50A">
      <w:pPr>
        <w:pageBreakBefore w:val="0"/>
        <w:overflowPunct w:val="0"/>
        <w:bidi w:val="0"/>
        <w:spacing w:before="0" w:after="0" w:line="360" w:lineRule="auto"/>
        <w:ind w:firstLineChars="200"/>
        <w:jc w:val="both"/>
        <w:textAlignment w:val="auto"/>
        <w:rPr>
          <w:rFonts w:hint="eastAsia" w:ascii="宋体" w:hAnsi="宋体" w:eastAsia="宋体" w:cs="宋体"/>
          <w:b w:val="0"/>
          <w:sz w:val="24"/>
        </w:rPr>
      </w:pPr>
      <w:r>
        <w:rPr>
          <w:rFonts w:hint="eastAsia" w:ascii="宋体" w:hAnsi="宋体" w:eastAsia="宋体" w:cs="宋体"/>
          <w:b w:val="0"/>
          <w:sz w:val="24"/>
        </w:rPr>
        <w:t>图3-29  左侧方案保留问题陈述、两项建议和预期效果估算，说明学生已尝试将问题、措施与结果联系起来。其“每天节水20升”属于学生预估，尚须说明依据并经实际记录检验。右侧机械臂初始草图仅以水平直线连接抓取点与投放点，设计考虑集中于路线短、搬运快，教师批注则指出缺少抬升和空间约束。两份初稿都使尚不充分的设计依据得到呈现，为后续反馈提供了具体对象。</w:t>
      </w:r>
    </w:p>
    <w:p w14:paraId="1043878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在“机械臂路径规划”项目中，学生需要至少设计两套路径，通过运行观察和记录比较方案。案例任务以安全为前提，同时考虑顺序、点位与效率；因此，方案的价值不仅在于表达构思，更在于事先明确需要检验的假设，例如减少点位是否会增加碰撞风险。图3-29右侧的初始草图及后续故障记录，能够具体说明“方案—实践—评价”的联系。学生是否已经作出合理权衡，还需结合完整的对照实测和选择理由判断。</w:t>
      </w:r>
    </w:p>
    <w:p w14:paraId="44BA1AB1">
      <w:pPr>
        <w:pStyle w:val="4"/>
        <w:keepNext/>
        <w:spacing w:before="280" w:after="280"/>
        <w:ind w:firstLine="0" w:firstLineChars="0"/>
        <w:outlineLvl w:val="9"/>
        <w:rPr>
          <w:rFonts w:hint="eastAsia" w:ascii="宋体" w:hAnsi="宋体" w:eastAsia="宋体" w:cs="宋体"/>
        </w:rPr>
      </w:pPr>
      <w:r>
        <w:rPr>
          <w:rFonts w:hint="eastAsia" w:ascii="宋体" w:hAnsi="宋体" w:eastAsia="宋体" w:cs="宋体"/>
          <w:b/>
          <w:color w:val="C00000"/>
          <w:sz w:val="28"/>
        </w:rPr>
        <w:t>案例分析　以系统方案连接使用需求与技术实现</w:t>
      </w:r>
    </w:p>
    <w:p w14:paraId="3673D79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TOF导盲辅助系统项目将视障者对障碍物空间信息的感知需要转化为技术设计问题。案例通过调研比较不同导盲方式，再提出深度数据采集、主控处理与多电机触觉反馈相结合的方案。这里的“方案”不仅说明采用何种器件，还需交代信息如何从环境进入系统、如何转换为使用者能够辨认的信号，使知识、需求与实践形成可追问的联系。</w:t>
      </w:r>
    </w:p>
    <w:p w14:paraId="127CFE53">
      <w:pPr>
        <w:keepNext/>
        <w:jc w:val="center"/>
        <w:rPr>
          <w:rFonts w:hint="eastAsia" w:ascii="宋体" w:hAnsi="宋体" w:eastAsia="宋体" w:cs="宋体"/>
        </w:rPr>
      </w:pPr>
      <w:r>
        <w:rPr>
          <w:rFonts w:hint="eastAsia" w:ascii="宋体" w:hAnsi="宋体" w:eastAsia="宋体" w:cs="宋体"/>
        </w:rPr>
        <w:drawing>
          <wp:inline distT="0" distB="0" distL="0" distR="0">
            <wp:extent cx="4578985" cy="2576830"/>
            <wp:effectExtent l="0" t="0" r="2540" b="444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noChangeArrowheads="1"/>
                    </pic:cNvPicPr>
                  </pic:nvPicPr>
                  <pic:blipFill>
                    <a:blip r:embed="rId31"/>
                    <a:stretch>
                      <a:fillRect/>
                    </a:stretch>
                  </pic:blipFill>
                  <pic:spPr>
                    <a:xfrm>
                      <a:off x="0" y="0"/>
                      <a:ext cx="4578985" cy="2576830"/>
                    </a:xfrm>
                    <a:prstGeom prst="rect">
                      <a:avLst/>
                    </a:prstGeom>
                    <a:noFill/>
                  </pic:spPr>
                </pic:pic>
              </a:graphicData>
            </a:graphic>
          </wp:inline>
        </w:drawing>
      </w:r>
    </w:p>
    <w:p w14:paraId="60D528CF">
      <w:pPr>
        <w:spacing w:line="240" w:lineRule="auto"/>
        <w:ind w:firstLine="0"/>
        <w:jc w:val="center"/>
        <w:rPr>
          <w:rFonts w:hint="eastAsia" w:ascii="宋体" w:hAnsi="宋体" w:eastAsia="宋体" w:cs="宋体"/>
        </w:rPr>
      </w:pPr>
      <w:r>
        <w:rPr>
          <w:rFonts w:hint="eastAsia" w:ascii="宋体" w:hAnsi="宋体" w:eastAsia="宋体" w:cs="宋体"/>
          <w:b w:val="0"/>
          <w:sz w:val="21"/>
        </w:rPr>
        <w:t>图3-30  导盲辅助系统的佩戴与硬件整体方案</w:t>
      </w:r>
    </w:p>
    <w:p w14:paraId="7B8E8994">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图3-31  将相机、主控、电机驱动及前后左右四个振动电机的关系明确呈现出来，为师生讨论模块功能、方向编码与佩戴位置提供了共同参照。系统框图能够说明设计构想，但触觉信号能否被稳定理解，仍须通过测试判断。由框图进入原型，再以测试结果反查设计假设，正体现了科创场域中方案与实践相互修正的特点。</w:t>
      </w:r>
    </w:p>
    <w:p w14:paraId="7B3364F3">
      <w:pPr>
        <w:pageBreakBefore w:val="0"/>
        <w:overflowPunct w:val="0"/>
        <w:bidi w:val="0"/>
        <w:spacing w:line="360" w:lineRule="auto"/>
        <w:ind w:firstLineChars="200"/>
        <w:textAlignment w:val="auto"/>
        <w:rPr>
          <w:rFonts w:hint="eastAsia" w:ascii="宋体" w:hAnsi="宋体" w:eastAsia="宋体" w:cs="宋体"/>
          <w:sz w:val="24"/>
          <w:szCs w:val="24"/>
        </w:rPr>
      </w:pPr>
    </w:p>
    <w:p w14:paraId="54F5817F">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4" w:name="_Toc119"/>
      <w:r>
        <w:rPr>
          <w:rFonts w:hint="eastAsia" w:ascii="宋体" w:hAnsi="宋体" w:eastAsia="宋体" w:cs="宋体"/>
          <w:b w:val="0"/>
          <w:bCs/>
          <w:sz w:val="24"/>
          <w:szCs w:val="24"/>
        </w:rPr>
        <w:t>（2）可见的学习目标分析框架</w:t>
      </w:r>
      <w:bookmarkEnd w:id="84"/>
    </w:p>
    <w:p w14:paraId="7A695C10">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的目标设计需要统筹课程要求、真实需求与学生起点。课程要求确定素养方向，真实需求明确项目对象与问题，学生起点决定任务难度及支持方式。本研究据此将目标表述为学生在项目中能够完成的行动及其质量要求，并在启动时借助样例、评价量规和讨论澄清成功标准。目标还需区分成果完成与学习达成：提交一份方案能够说明任务已推进，能否解释依据、回应质疑并改进方案，才进一步反映学习质量。</w:t>
      </w:r>
    </w:p>
    <w:p w14:paraId="2C814E4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浅层、深层与迁移学习用于分析项目目标的深度[2]。浅层关注必要概念、数据与工具的理解，深层关注需求、证据与设计选择之间的联系，迁移关注条件改变后对知识和方法的重新选择。三层学习不与调查、设计、制作等项目步骤逐项对应；同一份方案也可能同时暴露基础概念的误解、论证关系的不足和新情境运用的困难。表3-41据此将三层目标落实到可观察的项目表现。</w:t>
      </w:r>
    </w:p>
    <w:p w14:paraId="45F5CB7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表3-41  科创项目三层学习目标与可观察表现</w:t>
      </w:r>
    </w:p>
    <w:tbl>
      <w:tblPr>
        <w:tblStyle w:val="12"/>
        <w:tblW w:w="8522" w:type="dxa"/>
        <w:jc w:val="center"/>
        <w:tblLayout w:type="fixed"/>
        <w:tblCellMar>
          <w:top w:w="95" w:type="dxa"/>
          <w:left w:w="75" w:type="dxa"/>
          <w:bottom w:w="95" w:type="dxa"/>
          <w:right w:w="75" w:type="dxa"/>
        </w:tblCellMar>
      </w:tblPr>
      <w:tblGrid>
        <w:gridCol w:w="1217"/>
        <w:gridCol w:w="1918"/>
        <w:gridCol w:w="3774"/>
        <w:gridCol w:w="1613"/>
      </w:tblGrid>
      <w:tr w14:paraId="0429F3F9">
        <w:tblPrEx>
          <w:tblCellMar>
            <w:top w:w="95" w:type="dxa"/>
            <w:left w:w="75" w:type="dxa"/>
            <w:bottom w:w="95" w:type="dxa"/>
            <w:right w:w="75" w:type="dxa"/>
          </w:tblCellMar>
        </w:tblPrEx>
        <w:trPr>
          <w:cantSplit/>
          <w:tblHeader/>
          <w:jc w:val="center"/>
        </w:trPr>
        <w:tc>
          <w:tcPr>
            <w:tcW w:w="1217" w:type="dxa"/>
            <w:tcBorders>
              <w:top w:val="single" w:color="000000" w:sz="12" w:space="0"/>
            </w:tcBorders>
            <w:vAlign w:val="center"/>
          </w:tcPr>
          <w:p w14:paraId="4E87F252">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学习层次</w:t>
            </w:r>
          </w:p>
        </w:tc>
        <w:tc>
          <w:tcPr>
            <w:tcW w:w="1918" w:type="dxa"/>
            <w:tcBorders>
              <w:top w:val="single" w:color="000000" w:sz="12" w:space="0"/>
            </w:tcBorders>
            <w:vAlign w:val="center"/>
          </w:tcPr>
          <w:p w14:paraId="5C3F5495">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目标设计重点</w:t>
            </w:r>
          </w:p>
        </w:tc>
        <w:tc>
          <w:tcPr>
            <w:tcW w:w="3774" w:type="dxa"/>
            <w:tcBorders>
              <w:top w:val="single" w:color="000000" w:sz="12" w:space="0"/>
            </w:tcBorders>
            <w:vAlign w:val="center"/>
          </w:tcPr>
          <w:p w14:paraId="60F2089B">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C00000"/>
                <w:sz w:val="21"/>
              </w:rPr>
              <w:t>三类项目的表现示例</w:t>
            </w:r>
          </w:p>
        </w:tc>
        <w:tc>
          <w:tcPr>
            <w:tcW w:w="1613" w:type="dxa"/>
            <w:tcBorders>
              <w:top w:val="single" w:color="000000" w:sz="12" w:space="0"/>
            </w:tcBorders>
            <w:vAlign w:val="center"/>
          </w:tcPr>
          <w:p w14:paraId="5DC34A57">
            <w:pPr>
              <w:keepNext/>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主要证据</w:t>
            </w:r>
          </w:p>
        </w:tc>
      </w:tr>
      <w:tr w14:paraId="1F8D0EB4">
        <w:tblPrEx>
          <w:tblCellMar>
            <w:top w:w="95" w:type="dxa"/>
            <w:left w:w="75" w:type="dxa"/>
            <w:bottom w:w="95" w:type="dxa"/>
            <w:right w:w="75" w:type="dxa"/>
          </w:tblCellMar>
        </w:tblPrEx>
        <w:trPr>
          <w:cantSplit/>
          <w:jc w:val="center"/>
        </w:trPr>
        <w:tc>
          <w:tcPr>
            <w:tcW w:w="1217" w:type="dxa"/>
            <w:tcBorders>
              <w:top w:val="single" w:color="000000" w:sz="4" w:space="0"/>
            </w:tcBorders>
            <w:vAlign w:val="center"/>
          </w:tcPr>
          <w:p w14:paraId="5D3C8635">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浅层学习</w:t>
            </w:r>
          </w:p>
        </w:tc>
        <w:tc>
          <w:tcPr>
            <w:tcW w:w="1918" w:type="dxa"/>
            <w:tcBorders>
              <w:top w:val="single" w:color="000000" w:sz="4" w:space="0"/>
            </w:tcBorders>
            <w:vAlign w:val="center"/>
          </w:tcPr>
          <w:p w14:paraId="6AC64A2A">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理解必要概念，掌握记录与表达方法</w:t>
            </w:r>
          </w:p>
        </w:tc>
        <w:tc>
          <w:tcPr>
            <w:tcW w:w="3774" w:type="dxa"/>
            <w:tcBorders>
              <w:top w:val="single" w:color="000000" w:sz="4" w:space="0"/>
            </w:tcBorders>
            <w:vAlign w:val="center"/>
          </w:tcPr>
          <w:p w14:paraId="650B1DB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区分直接用水与虚拟水，规范记录；理解点位与顺序，完成设备自检</w:t>
            </w:r>
            <w:r>
              <w:rPr>
                <w:rFonts w:hint="eastAsia" w:ascii="宋体" w:hAnsi="宋体" w:eastAsia="宋体" w:cs="宋体"/>
                <w:color w:val="C00000"/>
                <w:sz w:val="21"/>
              </w:rPr>
              <w:t>；认识TOF测距与电机反馈的基本功能</w:t>
            </w:r>
          </w:p>
        </w:tc>
        <w:tc>
          <w:tcPr>
            <w:tcW w:w="1613" w:type="dxa"/>
            <w:tcBorders>
              <w:top w:val="single" w:color="000000" w:sz="4" w:space="0"/>
            </w:tcBorders>
            <w:vAlign w:val="center"/>
          </w:tcPr>
          <w:p w14:paraId="373AD20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入项作答、分类记录、概念解释</w:t>
            </w:r>
          </w:p>
        </w:tc>
      </w:tr>
      <w:tr w14:paraId="00349BBE">
        <w:tblPrEx>
          <w:tblCellMar>
            <w:top w:w="95" w:type="dxa"/>
            <w:left w:w="75" w:type="dxa"/>
            <w:bottom w:w="95" w:type="dxa"/>
            <w:right w:w="75" w:type="dxa"/>
          </w:tblCellMar>
        </w:tblPrEx>
        <w:trPr>
          <w:cantSplit/>
          <w:jc w:val="center"/>
        </w:trPr>
        <w:tc>
          <w:tcPr>
            <w:tcW w:w="1217" w:type="dxa"/>
            <w:vAlign w:val="center"/>
          </w:tcPr>
          <w:p w14:paraId="5B97734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深层学习</w:t>
            </w:r>
          </w:p>
        </w:tc>
        <w:tc>
          <w:tcPr>
            <w:tcW w:w="1918" w:type="dxa"/>
            <w:vAlign w:val="center"/>
          </w:tcPr>
          <w:p w14:paraId="0633A944">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sz w:val="21"/>
              </w:rPr>
              <w:t>建立问题、证据、方案选择与预期效果的联系</w:t>
            </w:r>
          </w:p>
        </w:tc>
        <w:tc>
          <w:tcPr>
            <w:tcW w:w="3774" w:type="dxa"/>
            <w:vAlign w:val="center"/>
          </w:tcPr>
          <w:p w14:paraId="5278F6B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解释节水措施的数据依据；依据运行记录比较路径，权衡安全与效率</w:t>
            </w:r>
            <w:r>
              <w:rPr>
                <w:rFonts w:hint="eastAsia" w:ascii="宋体" w:hAnsi="宋体" w:eastAsia="宋体" w:cs="宋体"/>
                <w:color w:val="C00000"/>
                <w:sz w:val="21"/>
              </w:rPr>
              <w:t>；解释深度处理与触觉编码的联系，分析系统故障</w:t>
            </w:r>
          </w:p>
        </w:tc>
        <w:tc>
          <w:tcPr>
            <w:tcW w:w="1613" w:type="dxa"/>
            <w:vAlign w:val="center"/>
          </w:tcPr>
          <w:p w14:paraId="7883FA1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数据卡、方案初稿、比较与答辩记录</w:t>
            </w:r>
          </w:p>
        </w:tc>
      </w:tr>
      <w:tr w14:paraId="313E4BE4">
        <w:tblPrEx>
          <w:tblCellMar>
            <w:top w:w="95" w:type="dxa"/>
            <w:left w:w="75" w:type="dxa"/>
            <w:bottom w:w="95" w:type="dxa"/>
            <w:right w:w="75" w:type="dxa"/>
          </w:tblCellMar>
        </w:tblPrEx>
        <w:trPr>
          <w:cantSplit/>
          <w:jc w:val="center"/>
        </w:trPr>
        <w:tc>
          <w:tcPr>
            <w:tcW w:w="1217" w:type="dxa"/>
            <w:tcBorders>
              <w:bottom w:val="single" w:color="000000" w:sz="12" w:space="0"/>
            </w:tcBorders>
            <w:vAlign w:val="center"/>
          </w:tcPr>
          <w:p w14:paraId="61A9B05D">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迁移学习</w:t>
            </w:r>
          </w:p>
        </w:tc>
        <w:tc>
          <w:tcPr>
            <w:tcW w:w="1918" w:type="dxa"/>
            <w:tcBorders>
              <w:bottom w:val="single" w:color="000000" w:sz="12" w:space="0"/>
            </w:tcBorders>
            <w:vAlign w:val="center"/>
          </w:tcPr>
          <w:p w14:paraId="580F2890">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识别条件变化，调整原有方法</w:t>
            </w:r>
          </w:p>
        </w:tc>
        <w:tc>
          <w:tcPr>
            <w:tcW w:w="3774" w:type="dxa"/>
            <w:tcBorders>
              <w:bottom w:val="single" w:color="000000" w:sz="12" w:space="0"/>
            </w:tcBorders>
            <w:vAlign w:val="center"/>
          </w:tcPr>
          <w:p w14:paraId="3DCD65A6">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在另一用水情境调整方案；在图书归架情境重新识别障碍与路径约束</w:t>
            </w:r>
            <w:r>
              <w:rPr>
                <w:rFonts w:hint="eastAsia" w:ascii="宋体" w:hAnsi="宋体" w:eastAsia="宋体" w:cs="宋体"/>
                <w:color w:val="C00000"/>
                <w:sz w:val="21"/>
              </w:rPr>
              <w:t>；在多障碍物或动态场景中检验并调整导盲方案</w:t>
            </w:r>
          </w:p>
        </w:tc>
        <w:tc>
          <w:tcPr>
            <w:tcW w:w="1613" w:type="dxa"/>
            <w:tcBorders>
              <w:bottom w:val="single" w:color="000000" w:sz="12" w:space="0"/>
            </w:tcBorders>
            <w:vAlign w:val="center"/>
          </w:tcPr>
          <w:p w14:paraId="413272C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新情境方案、试行记录、方法反思</w:t>
            </w:r>
          </w:p>
        </w:tc>
      </w:tr>
    </w:tbl>
    <w:p w14:paraId="74123105">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七维高阶能力通过上述表现进入目标设计。分析体现为辨识问题及数据关系，评价体现为核查证据、比较措施与审查效果估算，创造体现为整合条件形成并改进方案；责任担当、情绪调节、合作共情与包容创新，则在分工履行、受阻调整、协商取舍和尝试新方法中观察。各项目依据任务需要确定重点，避免将七个维度平均分配给每项活动。</w:t>
      </w:r>
    </w:p>
    <w:p w14:paraId="29C45190">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从行为倡议转向有依据的项目目标</w:t>
      </w:r>
    </w:p>
    <w:p w14:paraId="4AE6FCF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案例入项记录显示，部分学生的个人目标停留于节约用水及带动他人的一般倡议，尚未明确数据与论证要求。项目将目标进一步落实为记录个人用水、解释数据发现、提出与问题匹配的双语建议，并在真实听众的质询中修订。这一调整回应了前测中方案生成和反思不足的问题，也使教师能够判断学生究竟缺少概念、数据处理方法，还是由证据形成建议的能力。</w:t>
      </w:r>
    </w:p>
    <w:p w14:paraId="4BD5EFC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机械臂路径规划”案例将设备能否运行转化为更具体的学习标准：在安全前提下说明路径选择的依据，并能够分析故障、调整点位。基础操作属于必要的学习条件，方案比较及约束权衡才进一步涉及分析、评价与创造。表3-41据此将两类项目置于共同的三层学习框架中，不把原案例“基础—高阶”的目标分类直接等同于浅层、深层与迁移三个层次。</w:t>
      </w:r>
    </w:p>
    <w:p w14:paraId="4C043D35">
      <w:pPr>
        <w:pStyle w:val="4"/>
        <w:keepNext/>
        <w:spacing w:before="280" w:after="280"/>
        <w:ind w:firstLine="0" w:firstLineChars="0"/>
        <w:outlineLvl w:val="9"/>
        <w:rPr>
          <w:rFonts w:hint="eastAsia" w:ascii="宋体" w:hAnsi="宋体" w:eastAsia="宋体" w:cs="宋体"/>
        </w:rPr>
      </w:pPr>
      <w:r>
        <w:rPr>
          <w:rFonts w:hint="eastAsia" w:ascii="宋体" w:hAnsi="宋体" w:eastAsia="宋体" w:cs="宋体"/>
          <w:b/>
          <w:color w:val="C00000"/>
          <w:sz w:val="28"/>
        </w:rPr>
        <w:t>案例分析　从功能实现转向可解释、可检验的学习目标</w:t>
      </w:r>
    </w:p>
    <w:p w14:paraId="6E53A0AA">
      <w:pPr>
        <w:spacing w:before="0" w:after="0" w:line="360" w:lineRule="auto"/>
        <w:ind w:firstLine="480"/>
        <w:jc w:val="both"/>
        <w:rPr>
          <w:rFonts w:hint="eastAsia" w:ascii="宋体" w:hAnsi="宋体" w:eastAsia="宋体" w:cs="宋体"/>
        </w:rPr>
      </w:pPr>
      <w:r>
        <w:rPr>
          <w:rFonts w:hint="eastAsia" w:ascii="宋体" w:hAnsi="宋体" w:eastAsia="宋体" w:cs="宋体"/>
          <w:b w:val="0"/>
          <w:color w:val="C00000"/>
          <w:sz w:val="24"/>
        </w:rPr>
        <w:t>TOF案例将目标落实为器件功能解释、系统框图绘制、故障定位、测试分析与改良论证等可观察表现。据此，浅层学习关注学生是否理解测距、通信及振动反馈的基本功能；深层学习关注是否能够解释各模块的关系，并用记录分析延迟、漏检和佩戴问题；迁移学习则关注条件变化后能否调整测试方法、算法或编码策略。原案例中的层级名称在本研究中按任务认知要求重新分析，不把完成制作、发现缺陷或撰写论文直接等同于迁移。</w:t>
      </w:r>
    </w:p>
    <w:p w14:paraId="4870C5B2">
      <w:pPr>
        <w:spacing w:before="0" w:after="0" w:line="360" w:lineRule="auto"/>
        <w:ind w:firstLine="480"/>
        <w:jc w:val="both"/>
        <w:rPr>
          <w:rFonts w:hint="eastAsia" w:ascii="宋体" w:hAnsi="宋体" w:eastAsia="宋体" w:cs="宋体"/>
          <w:sz w:val="24"/>
          <w:szCs w:val="24"/>
        </w:rPr>
      </w:pPr>
      <w:r>
        <w:rPr>
          <w:rFonts w:hint="eastAsia" w:ascii="宋体" w:hAnsi="宋体" w:eastAsia="宋体" w:cs="宋体"/>
          <w:b w:val="0"/>
          <w:color w:val="C00000"/>
          <w:sz w:val="24"/>
        </w:rPr>
        <w:t>项目的社会责任要求也需转化为具体标准：能否把使用者的辨识与佩戴需要纳入方案，是否如实报告局限，是否避免超出测试依据的功能承诺。这些表现与分析、评价、创造发生于同一任务，但不能由项目具有助盲主题便认定学生已具备相应能力。教师应借助目标与样例，让学生明确技术完成度、学习质量和使用价值之间的区别。</w:t>
      </w:r>
    </w:p>
    <w:p w14:paraId="1A26588E">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5" w:name="_Toc1215"/>
      <w:r>
        <w:rPr>
          <w:rFonts w:hint="eastAsia" w:ascii="宋体" w:hAnsi="宋体" w:eastAsia="宋体" w:cs="宋体"/>
          <w:b w:val="0"/>
          <w:bCs/>
          <w:sz w:val="24"/>
          <w:szCs w:val="24"/>
        </w:rPr>
        <w:t>（3）可见的学习内容分析框架</w:t>
      </w:r>
      <w:bookmarkEnd w:id="85"/>
    </w:p>
    <w:p w14:paraId="49AC482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教育的内容围绕问题解决的实际需要组织。在明确问题后，学生逐步识别需要哪些知识、证据与方法，教师据此提供资源，并在探究受阻时补充必要学习。跨学科联系应具有具体作用：统计用于处理记录，科学知识用于解释现象和判断措施，语言用于说明依据和面向对象交流。内容整合的质量由这些知识是否共同支持问题分析与方案形成来判断。</w:t>
      </w:r>
    </w:p>
    <w:p w14:paraId="7FED1C6A">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表3-42  科创项目三层学习的内容组织与任务设计</w:t>
      </w:r>
    </w:p>
    <w:tbl>
      <w:tblPr>
        <w:tblStyle w:val="12"/>
        <w:tblW w:w="8522" w:type="dxa"/>
        <w:jc w:val="center"/>
        <w:tblLayout w:type="fixed"/>
        <w:tblCellMar>
          <w:top w:w="95" w:type="dxa"/>
          <w:left w:w="75" w:type="dxa"/>
          <w:bottom w:w="95" w:type="dxa"/>
          <w:right w:w="75" w:type="dxa"/>
        </w:tblCellMar>
      </w:tblPr>
      <w:tblGrid>
        <w:gridCol w:w="1235"/>
        <w:gridCol w:w="2477"/>
        <w:gridCol w:w="2475"/>
        <w:gridCol w:w="2335"/>
      </w:tblGrid>
      <w:tr w14:paraId="172E323D">
        <w:tblPrEx>
          <w:tblCellMar>
            <w:top w:w="95" w:type="dxa"/>
            <w:left w:w="75" w:type="dxa"/>
            <w:bottom w:w="95" w:type="dxa"/>
            <w:right w:w="75" w:type="dxa"/>
          </w:tblCellMar>
        </w:tblPrEx>
        <w:trPr>
          <w:cantSplit/>
          <w:tblHeader/>
          <w:jc w:val="center"/>
        </w:trPr>
        <w:tc>
          <w:tcPr>
            <w:tcW w:w="1235" w:type="dxa"/>
            <w:tcBorders>
              <w:top w:val="single" w:color="000000" w:sz="12" w:space="0"/>
            </w:tcBorders>
            <w:vAlign w:val="center"/>
          </w:tcPr>
          <w:p w14:paraId="7AE731D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学习层次</w:t>
            </w:r>
          </w:p>
        </w:tc>
        <w:tc>
          <w:tcPr>
            <w:tcW w:w="2477" w:type="dxa"/>
            <w:tcBorders>
              <w:top w:val="single" w:color="000000" w:sz="12" w:space="0"/>
            </w:tcBorders>
            <w:vAlign w:val="center"/>
          </w:tcPr>
          <w:p w14:paraId="1FE15BCE">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内容组织重点</w:t>
            </w:r>
          </w:p>
        </w:tc>
        <w:tc>
          <w:tcPr>
            <w:tcW w:w="2475" w:type="dxa"/>
            <w:tcBorders>
              <w:top w:val="single" w:color="000000" w:sz="12" w:space="0"/>
            </w:tcBorders>
            <w:vAlign w:val="center"/>
          </w:tcPr>
          <w:p w14:paraId="0E33FB7C">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任务安排</w:t>
            </w:r>
          </w:p>
        </w:tc>
        <w:tc>
          <w:tcPr>
            <w:tcW w:w="2335" w:type="dxa"/>
            <w:tcBorders>
              <w:top w:val="single" w:color="000000" w:sz="12" w:space="0"/>
            </w:tcBorders>
            <w:vAlign w:val="center"/>
          </w:tcPr>
          <w:p w14:paraId="161DE990">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观察重点</w:t>
            </w:r>
          </w:p>
        </w:tc>
      </w:tr>
      <w:tr w14:paraId="698EE0F8">
        <w:tblPrEx>
          <w:tblCellMar>
            <w:top w:w="95" w:type="dxa"/>
            <w:left w:w="75" w:type="dxa"/>
            <w:bottom w:w="95" w:type="dxa"/>
            <w:right w:w="75" w:type="dxa"/>
          </w:tblCellMar>
        </w:tblPrEx>
        <w:trPr>
          <w:cantSplit/>
          <w:jc w:val="center"/>
        </w:trPr>
        <w:tc>
          <w:tcPr>
            <w:tcW w:w="1235" w:type="dxa"/>
            <w:tcBorders>
              <w:top w:val="single" w:color="000000" w:sz="4" w:space="0"/>
            </w:tcBorders>
            <w:vAlign w:val="center"/>
          </w:tcPr>
          <w:p w14:paraId="18E574B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浅层学习</w:t>
            </w:r>
          </w:p>
        </w:tc>
        <w:tc>
          <w:tcPr>
            <w:tcW w:w="2477" w:type="dxa"/>
            <w:tcBorders>
              <w:top w:val="single" w:color="000000" w:sz="4" w:space="0"/>
            </w:tcBorders>
            <w:vAlign w:val="center"/>
          </w:tcPr>
          <w:p w14:paraId="1A0D39A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核心概念、数据来源、工具与操作规范</w:t>
            </w:r>
          </w:p>
        </w:tc>
        <w:tc>
          <w:tcPr>
            <w:tcW w:w="2475" w:type="dxa"/>
            <w:tcBorders>
              <w:top w:val="single" w:color="000000" w:sz="4" w:space="0"/>
            </w:tcBorders>
            <w:vAlign w:val="center"/>
          </w:tcPr>
          <w:p w14:paraId="0123113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辨析实例，试填记录表，核查单位与步骤</w:t>
            </w:r>
          </w:p>
        </w:tc>
        <w:tc>
          <w:tcPr>
            <w:tcW w:w="2335" w:type="dxa"/>
            <w:tcBorders>
              <w:top w:val="single" w:color="000000" w:sz="4" w:space="0"/>
            </w:tcBorders>
            <w:vAlign w:val="center"/>
          </w:tcPr>
          <w:p w14:paraId="788F650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概念是否准确，记录是否完整</w:t>
            </w:r>
          </w:p>
        </w:tc>
      </w:tr>
      <w:tr w14:paraId="3B3A259E">
        <w:tblPrEx>
          <w:tblCellMar>
            <w:top w:w="95" w:type="dxa"/>
            <w:left w:w="75" w:type="dxa"/>
            <w:bottom w:w="95" w:type="dxa"/>
            <w:right w:w="75" w:type="dxa"/>
          </w:tblCellMar>
        </w:tblPrEx>
        <w:trPr>
          <w:cantSplit/>
          <w:jc w:val="center"/>
        </w:trPr>
        <w:tc>
          <w:tcPr>
            <w:tcW w:w="1235" w:type="dxa"/>
            <w:vAlign w:val="center"/>
          </w:tcPr>
          <w:p w14:paraId="74000FA3">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深层学习</w:t>
            </w:r>
          </w:p>
        </w:tc>
        <w:tc>
          <w:tcPr>
            <w:tcW w:w="2477" w:type="dxa"/>
            <w:vAlign w:val="center"/>
          </w:tcPr>
          <w:p w14:paraId="2F97132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变量关系、方法依据、约束及方案取舍</w:t>
            </w:r>
          </w:p>
        </w:tc>
        <w:tc>
          <w:tcPr>
            <w:tcW w:w="2475" w:type="dxa"/>
            <w:vAlign w:val="center"/>
          </w:tcPr>
          <w:p w14:paraId="52E19F3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比较数据与措施，分析原因，论证选择</w:t>
            </w:r>
          </w:p>
        </w:tc>
        <w:tc>
          <w:tcPr>
            <w:tcW w:w="2335" w:type="dxa"/>
            <w:vAlign w:val="center"/>
          </w:tcPr>
          <w:p w14:paraId="7F7915E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数据是否支持判断，方案是否满足条件</w:t>
            </w:r>
          </w:p>
        </w:tc>
      </w:tr>
      <w:tr w14:paraId="2D031925">
        <w:tblPrEx>
          <w:tblCellMar>
            <w:top w:w="95" w:type="dxa"/>
            <w:left w:w="75" w:type="dxa"/>
            <w:bottom w:w="95" w:type="dxa"/>
            <w:right w:w="75" w:type="dxa"/>
          </w:tblCellMar>
        </w:tblPrEx>
        <w:trPr>
          <w:cantSplit/>
          <w:jc w:val="center"/>
        </w:trPr>
        <w:tc>
          <w:tcPr>
            <w:tcW w:w="1235" w:type="dxa"/>
            <w:tcBorders>
              <w:bottom w:val="single" w:color="000000" w:sz="12" w:space="0"/>
            </w:tcBorders>
            <w:vAlign w:val="center"/>
          </w:tcPr>
          <w:p w14:paraId="35D3E99E">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迁移学习</w:t>
            </w:r>
          </w:p>
        </w:tc>
        <w:tc>
          <w:tcPr>
            <w:tcW w:w="2477" w:type="dxa"/>
            <w:tcBorders>
              <w:bottom w:val="single" w:color="000000" w:sz="12" w:space="0"/>
            </w:tcBorders>
            <w:vAlign w:val="center"/>
          </w:tcPr>
          <w:p w14:paraId="6BD93608">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变化需求、适用边界及必要的跨学科联系</w:t>
            </w:r>
          </w:p>
        </w:tc>
        <w:tc>
          <w:tcPr>
            <w:tcW w:w="2475" w:type="dxa"/>
            <w:tcBorders>
              <w:bottom w:val="single" w:color="000000" w:sz="12" w:space="0"/>
            </w:tcBorders>
            <w:vAlign w:val="center"/>
          </w:tcPr>
          <w:p w14:paraId="0B6D1F5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改变对象或条件，调整方案，再次验证</w:t>
            </w:r>
          </w:p>
        </w:tc>
        <w:tc>
          <w:tcPr>
            <w:tcW w:w="2335" w:type="dxa"/>
            <w:tcBorders>
              <w:bottom w:val="single" w:color="000000" w:sz="12" w:space="0"/>
            </w:tcBorders>
            <w:vAlign w:val="center"/>
          </w:tcPr>
          <w:p w14:paraId="16D2BE0E">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能否识别差异并独立调整方法</w:t>
            </w:r>
          </w:p>
        </w:tc>
      </w:tr>
    </w:tbl>
    <w:p w14:paraId="3B6664A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表3-43  承接目标框架，将三层学习转化为内容、任务与观察重点。项目推进并不意味着基础学习已经结束：当单位、分类或概念出现问题时，需要返回浅层学习补充；当建议缺少依据时，需要深化数据与措施之间的联系；当使用对象和条件改变时，则需要检验原有方法的适用性。教师据此调整资源和指导，使内容学习随项目需要不断深化。</w:t>
      </w:r>
    </w:p>
    <w:p w14:paraId="64FCB4C2">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由记录数据进入方案依据的审查</w:t>
      </w:r>
    </w:p>
    <w:p w14:paraId="61D00C71">
      <w:pPr>
        <w:keepNext/>
        <w:jc w:val="center"/>
        <w:rPr>
          <w:rFonts w:hint="eastAsia" w:ascii="宋体" w:hAnsi="宋体" w:eastAsia="宋体" w:cs="宋体"/>
        </w:rPr>
      </w:pPr>
      <w:r>
        <w:rPr>
          <w:rFonts w:hint="eastAsia" w:ascii="宋体" w:hAnsi="宋体" w:eastAsia="宋体" w:cs="宋体"/>
        </w:rPr>
        <w:drawing>
          <wp:inline distT="0" distB="0" distL="0" distR="0">
            <wp:extent cx="4509135" cy="3474085"/>
            <wp:effectExtent l="0" t="0" r="5715" b="254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2"/>
                    <a:stretch>
                      <a:fillRect/>
                    </a:stretch>
                  </pic:blipFill>
                  <pic:spPr>
                    <a:xfrm>
                      <a:off x="0" y="0"/>
                      <a:ext cx="4509135" cy="3474085"/>
                    </a:xfrm>
                    <a:prstGeom prst="rect">
                      <a:avLst/>
                    </a:prstGeom>
                    <a:noFill/>
                  </pic:spPr>
                </pic:pic>
              </a:graphicData>
            </a:graphic>
          </wp:inline>
        </w:drawing>
      </w:r>
    </w:p>
    <w:p w14:paraId="12801DCB">
      <w:pPr>
        <w:spacing w:line="240" w:lineRule="auto"/>
        <w:ind w:firstLine="0"/>
        <w:jc w:val="center"/>
        <w:rPr>
          <w:rFonts w:hint="eastAsia" w:ascii="宋体" w:hAnsi="宋体" w:eastAsia="宋体" w:cs="宋体"/>
        </w:rPr>
      </w:pPr>
      <w:r>
        <w:rPr>
          <w:rFonts w:hint="eastAsia" w:ascii="宋体" w:hAnsi="宋体" w:eastAsia="宋体" w:cs="宋体"/>
          <w:b w:val="0"/>
          <w:sz w:val="21"/>
        </w:rPr>
        <w:t>图3-32  个人直接用水分类数据卡节选</w:t>
      </w:r>
    </w:p>
    <w:p w14:paraId="46B43D93">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图3-33  将个人连续3天的直接用水记录按用途汇总。五类用水合计413.3升，其中洗漱145升，约占35.1%，在所列类别中最高；这一分类结果能够为优先讨论洗漱节水提供依据。但卡片中的英文表述将“洗漱”缩窄为淋浴，且“most”易被理解为超过一半，提示统计结果与语言解释还需核对。学生不仅要完成计算，更要判断类别、比例与结论是否对应。</w:t>
      </w:r>
    </w:p>
    <w:p w14:paraId="6B6AA51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该卡记录的是家庭直接用水，不等同于包含商品生产等隐含耗水的完整水足迹。项目可以借助“虚拟水”拓展概念理解，但不能把两类范围不同的数据混为一谈。案例另有小组方案写入约40%的占比，个人数据与小组汇总的分母亦不相同，应回到相应记录核实。将这些问题纳入讨论，有助于使数据处理、科学概念和表达准确性共同服务于方案论证。</w:t>
      </w:r>
    </w:p>
    <w:p w14:paraId="7DBB512E">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围绕工程约束组织控制知识与调试方法</w:t>
      </w:r>
    </w:p>
    <w:p w14:paraId="4BFCEC8D">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机械臂路径规划”的内容以点位、顺序、空间边界与运行结果之间的联系为主线。点位录入、设备自检和软件操作提供基础；对照不同路线及故障现象，有助于理解路径为何需要中转抬升；进入图书归架任务后，则需重新识别书架、障碍物与抓取条件。这种组织方式将控制原理、空间分析和验证方法用于同一问题，使知识整合具有明确的工程用途。</w:t>
      </w:r>
    </w:p>
    <w:p w14:paraId="4834E225">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图3-34  右侧的故障排查单设置“现象—猜想—验证—修改—预期效果”等栏目。学生的备注承认尚未作充分区分验证，教师批注据此要求通过验证定位环节。这一材料既呈现学生已开始分析原因，也暴露验证链条尚不完整。内容教学因此需要补充控制条件、区分原因和比较结果的方法，帮助学生由试改参数进入有依据的排查。</w:t>
      </w:r>
    </w:p>
    <w:p w14:paraId="5B2429F6">
      <w:pPr>
        <w:pageBreakBefore w:val="0"/>
        <w:overflowPunct w:val="0"/>
        <w:bidi w:val="0"/>
        <w:spacing w:before="0" w:after="0" w:line="360" w:lineRule="auto"/>
        <w:ind w:firstLineChars="200"/>
        <w:jc w:val="both"/>
        <w:textAlignment w:val="auto"/>
        <w:rPr>
          <w:rFonts w:hint="eastAsia" w:ascii="宋体" w:hAnsi="宋体" w:eastAsia="宋体" w:cs="宋体"/>
          <w:b/>
          <w:bCs w:val="0"/>
          <w:sz w:val="24"/>
          <w:szCs w:val="24"/>
        </w:rPr>
      </w:pPr>
      <w:r>
        <w:rPr>
          <w:rFonts w:hint="eastAsia" w:ascii="宋体" w:hAnsi="宋体" w:eastAsia="宋体" w:cs="宋体"/>
          <w:b/>
          <w:bCs w:val="0"/>
          <w:sz w:val="24"/>
          <w:szCs w:val="24"/>
        </w:rPr>
        <w:t>案例分析　围绕信息转换组织跨学科内容</w:t>
      </w:r>
    </w:p>
    <w:p w14:paraId="31F43184">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TOF项目的内容可围绕“环境信息如何转化为可辨识的触觉信号”组织：传感器提供深度数据，程序完成预处理与轮廓分析，电机编码表达方位和距离，结构设计回应佩戴需要。信息科技、物理与工程设计因同一系统问题发生联系，而不是将多个学科知识简单并列[13]。教师提供基础串口读取样例，并结合噪声、识别和结构问题补充资料，使学生能够在必要支持下解释和调整自己的设计。</w:t>
      </w:r>
    </w:p>
    <w:p w14:paraId="7F225363">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原始深度数据中的空洞与噪声，使滤波不再只是一个算法名称，而成为需要比较效果的方法；振动含义不清，使编码设计进一步涉及使用者辨识；手环弧度不匹配，则将结构制作与人体佩戴联系起来[13]。这些问题分别可能要求补充基础、深化关系或调整应用条件，说明三层学习贯穿项目各阶段，不能按硬件、编程、制作三个板块机械划分。</w:t>
      </w:r>
    </w:p>
    <w:p w14:paraId="5F992D42">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6" w:name="_Toc22304"/>
      <w:r>
        <w:rPr>
          <w:rFonts w:hint="eastAsia" w:ascii="宋体" w:hAnsi="宋体" w:eastAsia="宋体" w:cs="宋体"/>
          <w:b w:val="0"/>
          <w:bCs/>
          <w:sz w:val="24"/>
          <w:szCs w:val="24"/>
        </w:rPr>
        <w:t>（4）可见的学习过程分析框架</w:t>
      </w:r>
      <w:bookmarkEnd w:id="86"/>
    </w:p>
    <w:p w14:paraId="79084692">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科创项目沿用“目标引领—任务驱动—探究展学—反馈迭代—反思迁移”五环组织学习，并根据项目进程突出需求界定、方案评审、验证与展示答辩。五环是过程组织框架，不是固定课时安排；一个项目可以跨多课时推进，一次方案评审也可能使学生返回调查和设计。浅层、深层与迁移用于把握任务深度，教师的“诊断发现—干预—实施—评估”则贯穿全过程。</w:t>
      </w:r>
    </w:p>
    <w:p w14:paraId="7E5D7CB3">
      <w:pPr>
        <w:keepNext/>
        <w:jc w:val="both"/>
        <w:rPr>
          <w:rFonts w:hint="eastAsia" w:ascii="宋体" w:hAnsi="宋体" w:eastAsia="宋体" w:cs="宋体"/>
        </w:rPr>
      </w:pPr>
      <w:r>
        <w:rPr>
          <w:rFonts w:hint="eastAsia" w:ascii="宋体" w:hAnsi="宋体" w:eastAsia="宋体" w:cs="宋体"/>
        </w:rPr>
        <w:drawing>
          <wp:inline distT="0" distB="0" distL="0" distR="0">
            <wp:extent cx="4962525" cy="2451100"/>
            <wp:effectExtent l="0" t="0" r="0" b="635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33"/>
                    <a:stretch>
                      <a:fillRect/>
                    </a:stretch>
                  </pic:blipFill>
                  <pic:spPr>
                    <a:xfrm>
                      <a:off x="0" y="0"/>
                      <a:ext cx="4962525" cy="2451100"/>
                    </a:xfrm>
                    <a:prstGeom prst="rect">
                      <a:avLst/>
                    </a:prstGeom>
                    <a:noFill/>
                  </pic:spPr>
                </pic:pic>
              </a:graphicData>
            </a:graphic>
          </wp:inline>
        </w:drawing>
      </w:r>
    </w:p>
    <w:p w14:paraId="39AFA125">
      <w:pPr>
        <w:spacing w:line="240" w:lineRule="auto"/>
        <w:ind w:firstLine="0"/>
        <w:jc w:val="center"/>
        <w:rPr>
          <w:rFonts w:hint="eastAsia" w:ascii="宋体" w:hAnsi="宋体" w:eastAsia="宋体" w:cs="宋体"/>
        </w:rPr>
      </w:pPr>
      <w:r>
        <w:rPr>
          <w:rFonts w:hint="eastAsia" w:ascii="宋体" w:hAnsi="宋体" w:eastAsia="宋体" w:cs="宋体"/>
          <w:b w:val="0"/>
          <w:sz w:val="21"/>
        </w:rPr>
        <w:t>图3-35  科创项目五环学习与教师持续调节</w:t>
      </w:r>
    </w:p>
    <w:p w14:paraId="6A2DD794">
      <w:pPr>
        <w:pageBreakBefore w:val="0"/>
        <w:overflowPunct w:val="0"/>
        <w:bidi w:val="0"/>
        <w:spacing w:before="0" w:after="0" w:line="360" w:lineRule="auto"/>
        <w:ind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图3-36  通过实践表征联系学习深度、学生行动与教师调节。方案草图、数据记录、原型或试行结果，使设计中的理解与困难能够被共同讨论；反馈后的修订及再次验证，又为教师评估支持是否适切提供依据。表17进一步明确各环节的实施要求，突出科创项目中方案论证与验证改进的连续关系。</w:t>
      </w:r>
    </w:p>
    <w:tbl>
      <w:tblPr>
        <w:tblStyle w:val="12"/>
        <w:tblW w:w="8973" w:type="dxa"/>
        <w:jc w:val="center"/>
        <w:tblLayout w:type="fixed"/>
        <w:tblCellMar>
          <w:top w:w="95" w:type="dxa"/>
          <w:left w:w="75" w:type="dxa"/>
          <w:bottom w:w="95" w:type="dxa"/>
          <w:right w:w="75" w:type="dxa"/>
        </w:tblCellMar>
      </w:tblPr>
      <w:tblGrid>
        <w:gridCol w:w="1135"/>
        <w:gridCol w:w="2701"/>
        <w:gridCol w:w="2253"/>
        <w:gridCol w:w="2884"/>
      </w:tblGrid>
      <w:tr w14:paraId="5C77EE3A">
        <w:trPr>
          <w:cantSplit/>
          <w:tblHeader/>
          <w:jc w:val="center"/>
        </w:trPr>
        <w:tc>
          <w:tcPr>
            <w:tcW w:w="1135" w:type="dxa"/>
            <w:tcBorders>
              <w:top w:val="single" w:color="000000" w:sz="12" w:space="0"/>
            </w:tcBorders>
            <w:vAlign w:val="center"/>
          </w:tcPr>
          <w:p w14:paraId="45D74ABB">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环节</w:t>
            </w:r>
          </w:p>
        </w:tc>
        <w:tc>
          <w:tcPr>
            <w:tcW w:w="2701" w:type="dxa"/>
            <w:tcBorders>
              <w:top w:val="single" w:color="000000" w:sz="12" w:space="0"/>
            </w:tcBorders>
            <w:vAlign w:val="center"/>
          </w:tcPr>
          <w:p w14:paraId="4D547E2D">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学生主要行动</w:t>
            </w:r>
          </w:p>
        </w:tc>
        <w:tc>
          <w:tcPr>
            <w:tcW w:w="2253" w:type="dxa"/>
            <w:tcBorders>
              <w:top w:val="single" w:color="000000" w:sz="12" w:space="0"/>
            </w:tcBorders>
            <w:vAlign w:val="center"/>
          </w:tcPr>
          <w:p w14:paraId="47A1757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教师调节重点</w:t>
            </w:r>
          </w:p>
        </w:tc>
        <w:tc>
          <w:tcPr>
            <w:tcW w:w="2884" w:type="dxa"/>
            <w:tcBorders>
              <w:top w:val="single" w:color="000000" w:sz="12" w:space="0"/>
            </w:tcBorders>
            <w:vAlign w:val="center"/>
          </w:tcPr>
          <w:p w14:paraId="498CF8FC">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实践表征与判断依据</w:t>
            </w:r>
          </w:p>
        </w:tc>
      </w:tr>
      <w:tr w14:paraId="1380AB24">
        <w:tblPrEx>
          <w:tblCellMar>
            <w:top w:w="95" w:type="dxa"/>
            <w:left w:w="75" w:type="dxa"/>
            <w:bottom w:w="95" w:type="dxa"/>
            <w:right w:w="75" w:type="dxa"/>
          </w:tblCellMar>
        </w:tblPrEx>
        <w:trPr>
          <w:cantSplit/>
          <w:jc w:val="center"/>
        </w:trPr>
        <w:tc>
          <w:tcPr>
            <w:tcW w:w="1135" w:type="dxa"/>
            <w:tcBorders>
              <w:top w:val="single" w:color="000000" w:sz="4" w:space="0"/>
            </w:tcBorders>
            <w:vAlign w:val="center"/>
          </w:tcPr>
          <w:p w14:paraId="2CE3FE5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目标引领</w:t>
            </w:r>
          </w:p>
        </w:tc>
        <w:tc>
          <w:tcPr>
            <w:tcW w:w="2701" w:type="dxa"/>
            <w:tcBorders>
              <w:top w:val="single" w:color="000000" w:sz="4" w:space="0"/>
            </w:tcBorders>
            <w:vAlign w:val="center"/>
          </w:tcPr>
          <w:p w14:paraId="440721F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识别需求、对象与条件，理解目标和标准</w:t>
            </w:r>
          </w:p>
        </w:tc>
        <w:tc>
          <w:tcPr>
            <w:tcW w:w="2253" w:type="dxa"/>
            <w:tcBorders>
              <w:top w:val="single" w:color="000000" w:sz="4" w:space="0"/>
            </w:tcBorders>
            <w:vAlign w:val="center"/>
          </w:tcPr>
          <w:p w14:paraId="3E17C401">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诊断起点，澄清问题范围与达成要求</w:t>
            </w:r>
          </w:p>
        </w:tc>
        <w:tc>
          <w:tcPr>
            <w:tcW w:w="2884" w:type="dxa"/>
            <w:tcBorders>
              <w:top w:val="single" w:color="000000" w:sz="4" w:space="0"/>
            </w:tcBorders>
            <w:vAlign w:val="center"/>
          </w:tcPr>
          <w:p w14:paraId="6DABBA40">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问题说明、初始作答：需求与标准能否说清</w:t>
            </w:r>
          </w:p>
        </w:tc>
      </w:tr>
      <w:tr w14:paraId="7FA130BB">
        <w:tblPrEx>
          <w:tblCellMar>
            <w:top w:w="95" w:type="dxa"/>
            <w:left w:w="75" w:type="dxa"/>
            <w:bottom w:w="95" w:type="dxa"/>
            <w:right w:w="75" w:type="dxa"/>
          </w:tblCellMar>
        </w:tblPrEx>
        <w:trPr>
          <w:cantSplit/>
          <w:jc w:val="center"/>
        </w:trPr>
        <w:tc>
          <w:tcPr>
            <w:tcW w:w="1135" w:type="dxa"/>
            <w:vAlign w:val="center"/>
          </w:tcPr>
          <w:p w14:paraId="5A30B19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任务驱动</w:t>
            </w:r>
          </w:p>
        </w:tc>
        <w:tc>
          <w:tcPr>
            <w:tcW w:w="2701" w:type="dxa"/>
            <w:vAlign w:val="center"/>
          </w:tcPr>
          <w:p w14:paraId="108E5686">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分解问题，调查取证，提出候选方案与验证计划</w:t>
            </w:r>
          </w:p>
        </w:tc>
        <w:tc>
          <w:tcPr>
            <w:tcW w:w="2253" w:type="dxa"/>
            <w:vAlign w:val="center"/>
          </w:tcPr>
          <w:p w14:paraId="0AFEA655">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检查需求、数据及工程约束，支持比较不同思路</w:t>
            </w:r>
          </w:p>
        </w:tc>
        <w:tc>
          <w:tcPr>
            <w:tcW w:w="2884" w:type="dxa"/>
            <w:vAlign w:val="center"/>
          </w:tcPr>
          <w:p w14:paraId="7AA469E1">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需求记录、初稿：措施与问题是否匹配</w:t>
            </w:r>
          </w:p>
        </w:tc>
      </w:tr>
      <w:tr w14:paraId="77007D91">
        <w:tblPrEx>
          <w:tblCellMar>
            <w:top w:w="95" w:type="dxa"/>
            <w:left w:w="75" w:type="dxa"/>
            <w:bottom w:w="95" w:type="dxa"/>
            <w:right w:w="75" w:type="dxa"/>
          </w:tblCellMar>
        </w:tblPrEx>
        <w:trPr>
          <w:cantSplit/>
          <w:jc w:val="center"/>
        </w:trPr>
        <w:tc>
          <w:tcPr>
            <w:tcW w:w="1135" w:type="dxa"/>
            <w:vAlign w:val="center"/>
          </w:tcPr>
          <w:p w14:paraId="786DC7F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探究展学</w:t>
            </w:r>
          </w:p>
        </w:tc>
        <w:tc>
          <w:tcPr>
            <w:tcW w:w="2701" w:type="dxa"/>
            <w:vAlign w:val="center"/>
          </w:tcPr>
          <w:p w14:paraId="73B1678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论证选择，制作或调试原型，开展试验或情境验证</w:t>
            </w:r>
          </w:p>
        </w:tc>
        <w:tc>
          <w:tcPr>
            <w:tcW w:w="2253" w:type="dxa"/>
            <w:vAlign w:val="center"/>
          </w:tcPr>
          <w:p w14:paraId="1C585163">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组织质询，指导验证，支持分工协商</w:t>
            </w:r>
          </w:p>
        </w:tc>
        <w:tc>
          <w:tcPr>
            <w:tcW w:w="2884" w:type="dxa"/>
            <w:vAlign w:val="center"/>
          </w:tcPr>
          <w:p w14:paraId="3C155898">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草图、运行记录与答辩：能否权衡条件，并说明验证结果</w:t>
            </w:r>
          </w:p>
        </w:tc>
      </w:tr>
      <w:tr w14:paraId="32A4021E">
        <w:tblPrEx>
          <w:tblCellMar>
            <w:top w:w="95" w:type="dxa"/>
            <w:left w:w="75" w:type="dxa"/>
            <w:bottom w:w="95" w:type="dxa"/>
            <w:right w:w="75" w:type="dxa"/>
          </w:tblCellMar>
        </w:tblPrEx>
        <w:trPr>
          <w:cantSplit/>
          <w:jc w:val="center"/>
        </w:trPr>
        <w:tc>
          <w:tcPr>
            <w:tcW w:w="1135" w:type="dxa"/>
            <w:vAlign w:val="center"/>
          </w:tcPr>
          <w:p w14:paraId="4602324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反馈迭代</w:t>
            </w:r>
          </w:p>
        </w:tc>
        <w:tc>
          <w:tcPr>
            <w:tcW w:w="2701" w:type="dxa"/>
            <w:vAlign w:val="center"/>
          </w:tcPr>
          <w:p w14:paraId="12786CC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分析故障或质疑，修订方案及成果，在可比条件下再次验证</w:t>
            </w:r>
          </w:p>
        </w:tc>
        <w:tc>
          <w:tcPr>
            <w:tcW w:w="2253" w:type="dxa"/>
            <w:vAlign w:val="center"/>
          </w:tcPr>
          <w:p w14:paraId="437A4ED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定位困难，反馈差距，依据再次表现调整支持</w:t>
            </w:r>
          </w:p>
        </w:tc>
        <w:tc>
          <w:tcPr>
            <w:tcW w:w="2884" w:type="dxa"/>
            <w:vAlign w:val="center"/>
          </w:tcPr>
          <w:p w14:paraId="7135076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前后版本、故障与再次测试：修改是否回应原因，效果能否核查</w:t>
            </w:r>
          </w:p>
        </w:tc>
      </w:tr>
      <w:tr w14:paraId="0100E1B1">
        <w:tblPrEx>
          <w:tblCellMar>
            <w:top w:w="95" w:type="dxa"/>
            <w:left w:w="75" w:type="dxa"/>
            <w:bottom w:w="95" w:type="dxa"/>
            <w:right w:w="75" w:type="dxa"/>
          </w:tblCellMar>
        </w:tblPrEx>
        <w:trPr>
          <w:cantSplit/>
          <w:jc w:val="center"/>
        </w:trPr>
        <w:tc>
          <w:tcPr>
            <w:tcW w:w="1135" w:type="dxa"/>
            <w:tcBorders>
              <w:bottom w:val="single" w:color="000000" w:sz="12" w:space="0"/>
            </w:tcBorders>
            <w:vAlign w:val="center"/>
          </w:tcPr>
          <w:p w14:paraId="41F20BE3">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反思迁移</w:t>
            </w:r>
          </w:p>
        </w:tc>
        <w:tc>
          <w:tcPr>
            <w:tcW w:w="2701" w:type="dxa"/>
            <w:tcBorders>
              <w:bottom w:val="single" w:color="000000" w:sz="12" w:space="0"/>
            </w:tcBorders>
            <w:vAlign w:val="center"/>
          </w:tcPr>
          <w:p w14:paraId="79CC71DD">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提炼方法与边界，在变化情境中尝试</w:t>
            </w:r>
          </w:p>
        </w:tc>
        <w:tc>
          <w:tcPr>
            <w:tcW w:w="2253" w:type="dxa"/>
            <w:tcBorders>
              <w:bottom w:val="single" w:color="000000" w:sz="12" w:space="0"/>
            </w:tcBorders>
            <w:vAlign w:val="center"/>
          </w:tcPr>
          <w:p w14:paraId="633068A2">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设置新条件，判断独立运用并调整支架</w:t>
            </w:r>
          </w:p>
        </w:tc>
        <w:tc>
          <w:tcPr>
            <w:tcW w:w="2884" w:type="dxa"/>
            <w:tcBorders>
              <w:bottom w:val="single" w:color="000000" w:sz="12" w:space="0"/>
            </w:tcBorders>
            <w:vAlign w:val="center"/>
          </w:tcPr>
          <w:p w14:paraId="5B033527">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迁移任务与反思：能否说明变化并调整方法</w:t>
            </w:r>
          </w:p>
        </w:tc>
      </w:tr>
    </w:tbl>
    <w:p w14:paraId="36EBA43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表3-44  科创项目五环学习与教师调节的实施要点</w:t>
      </w:r>
    </w:p>
    <w:p w14:paraId="72FC410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资料来源：本研究依据五环学习模型与科创项目特点编制。</w:t>
      </w:r>
    </w:p>
    <w:p w14:paraId="330C585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项目实施需设置适当的阶段检查：形成方案时审查需求、依据及可行性，进入试验或试行前确认方法与条件，获得反馈后检验修订效果。这些检查不是统一审批程序，而是避免学生在关键依据不清时持续投入。教师既要为尝试保留空间，也要在证据不足、合作失衡或反复受挫时及时调整支持，使认知挑战与社会情感支持相互配合。</w:t>
      </w:r>
    </w:p>
    <w:p w14:paraId="324255EC">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将听证反馈转化为方案修订</w:t>
      </w:r>
    </w:p>
    <w:p w14:paraId="45D81789">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水足迹”项目借助模拟听证会开展方案质询。同伴提出再利用用途需要具体，教师提示明确缩短淋浴的时间；学生在修改清单中补入浇花用途、占比说明和时间建议[11]。图3-37左侧保留反馈、修改决定与修改后内容，使“反馈迭代”落实为可追踪的行动。听证属于方案论证，尚不能替代真实家庭条件下的节水效果验证。</w:t>
      </w:r>
    </w:p>
    <w:p w14:paraId="78E9F10D">
      <w:pPr>
        <w:keepNext/>
        <w:jc w:val="center"/>
        <w:rPr>
          <w:rFonts w:hint="eastAsia" w:ascii="宋体" w:hAnsi="宋体" w:eastAsia="宋体" w:cs="宋体"/>
        </w:rPr>
      </w:pPr>
      <w:r>
        <w:rPr>
          <w:rFonts w:hint="eastAsia" w:ascii="宋体" w:hAnsi="宋体" w:eastAsia="宋体" w:cs="宋体"/>
        </w:rPr>
        <w:drawing>
          <wp:inline distT="0" distB="0" distL="0" distR="0">
            <wp:extent cx="5145405" cy="3053715"/>
            <wp:effectExtent l="0" t="0" r="7620" b="381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4"/>
                    <a:stretch>
                      <a:fillRect/>
                    </a:stretch>
                  </pic:blipFill>
                  <pic:spPr>
                    <a:xfrm>
                      <a:off x="0" y="0"/>
                      <a:ext cx="5145405" cy="3053715"/>
                    </a:xfrm>
                    <a:prstGeom prst="rect">
                      <a:avLst/>
                    </a:prstGeom>
                    <a:noFill/>
                  </pic:spPr>
                </pic:pic>
              </a:graphicData>
            </a:graphic>
          </wp:inline>
        </w:drawing>
      </w:r>
    </w:p>
    <w:p w14:paraId="6BD5C57A">
      <w:pPr>
        <w:spacing w:line="240" w:lineRule="auto"/>
        <w:ind w:firstLine="0"/>
        <w:jc w:val="center"/>
        <w:rPr>
          <w:rFonts w:hint="eastAsia" w:ascii="宋体" w:hAnsi="宋体" w:eastAsia="宋体" w:cs="宋体"/>
          <w:b w:val="0"/>
          <w:sz w:val="21"/>
        </w:rPr>
      </w:pPr>
      <w:r>
        <w:rPr>
          <w:rFonts w:hint="eastAsia" w:ascii="宋体" w:hAnsi="宋体" w:eastAsia="宋体" w:cs="宋体"/>
          <w:b w:val="0"/>
          <w:sz w:val="21"/>
        </w:rPr>
        <w:t>图3-37  方案修改与故障排查记录</w:t>
      </w:r>
    </w:p>
    <w:p w14:paraId="62B7A1FE">
      <w:pPr>
        <w:spacing w:line="240" w:lineRule="auto"/>
        <w:ind w:firstLine="0"/>
        <w:jc w:val="center"/>
        <w:rPr>
          <w:rFonts w:hint="eastAsia" w:ascii="宋体" w:hAnsi="宋体" w:eastAsia="宋体" w:cs="宋体"/>
          <w:b w:val="0"/>
          <w:sz w:val="21"/>
        </w:rPr>
      </w:pPr>
    </w:p>
    <w:p w14:paraId="489FC74F">
      <w:pPr>
        <w:spacing w:line="240" w:lineRule="auto"/>
        <w:ind w:firstLine="0"/>
        <w:jc w:val="center"/>
        <w:rPr>
          <w:rFonts w:hint="eastAsia" w:ascii="宋体" w:hAnsi="宋体" w:eastAsia="宋体" w:cs="宋体"/>
          <w:b w:val="0"/>
          <w:sz w:val="21"/>
        </w:rPr>
      </w:pPr>
    </w:p>
    <w:p w14:paraId="09D9B7DE">
      <w:pPr>
        <w:spacing w:line="240" w:lineRule="auto"/>
        <w:ind w:firstLine="0"/>
        <w:jc w:val="center"/>
        <w:rPr>
          <w:rFonts w:hint="eastAsia" w:ascii="宋体" w:hAnsi="宋体" w:eastAsia="宋体" w:cs="宋体"/>
          <w:b w:val="0"/>
          <w:sz w:val="21"/>
        </w:rPr>
      </w:pPr>
    </w:p>
    <w:p w14:paraId="01C29A5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表3-45  双语节水方案反馈与修订的对应关系</w:t>
      </w:r>
    </w:p>
    <w:tbl>
      <w:tblPr>
        <w:tblStyle w:val="12"/>
        <w:tblW w:w="8456" w:type="dxa"/>
        <w:jc w:val="center"/>
        <w:tblLayout w:type="fixed"/>
        <w:tblCellMar>
          <w:top w:w="95" w:type="dxa"/>
          <w:left w:w="75" w:type="dxa"/>
          <w:bottom w:w="95" w:type="dxa"/>
          <w:right w:w="75" w:type="dxa"/>
        </w:tblCellMar>
      </w:tblPr>
      <w:tblGrid>
        <w:gridCol w:w="1977"/>
        <w:gridCol w:w="2521"/>
        <w:gridCol w:w="3958"/>
      </w:tblGrid>
      <w:tr w14:paraId="29EEC8DE">
        <w:tblPrEx>
          <w:tblCellMar>
            <w:top w:w="95" w:type="dxa"/>
            <w:left w:w="75" w:type="dxa"/>
            <w:bottom w:w="95" w:type="dxa"/>
            <w:right w:w="75" w:type="dxa"/>
          </w:tblCellMar>
        </w:tblPrEx>
        <w:trPr>
          <w:cantSplit/>
          <w:tblHeader/>
          <w:jc w:val="center"/>
        </w:trPr>
        <w:tc>
          <w:tcPr>
            <w:tcW w:w="1977" w:type="dxa"/>
            <w:tcBorders>
              <w:top w:val="single" w:color="000000" w:sz="12" w:space="0"/>
            </w:tcBorders>
            <w:vAlign w:val="center"/>
          </w:tcPr>
          <w:p w14:paraId="094E25E3">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初始不足</w:t>
            </w:r>
          </w:p>
        </w:tc>
        <w:tc>
          <w:tcPr>
            <w:tcW w:w="2521" w:type="dxa"/>
            <w:tcBorders>
              <w:top w:val="single" w:color="000000" w:sz="12" w:space="0"/>
            </w:tcBorders>
            <w:vAlign w:val="center"/>
          </w:tcPr>
          <w:p w14:paraId="1DD9F32F">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反馈与修订</w:t>
            </w:r>
          </w:p>
        </w:tc>
        <w:tc>
          <w:tcPr>
            <w:tcW w:w="3958" w:type="dxa"/>
            <w:tcBorders>
              <w:top w:val="single" w:color="000000" w:sz="12" w:space="0"/>
            </w:tcBorders>
            <w:vAlign w:val="center"/>
          </w:tcPr>
          <w:p w14:paraId="08B9F26F">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可作出的学习判断</w:t>
            </w:r>
          </w:p>
        </w:tc>
      </w:tr>
      <w:tr w14:paraId="6FA0C901">
        <w:tblPrEx>
          <w:tblCellMar>
            <w:top w:w="95" w:type="dxa"/>
            <w:left w:w="75" w:type="dxa"/>
            <w:bottom w:w="95" w:type="dxa"/>
            <w:right w:w="75" w:type="dxa"/>
          </w:tblCellMar>
        </w:tblPrEx>
        <w:trPr>
          <w:cantSplit/>
          <w:jc w:val="center"/>
        </w:trPr>
        <w:tc>
          <w:tcPr>
            <w:tcW w:w="1977" w:type="dxa"/>
            <w:tcBorders>
              <w:top w:val="single" w:color="000000" w:sz="4" w:space="0"/>
            </w:tcBorders>
            <w:vAlign w:val="center"/>
          </w:tcPr>
          <w:p w14:paraId="7225830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再利用的具体用途未明确</w:t>
            </w:r>
          </w:p>
        </w:tc>
        <w:tc>
          <w:tcPr>
            <w:tcW w:w="2521" w:type="dxa"/>
            <w:tcBorders>
              <w:top w:val="single" w:color="000000" w:sz="4" w:space="0"/>
            </w:tcBorders>
            <w:vAlign w:val="center"/>
          </w:tcPr>
          <w:p w14:paraId="3C9FA40D">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依据同伴建议补写用水浇花</w:t>
            </w:r>
          </w:p>
        </w:tc>
        <w:tc>
          <w:tcPr>
            <w:tcW w:w="3958" w:type="dxa"/>
            <w:tcBorders>
              <w:top w:val="single" w:color="000000" w:sz="4" w:space="0"/>
            </w:tcBorders>
            <w:vAlign w:val="center"/>
          </w:tcPr>
          <w:p w14:paraId="6C686279">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措施由一般建议进入具体行动</w:t>
            </w:r>
          </w:p>
        </w:tc>
      </w:tr>
      <w:tr w14:paraId="2F73E808">
        <w:tblPrEx>
          <w:tblCellMar>
            <w:top w:w="95" w:type="dxa"/>
            <w:left w:w="75" w:type="dxa"/>
            <w:bottom w:w="95" w:type="dxa"/>
            <w:right w:w="75" w:type="dxa"/>
          </w:tblCellMar>
        </w:tblPrEx>
        <w:trPr>
          <w:cantSplit/>
          <w:jc w:val="center"/>
        </w:trPr>
        <w:tc>
          <w:tcPr>
            <w:tcW w:w="1977" w:type="dxa"/>
            <w:vAlign w:val="center"/>
          </w:tcPr>
          <w:p w14:paraId="542F4C6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问题判断缺少比例说明</w:t>
            </w:r>
          </w:p>
        </w:tc>
        <w:tc>
          <w:tcPr>
            <w:tcW w:w="2521" w:type="dxa"/>
            <w:vAlign w:val="center"/>
          </w:tcPr>
          <w:p w14:paraId="1A6733D2">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在修改清单中补写约40%的占比</w:t>
            </w:r>
          </w:p>
        </w:tc>
        <w:tc>
          <w:tcPr>
            <w:tcW w:w="3958" w:type="dxa"/>
            <w:vAlign w:val="center"/>
          </w:tcPr>
          <w:p w14:paraId="2FC3D47A">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开始补充数据依据；仍须核对汇总范围与分母</w:t>
            </w:r>
          </w:p>
        </w:tc>
      </w:tr>
      <w:tr w14:paraId="5C28AC69">
        <w:tblPrEx>
          <w:tblCellMar>
            <w:top w:w="95" w:type="dxa"/>
            <w:left w:w="75" w:type="dxa"/>
            <w:bottom w:w="95" w:type="dxa"/>
            <w:right w:w="75" w:type="dxa"/>
          </w:tblCellMar>
        </w:tblPrEx>
        <w:trPr>
          <w:cantSplit/>
          <w:jc w:val="center"/>
        </w:trPr>
        <w:tc>
          <w:tcPr>
            <w:tcW w:w="1977" w:type="dxa"/>
            <w:tcBorders>
              <w:bottom w:val="single" w:color="000000" w:sz="12" w:space="0"/>
            </w:tcBorders>
            <w:vAlign w:val="center"/>
          </w:tcPr>
          <w:p w14:paraId="30176101">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缩短淋浴时间缺少明确要求</w:t>
            </w:r>
          </w:p>
        </w:tc>
        <w:tc>
          <w:tcPr>
            <w:tcW w:w="2521" w:type="dxa"/>
            <w:tcBorders>
              <w:bottom w:val="single" w:color="000000" w:sz="12" w:space="0"/>
            </w:tcBorders>
            <w:vAlign w:val="center"/>
          </w:tcPr>
          <w:p w14:paraId="1E1CA558">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依据教师反馈补写约10分钟的建议</w:t>
            </w:r>
          </w:p>
        </w:tc>
        <w:tc>
          <w:tcPr>
            <w:tcW w:w="3958" w:type="dxa"/>
            <w:tcBorders>
              <w:bottom w:val="single" w:color="000000" w:sz="12" w:space="0"/>
            </w:tcBorders>
            <w:vAlign w:val="center"/>
          </w:tcPr>
          <w:p w14:paraId="36CC16A9">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行动要求更具体；仍需依据原有时长及实际条件检验效果</w:t>
            </w:r>
          </w:p>
        </w:tc>
      </w:tr>
    </w:tbl>
    <w:p w14:paraId="22C70B69">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表3-46  呈现的是方案论证与表达的改进，支持学生开始回应反馈、具体化措施的判断。若要进一步考察创造与问题解决质量，还需比较替代措施、核实限制条件并记录试行结果；若要考察责任担当，则需结合分工完成、持续记录与后续行动。修订次数和展示表现不能单独替代这些判断。</w:t>
      </w:r>
    </w:p>
    <w:p w14:paraId="36889A8A">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从路径构想到运行验证与故障改进</w:t>
      </w:r>
    </w:p>
    <w:p w14:paraId="525045EC">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机械臂项目将“方案”落实为可执行的点位与顺序，学生需要通过实际运行判断纸面构思能否成立。案例叙述记录了省略抬升点与保留抬升点的不同主张，以及围绕碰撞风险与运行效率的讨论。这一设计使展学不止于介绍作品，而是要求呈现路径依据、运行证据及取舍理由。现有附件能够直接支持初始草图、故障分析和批注反馈的解释；完整的双路径实测比较仍需相应数据表补充。</w:t>
      </w:r>
    </w:p>
    <w:p w14:paraId="4D9DCC8A">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在此过程中，教师调节应以具体困难为依据：学生只看运行速度时，追问安全约束；反复改参数而未定位故障时，引导区分原因并开展验证；少数成员包办时，调整角色并记录个人贡献。社会情感支持也作用于工程问题解决，使受挫后的情绪调整、不同意见的协商与后续操作保持联系。案例中的任务单和批注提供了观察这些调节的线索，但教师措施与再次表现之间仍需同步记录，才能更充分地解释支持作用。</w:t>
      </w:r>
    </w:p>
    <w:p w14:paraId="7AC65B83">
      <w:pPr>
        <w:pStyle w:val="4"/>
        <w:keepNext/>
        <w:spacing w:before="280" w:after="280"/>
        <w:ind w:firstLine="0" w:firstLineChars="0"/>
        <w:outlineLvl w:val="9"/>
        <w:rPr>
          <w:rFonts w:hint="eastAsia" w:ascii="宋体" w:hAnsi="宋体" w:eastAsia="宋体" w:cs="宋体"/>
          <w:color w:val="auto"/>
        </w:rPr>
      </w:pPr>
      <w:r>
        <w:rPr>
          <w:rFonts w:hint="eastAsia" w:ascii="宋体" w:hAnsi="宋体" w:eastAsia="宋体" w:cs="宋体"/>
          <w:b/>
          <w:color w:val="auto"/>
          <w:sz w:val="28"/>
        </w:rPr>
        <w:t>案例分析　以多场景测试推动系统方案迭代</w:t>
      </w:r>
    </w:p>
    <w:p w14:paraId="704FA8A5">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TOF案例将系统制作后的测试继续作为学习任务，要求学生记录延迟、漏检、佩戴不适及触觉辨识等问题，并分析其可能来源。这使项目从“原型能够演示”进入“方案在何种条件下成立”的检验。教师通过追问与记录要求帮助学生区分硬件、算法和使用体验方面的问题，学生再据此调整程序、结构或反馈策略，形成诊断、支持、实施与再次评估的持续过程。</w:t>
      </w:r>
    </w:p>
    <w:p w14:paraId="4C848F7A">
      <w:pPr>
        <w:keepNext/>
        <w:jc w:val="center"/>
        <w:rPr>
          <w:rFonts w:hint="eastAsia" w:ascii="宋体" w:hAnsi="宋体" w:eastAsia="宋体" w:cs="宋体"/>
        </w:rPr>
      </w:pPr>
      <w:r>
        <w:rPr>
          <w:rFonts w:hint="eastAsia" w:ascii="宋体" w:hAnsi="宋体" w:eastAsia="宋体" w:cs="宋体"/>
        </w:rPr>
        <w:drawing>
          <wp:inline distT="0" distB="0" distL="0" distR="0">
            <wp:extent cx="2858770" cy="4114165"/>
            <wp:effectExtent l="0" t="0" r="8255" b="635"/>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35"/>
                    <a:stretch>
                      <a:fillRect/>
                    </a:stretch>
                  </pic:blipFill>
                  <pic:spPr>
                    <a:xfrm>
                      <a:off x="0" y="0"/>
                      <a:ext cx="2858770" cy="4114165"/>
                    </a:xfrm>
                    <a:prstGeom prst="rect">
                      <a:avLst/>
                    </a:prstGeom>
                    <a:noFill/>
                  </pic:spPr>
                </pic:pic>
              </a:graphicData>
            </a:graphic>
          </wp:inline>
        </w:drawing>
      </w:r>
    </w:p>
    <w:p w14:paraId="01F852F5">
      <w:pPr>
        <w:spacing w:line="240" w:lineRule="auto"/>
        <w:ind w:firstLine="0"/>
        <w:jc w:val="center"/>
        <w:rPr>
          <w:rFonts w:hint="eastAsia" w:ascii="宋体" w:hAnsi="宋体" w:eastAsia="宋体" w:cs="宋体"/>
        </w:rPr>
      </w:pPr>
      <w:r>
        <w:rPr>
          <w:rFonts w:hint="eastAsia" w:ascii="宋体" w:hAnsi="宋体" w:eastAsia="宋体" w:cs="宋体"/>
          <w:b w:val="0"/>
          <w:sz w:val="21"/>
        </w:rPr>
        <w:t>图3-38  导盲系统原型及场景测试材料（刘雪瑶案例原图）[13]</w:t>
      </w:r>
    </w:p>
    <w:p w14:paraId="2828922D">
      <w:pPr>
        <w:pageBreakBefore w:val="0"/>
        <w:overflowPunct w:val="0"/>
        <w:bidi w:val="0"/>
        <w:spacing w:before="0" w:after="0" w:line="360" w:lineRule="auto"/>
        <w:ind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图3-39  呈现了装置组合及场景测试的实施条件。原型照片能够证明作品形态和测试活动的存在，功能改进则须结合过程记录解释。2025年9月18—22日的记录将多障碍物干扰作为调试问题，记载了时序振动、算法预测及调试显示等调整，并报告了修改前后的部分结果。表18-1据此整理可核对的数值，使迭代分析具体指向测试变化。</w:t>
      </w:r>
    </w:p>
    <w:p w14:paraId="68075E9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表3-47  导盲系统多障碍物调试记录中的结果变化</w:t>
      </w:r>
    </w:p>
    <w:tbl>
      <w:tblPr>
        <w:tblStyle w:val="12"/>
        <w:tblW w:w="8453" w:type="dxa"/>
        <w:jc w:val="center"/>
        <w:tblLayout w:type="fixed"/>
        <w:tblCellMar>
          <w:top w:w="95" w:type="dxa"/>
          <w:left w:w="75" w:type="dxa"/>
          <w:bottom w:w="95" w:type="dxa"/>
          <w:right w:w="75" w:type="dxa"/>
        </w:tblCellMar>
      </w:tblPr>
      <w:tblGrid>
        <w:gridCol w:w="3020"/>
        <w:gridCol w:w="1379"/>
        <w:gridCol w:w="1381"/>
        <w:gridCol w:w="2673"/>
      </w:tblGrid>
      <w:tr w14:paraId="24833246">
        <w:tblPrEx>
          <w:tblCellMar>
            <w:top w:w="95" w:type="dxa"/>
            <w:left w:w="75" w:type="dxa"/>
            <w:bottom w:w="95" w:type="dxa"/>
            <w:right w:w="75" w:type="dxa"/>
          </w:tblCellMar>
        </w:tblPrEx>
        <w:trPr>
          <w:cantSplit/>
          <w:tblHeader/>
          <w:jc w:val="center"/>
        </w:trPr>
        <w:tc>
          <w:tcPr>
            <w:tcW w:w="3020" w:type="dxa"/>
            <w:tcBorders>
              <w:top w:val="single" w:color="000000" w:sz="12" w:space="0"/>
            </w:tcBorders>
            <w:vAlign w:val="center"/>
          </w:tcPr>
          <w:p w14:paraId="17196A66">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记录指标</w:t>
            </w:r>
          </w:p>
        </w:tc>
        <w:tc>
          <w:tcPr>
            <w:tcW w:w="1379" w:type="dxa"/>
            <w:tcBorders>
              <w:top w:val="single" w:color="000000" w:sz="12" w:space="0"/>
            </w:tcBorders>
            <w:vAlign w:val="center"/>
          </w:tcPr>
          <w:p w14:paraId="6399E6AA">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修改前</w:t>
            </w:r>
          </w:p>
        </w:tc>
        <w:tc>
          <w:tcPr>
            <w:tcW w:w="1381" w:type="dxa"/>
            <w:tcBorders>
              <w:top w:val="single" w:color="000000" w:sz="12" w:space="0"/>
            </w:tcBorders>
            <w:vAlign w:val="center"/>
          </w:tcPr>
          <w:p w14:paraId="1F21A09A">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修改后</w:t>
            </w:r>
          </w:p>
        </w:tc>
        <w:tc>
          <w:tcPr>
            <w:tcW w:w="2673" w:type="dxa"/>
            <w:tcBorders>
              <w:top w:val="single" w:color="000000" w:sz="12" w:space="0"/>
            </w:tcBorders>
            <w:vAlign w:val="center"/>
          </w:tcPr>
          <w:p w14:paraId="2C3BA712">
            <w:pPr>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描述性变化</w:t>
            </w:r>
          </w:p>
        </w:tc>
      </w:tr>
      <w:tr w14:paraId="1CB5B483">
        <w:tblPrEx>
          <w:tblCellMar>
            <w:top w:w="95" w:type="dxa"/>
            <w:left w:w="75" w:type="dxa"/>
            <w:bottom w:w="95" w:type="dxa"/>
            <w:right w:w="75" w:type="dxa"/>
          </w:tblCellMar>
        </w:tblPrEx>
        <w:trPr>
          <w:cantSplit/>
          <w:jc w:val="center"/>
        </w:trPr>
        <w:tc>
          <w:tcPr>
            <w:tcW w:w="3020" w:type="dxa"/>
            <w:tcBorders>
              <w:top w:val="single" w:color="000000" w:sz="4" w:space="0"/>
            </w:tcBorders>
            <w:vAlign w:val="center"/>
          </w:tcPr>
          <w:p w14:paraId="7CD54210">
            <w:pPr>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多目标识别准确率</w:t>
            </w:r>
          </w:p>
        </w:tc>
        <w:tc>
          <w:tcPr>
            <w:tcW w:w="1379" w:type="dxa"/>
            <w:tcBorders>
              <w:top w:val="single" w:color="000000" w:sz="4" w:space="0"/>
            </w:tcBorders>
            <w:vAlign w:val="center"/>
          </w:tcPr>
          <w:p w14:paraId="536317FD">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70%</w:t>
            </w:r>
          </w:p>
        </w:tc>
        <w:tc>
          <w:tcPr>
            <w:tcW w:w="1381" w:type="dxa"/>
            <w:tcBorders>
              <w:top w:val="single" w:color="000000" w:sz="4" w:space="0"/>
            </w:tcBorders>
            <w:vAlign w:val="center"/>
          </w:tcPr>
          <w:p w14:paraId="141B8E4B">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75%</w:t>
            </w:r>
          </w:p>
        </w:tc>
        <w:tc>
          <w:tcPr>
            <w:tcW w:w="2673" w:type="dxa"/>
            <w:tcBorders>
              <w:top w:val="single" w:color="000000" w:sz="4" w:space="0"/>
            </w:tcBorders>
            <w:vAlign w:val="center"/>
          </w:tcPr>
          <w:p w14:paraId="1D35C55A">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提高5个百分点</w:t>
            </w:r>
          </w:p>
        </w:tc>
      </w:tr>
      <w:tr w14:paraId="7AA3A507">
        <w:tblPrEx>
          <w:tblCellMar>
            <w:top w:w="95" w:type="dxa"/>
            <w:left w:w="75" w:type="dxa"/>
            <w:bottom w:w="95" w:type="dxa"/>
            <w:right w:w="75" w:type="dxa"/>
          </w:tblCellMar>
        </w:tblPrEx>
        <w:trPr>
          <w:cantSplit/>
          <w:jc w:val="center"/>
        </w:trPr>
        <w:tc>
          <w:tcPr>
            <w:tcW w:w="3020" w:type="dxa"/>
            <w:vAlign w:val="center"/>
          </w:tcPr>
          <w:p w14:paraId="417D802F">
            <w:pPr>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响应延迟</w:t>
            </w:r>
          </w:p>
        </w:tc>
        <w:tc>
          <w:tcPr>
            <w:tcW w:w="1379" w:type="dxa"/>
            <w:vAlign w:val="center"/>
          </w:tcPr>
          <w:p w14:paraId="030C85E7">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0.55秒</w:t>
            </w:r>
          </w:p>
        </w:tc>
        <w:tc>
          <w:tcPr>
            <w:tcW w:w="1381" w:type="dxa"/>
            <w:vAlign w:val="center"/>
          </w:tcPr>
          <w:p w14:paraId="25D3A280">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0.38秒</w:t>
            </w:r>
          </w:p>
        </w:tc>
        <w:tc>
          <w:tcPr>
            <w:tcW w:w="2673" w:type="dxa"/>
            <w:vAlign w:val="center"/>
          </w:tcPr>
          <w:p w14:paraId="1879A979">
            <w:pPr>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缩短0.17秒</w:t>
            </w:r>
          </w:p>
        </w:tc>
      </w:tr>
      <w:tr w14:paraId="6BBCBBD0">
        <w:tblPrEx>
          <w:tblCellMar>
            <w:top w:w="95" w:type="dxa"/>
            <w:left w:w="75" w:type="dxa"/>
            <w:bottom w:w="95" w:type="dxa"/>
            <w:right w:w="75" w:type="dxa"/>
          </w:tblCellMar>
        </w:tblPrEx>
        <w:trPr>
          <w:cantSplit/>
          <w:jc w:val="center"/>
        </w:trPr>
        <w:tc>
          <w:tcPr>
            <w:tcW w:w="3020" w:type="dxa"/>
            <w:tcBorders>
              <w:bottom w:val="single" w:color="000000" w:sz="12" w:space="0"/>
            </w:tcBorders>
            <w:vAlign w:val="center"/>
          </w:tcPr>
          <w:p w14:paraId="4F75D618">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误报率</w:t>
            </w:r>
          </w:p>
        </w:tc>
        <w:tc>
          <w:tcPr>
            <w:tcW w:w="1379" w:type="dxa"/>
            <w:tcBorders>
              <w:bottom w:val="single" w:color="000000" w:sz="12" w:space="0"/>
            </w:tcBorders>
            <w:vAlign w:val="center"/>
          </w:tcPr>
          <w:p w14:paraId="11D1A3EB">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10%</w:t>
            </w:r>
          </w:p>
        </w:tc>
        <w:tc>
          <w:tcPr>
            <w:tcW w:w="1381" w:type="dxa"/>
            <w:tcBorders>
              <w:bottom w:val="single" w:color="000000" w:sz="12" w:space="0"/>
            </w:tcBorders>
            <w:vAlign w:val="center"/>
          </w:tcPr>
          <w:p w14:paraId="26E19438">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5%</w:t>
            </w:r>
          </w:p>
        </w:tc>
        <w:tc>
          <w:tcPr>
            <w:tcW w:w="2673" w:type="dxa"/>
            <w:tcBorders>
              <w:bottom w:val="single" w:color="000000" w:sz="12" w:space="0"/>
            </w:tcBorders>
            <w:vAlign w:val="center"/>
          </w:tcPr>
          <w:p w14:paraId="785BB5A6">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降低5个百分点</w:t>
            </w:r>
          </w:p>
        </w:tc>
      </w:tr>
    </w:tbl>
    <w:p w14:paraId="49D298E1">
      <w:pPr>
        <w:keepNext/>
        <w:jc w:val="center"/>
        <w:rPr>
          <w:rFonts w:hint="eastAsia" w:ascii="宋体" w:hAnsi="宋体" w:eastAsia="宋体" w:cs="宋体"/>
        </w:rPr>
      </w:pPr>
      <w:r>
        <w:rPr>
          <w:rFonts w:hint="eastAsia" w:ascii="宋体" w:hAnsi="宋体" w:eastAsia="宋体" w:cs="宋体"/>
        </w:rPr>
        <w:drawing>
          <wp:inline distT="0" distB="0" distL="0" distR="0">
            <wp:extent cx="4110355" cy="5302885"/>
            <wp:effectExtent l="0" t="0" r="4445" b="254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36"/>
                    <a:stretch>
                      <a:fillRect/>
                    </a:stretch>
                  </pic:blipFill>
                  <pic:spPr>
                    <a:xfrm>
                      <a:off x="0" y="0"/>
                      <a:ext cx="4110355" cy="5302885"/>
                    </a:xfrm>
                    <a:prstGeom prst="rect">
                      <a:avLst/>
                    </a:prstGeom>
                    <a:noFill/>
                  </pic:spPr>
                </pic:pic>
              </a:graphicData>
            </a:graphic>
          </wp:inline>
        </w:drawing>
      </w:r>
    </w:p>
    <w:p w14:paraId="1D508610">
      <w:pPr>
        <w:spacing w:line="240" w:lineRule="auto"/>
        <w:ind w:firstLine="0"/>
        <w:jc w:val="center"/>
        <w:rPr>
          <w:rFonts w:hint="eastAsia" w:ascii="宋体" w:hAnsi="宋体" w:eastAsia="宋体" w:cs="宋体"/>
        </w:rPr>
      </w:pPr>
      <w:r>
        <w:rPr>
          <w:rFonts w:hint="eastAsia" w:ascii="宋体" w:hAnsi="宋体" w:eastAsia="宋体" w:cs="宋体"/>
          <w:b w:val="0"/>
          <w:sz w:val="21"/>
        </w:rPr>
        <w:t>图3-40  多障碍物调试过程记录</w:t>
      </w:r>
    </w:p>
    <w:p w14:paraId="7855279B">
      <w:pPr>
        <w:spacing w:before="0" w:after="0" w:line="360" w:lineRule="auto"/>
        <w:ind w:firstLine="480"/>
        <w:jc w:val="both"/>
        <w:rPr>
          <w:rFonts w:hint="eastAsia" w:ascii="宋体" w:hAnsi="宋体" w:eastAsia="宋体" w:cs="宋体"/>
          <w:b w:val="0"/>
          <w:color w:val="auto"/>
          <w:sz w:val="24"/>
        </w:rPr>
      </w:pPr>
      <w:r>
        <w:rPr>
          <w:rFonts w:hint="eastAsia" w:ascii="宋体" w:hAnsi="宋体" w:eastAsia="宋体" w:cs="宋体"/>
          <w:b w:val="0"/>
          <w:color w:val="auto"/>
          <w:sz w:val="24"/>
        </w:rPr>
        <w:t>表3-48  显示，该轮记录中的延迟、识别及误报指标均有改善，支持系统调整与部分测试表现变化相联系的判断。记录仍指出用户对振动强度分级的辨识不够明显，提示功能指标改善之后还需继续考察触觉可读性。由于未提供各指标的试次、样本量及完整条件对照，不能据此作统计显著性或普遍适用性判断；记录中的多项措施同时调整，也不能将变化归因于其中某一个算法。</w:t>
      </w:r>
    </w:p>
    <w:p w14:paraId="63B67AE3">
      <w:pPr>
        <w:spacing w:before="0" w:after="0" w:line="360" w:lineRule="auto"/>
        <w:ind w:firstLine="480"/>
        <w:jc w:val="both"/>
        <w:rPr>
          <w:rFonts w:hint="eastAsia" w:ascii="宋体" w:hAnsi="宋体" w:eastAsia="宋体" w:cs="宋体"/>
          <w:color w:val="auto"/>
          <w:sz w:val="24"/>
          <w:szCs w:val="24"/>
        </w:rPr>
      </w:pPr>
      <w:r>
        <w:rPr>
          <w:rFonts w:hint="eastAsia" w:ascii="宋体" w:hAnsi="宋体" w:eastAsia="宋体" w:cs="宋体"/>
          <w:b w:val="0"/>
          <w:color w:val="auto"/>
          <w:sz w:val="24"/>
        </w:rPr>
        <w:t>本案例对科创实施的重要补充，是把负面结果纳入后续决策：学生需要说明问题在哪里、依据是什么、准备改变什么，以及再次测试将检查什么。多电机编码、算法参数和结构改良的已完成工作，应与无线化等后续设想分开记录。由此，反馈迭代体现为基于证据的设计修正，而非仅增加一个作品版本。</w:t>
      </w:r>
    </w:p>
    <w:p w14:paraId="22477734">
      <w:pPr>
        <w:pageBreakBefore w:val="0"/>
        <w:overflowPunct w:val="0"/>
        <w:bidi w:val="0"/>
        <w:spacing w:before="0" w:after="0" w:line="360" w:lineRule="auto"/>
        <w:ind w:firstLine="480" w:firstLineChars="200"/>
        <w:jc w:val="both"/>
        <w:textAlignment w:val="auto"/>
        <w:outlineLvl w:val="3"/>
        <w:rPr>
          <w:rFonts w:hint="eastAsia" w:ascii="宋体" w:hAnsi="宋体" w:eastAsia="宋体" w:cs="宋体"/>
          <w:b/>
          <w:bCs/>
          <w:sz w:val="24"/>
          <w:szCs w:val="24"/>
        </w:rPr>
      </w:pPr>
      <w:bookmarkStart w:id="87" w:name="_Toc18819"/>
      <w:r>
        <w:rPr>
          <w:rFonts w:hint="eastAsia" w:ascii="宋体" w:hAnsi="宋体" w:eastAsia="宋体" w:cs="宋体"/>
          <w:b w:val="0"/>
          <w:bCs/>
          <w:sz w:val="24"/>
          <w:szCs w:val="24"/>
        </w:rPr>
        <w:t>（5）可见的学习多元评价样态</w:t>
      </w:r>
      <w:bookmarkEnd w:id="87"/>
    </w:p>
    <w:p w14:paraId="46901DD3">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rPr>
        <w:t>科创教育的评价兼顾方案与成果质量、学习过程及真实使用中的表现。评价标准在项目启动时向学生开放，并在阶段检查中反复使用；自评、互评、教师评价及使用者反馈围绕相同要求收集证据。专家或真实使用者可以提出适切性和可行性意见，教师则需结合学生起点、任务难度与支持条件判断学习进展。表3-49列示项目中需要相互参照的证据。</w:t>
      </w:r>
    </w:p>
    <w:p w14:paraId="6283F5E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表3-49  科创项目多元评价的内容与证据</w:t>
      </w:r>
    </w:p>
    <w:tbl>
      <w:tblPr>
        <w:tblStyle w:val="12"/>
        <w:tblW w:w="8522" w:type="dxa"/>
        <w:jc w:val="center"/>
        <w:tblLayout w:type="fixed"/>
        <w:tblCellMar>
          <w:top w:w="95" w:type="dxa"/>
          <w:left w:w="75" w:type="dxa"/>
          <w:bottom w:w="95" w:type="dxa"/>
          <w:right w:w="75" w:type="dxa"/>
        </w:tblCellMar>
      </w:tblPr>
      <w:tblGrid>
        <w:gridCol w:w="1419"/>
        <w:gridCol w:w="3177"/>
        <w:gridCol w:w="3926"/>
      </w:tblGrid>
      <w:tr w14:paraId="08BF724B">
        <w:tblPrEx>
          <w:tblCellMar>
            <w:top w:w="95" w:type="dxa"/>
            <w:left w:w="75" w:type="dxa"/>
            <w:bottom w:w="95" w:type="dxa"/>
            <w:right w:w="75" w:type="dxa"/>
          </w:tblCellMar>
        </w:tblPrEx>
        <w:trPr>
          <w:cantSplit/>
          <w:tblHeader/>
          <w:jc w:val="center"/>
        </w:trPr>
        <w:tc>
          <w:tcPr>
            <w:tcW w:w="1419" w:type="dxa"/>
            <w:tcBorders>
              <w:top w:val="single" w:color="000000" w:sz="12" w:space="0"/>
            </w:tcBorders>
            <w:vAlign w:val="center"/>
          </w:tcPr>
          <w:p w14:paraId="0F71A2A7">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评价重点</w:t>
            </w:r>
          </w:p>
        </w:tc>
        <w:tc>
          <w:tcPr>
            <w:tcW w:w="3177" w:type="dxa"/>
            <w:tcBorders>
              <w:top w:val="single" w:color="000000" w:sz="12" w:space="0"/>
            </w:tcBorders>
            <w:vAlign w:val="center"/>
          </w:tcPr>
          <w:p w14:paraId="4EBBD3A8">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主要证据</w:t>
            </w:r>
          </w:p>
        </w:tc>
        <w:tc>
          <w:tcPr>
            <w:tcW w:w="3926" w:type="dxa"/>
            <w:tcBorders>
              <w:top w:val="single" w:color="000000" w:sz="12" w:space="0"/>
            </w:tcBorders>
            <w:vAlign w:val="center"/>
          </w:tcPr>
          <w:p w14:paraId="44FDF6C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判断内容与反馈方向</w:t>
            </w:r>
          </w:p>
        </w:tc>
      </w:tr>
      <w:tr w14:paraId="7D562499">
        <w:tblPrEx>
          <w:tblCellMar>
            <w:top w:w="95" w:type="dxa"/>
            <w:left w:w="75" w:type="dxa"/>
            <w:bottom w:w="95" w:type="dxa"/>
            <w:right w:w="75" w:type="dxa"/>
          </w:tblCellMar>
        </w:tblPrEx>
        <w:trPr>
          <w:cantSplit/>
          <w:jc w:val="center"/>
        </w:trPr>
        <w:tc>
          <w:tcPr>
            <w:tcW w:w="1419" w:type="dxa"/>
            <w:tcBorders>
              <w:top w:val="single" w:color="000000" w:sz="4" w:space="0"/>
            </w:tcBorders>
            <w:vAlign w:val="center"/>
          </w:tcPr>
          <w:p w14:paraId="4181EFF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问题与方案</w:t>
            </w:r>
          </w:p>
        </w:tc>
        <w:tc>
          <w:tcPr>
            <w:tcW w:w="3177" w:type="dxa"/>
            <w:tcBorders>
              <w:top w:val="single" w:color="000000" w:sz="4" w:space="0"/>
            </w:tcBorders>
            <w:vAlign w:val="center"/>
          </w:tcPr>
          <w:p w14:paraId="15B346BE">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需求说明、候选思路、方案版本</w:t>
            </w:r>
          </w:p>
        </w:tc>
        <w:tc>
          <w:tcPr>
            <w:tcW w:w="3926" w:type="dxa"/>
            <w:tcBorders>
              <w:top w:val="single" w:color="000000" w:sz="4" w:space="0"/>
            </w:tcBorders>
            <w:vAlign w:val="center"/>
          </w:tcPr>
          <w:p w14:paraId="1FD8FB45">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需求是否明确；选择是否有据；约束是否得到回应</w:t>
            </w:r>
          </w:p>
        </w:tc>
      </w:tr>
      <w:tr w14:paraId="2BABE957">
        <w:tblPrEx>
          <w:tblCellMar>
            <w:top w:w="95" w:type="dxa"/>
            <w:left w:w="75" w:type="dxa"/>
            <w:bottom w:w="95" w:type="dxa"/>
            <w:right w:w="75" w:type="dxa"/>
          </w:tblCellMar>
        </w:tblPrEx>
        <w:trPr>
          <w:cantSplit/>
          <w:jc w:val="center"/>
        </w:trPr>
        <w:tc>
          <w:tcPr>
            <w:tcW w:w="1419" w:type="dxa"/>
            <w:vAlign w:val="center"/>
          </w:tcPr>
          <w:p w14:paraId="2CC8A69D">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调查与验证</w:t>
            </w:r>
          </w:p>
        </w:tc>
        <w:tc>
          <w:tcPr>
            <w:tcW w:w="3177" w:type="dxa"/>
            <w:vAlign w:val="center"/>
          </w:tcPr>
          <w:p w14:paraId="64C2697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原始记录、统计过程、试验或试行材料</w:t>
            </w:r>
          </w:p>
        </w:tc>
        <w:tc>
          <w:tcPr>
            <w:tcW w:w="3926" w:type="dxa"/>
            <w:vAlign w:val="center"/>
          </w:tcPr>
          <w:p w14:paraId="47EDDE79">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来源与口径是否可靠；方法能否检验预期效果</w:t>
            </w:r>
          </w:p>
        </w:tc>
      </w:tr>
      <w:tr w14:paraId="45B91FD8">
        <w:tblPrEx>
          <w:tblCellMar>
            <w:top w:w="95" w:type="dxa"/>
            <w:left w:w="75" w:type="dxa"/>
            <w:bottom w:w="95" w:type="dxa"/>
            <w:right w:w="75" w:type="dxa"/>
          </w:tblCellMar>
        </w:tblPrEx>
        <w:trPr>
          <w:cantSplit/>
          <w:jc w:val="center"/>
        </w:trPr>
        <w:tc>
          <w:tcPr>
            <w:tcW w:w="1419" w:type="dxa"/>
            <w:vAlign w:val="center"/>
          </w:tcPr>
          <w:p w14:paraId="6EF72AA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合作与调节</w:t>
            </w:r>
          </w:p>
        </w:tc>
        <w:tc>
          <w:tcPr>
            <w:tcW w:w="3177" w:type="dxa"/>
            <w:vAlign w:val="center"/>
          </w:tcPr>
          <w:p w14:paraId="369D1C4F">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分工记录、讨论片段、学生反思</w:t>
            </w:r>
          </w:p>
        </w:tc>
        <w:tc>
          <w:tcPr>
            <w:tcW w:w="3926" w:type="dxa"/>
            <w:vAlign w:val="center"/>
          </w:tcPr>
          <w:p w14:paraId="77B28FC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责任是否履行；能否协商分歧、调整情绪并继续行动</w:t>
            </w:r>
          </w:p>
        </w:tc>
      </w:tr>
      <w:tr w14:paraId="23DFFD8D">
        <w:tblPrEx>
          <w:tblCellMar>
            <w:top w:w="95" w:type="dxa"/>
            <w:left w:w="75" w:type="dxa"/>
            <w:bottom w:w="95" w:type="dxa"/>
            <w:right w:w="75" w:type="dxa"/>
          </w:tblCellMar>
        </w:tblPrEx>
        <w:trPr>
          <w:cantSplit/>
          <w:jc w:val="center"/>
        </w:trPr>
        <w:tc>
          <w:tcPr>
            <w:tcW w:w="1419" w:type="dxa"/>
            <w:vAlign w:val="center"/>
          </w:tcPr>
          <w:p w14:paraId="452DC9F6">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修订与解释</w:t>
            </w:r>
          </w:p>
        </w:tc>
        <w:tc>
          <w:tcPr>
            <w:tcW w:w="3177" w:type="dxa"/>
            <w:vAlign w:val="center"/>
          </w:tcPr>
          <w:p w14:paraId="7672CE94">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反馈条、修改清单、答辩及前后成果</w:t>
            </w:r>
          </w:p>
        </w:tc>
        <w:tc>
          <w:tcPr>
            <w:tcW w:w="3926" w:type="dxa"/>
            <w:vAlign w:val="center"/>
          </w:tcPr>
          <w:p w14:paraId="1C881DAC">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是否理解反馈；修改能否回应问题并说明理由</w:t>
            </w:r>
          </w:p>
        </w:tc>
      </w:tr>
      <w:tr w14:paraId="077A0E29">
        <w:tblPrEx>
          <w:tblCellMar>
            <w:top w:w="95" w:type="dxa"/>
            <w:left w:w="75" w:type="dxa"/>
            <w:bottom w:w="95" w:type="dxa"/>
            <w:right w:w="75" w:type="dxa"/>
          </w:tblCellMar>
        </w:tblPrEx>
        <w:trPr>
          <w:cantSplit/>
          <w:jc w:val="center"/>
        </w:trPr>
        <w:tc>
          <w:tcPr>
            <w:tcW w:w="1419" w:type="dxa"/>
            <w:tcBorders>
              <w:bottom w:val="single" w:color="000000" w:sz="12" w:space="0"/>
            </w:tcBorders>
            <w:vAlign w:val="center"/>
          </w:tcPr>
          <w:p w14:paraId="4F76943A">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迁移与应用</w:t>
            </w:r>
          </w:p>
        </w:tc>
        <w:tc>
          <w:tcPr>
            <w:tcW w:w="3177" w:type="dxa"/>
            <w:tcBorders>
              <w:bottom w:val="single" w:color="000000" w:sz="12" w:space="0"/>
            </w:tcBorders>
            <w:vAlign w:val="center"/>
          </w:tcPr>
          <w:p w14:paraId="51FAE4D4">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新情境任务、使用反馈、持续追踪</w:t>
            </w:r>
          </w:p>
        </w:tc>
        <w:tc>
          <w:tcPr>
            <w:tcW w:w="3926" w:type="dxa"/>
            <w:tcBorders>
              <w:bottom w:val="single" w:color="000000" w:sz="12" w:space="0"/>
            </w:tcBorders>
            <w:vAlign w:val="center"/>
          </w:tcPr>
          <w:p w14:paraId="43753AC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能否独立调整方法；效果是否延续，适用边界是什么</w:t>
            </w:r>
          </w:p>
        </w:tc>
      </w:tr>
    </w:tbl>
    <w:p w14:paraId="42E5E033">
      <w:pPr>
        <w:pageBreakBefore w:val="0"/>
        <w:overflowPunct w:val="0"/>
        <w:bidi w:val="0"/>
        <w:spacing w:before="0" w:after="0"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见”由此成为师生分析学习的共同视角。目标可见要求理解需求与标准，思维可见要求说明设计和修改理由，证据可见要求数据与判断能够核查，进步可见要求保留前后表现并比较变化，能力可见则要求在不同任务及支持条件下持续观察。数字工具可以辅助整理资料、保存版本和汇集反馈，但平台中的发言轮次、修改次数等只提供过程线索，高阶能力判断仍须回到具体方案、解释与行动。</w:t>
      </w:r>
    </w:p>
    <w:p w14:paraId="51DE12C2">
      <w:pPr>
        <w:pageBreakBefore w:val="0"/>
        <w:overflowPunct w:val="0"/>
        <w:bidi w:val="0"/>
        <w:spacing w:before="0" w:after="0" w:line="360" w:lineRule="auto"/>
        <w:ind w:firstLineChars="200"/>
        <w:jc w:val="both"/>
        <w:textAlignment w:val="auto"/>
        <w:rPr>
          <w:rFonts w:hint="eastAsia" w:ascii="宋体" w:hAnsi="宋体" w:eastAsia="宋体" w:cs="宋体"/>
          <w:b/>
          <w:bCs/>
          <w:sz w:val="24"/>
          <w:szCs w:val="24"/>
        </w:rPr>
      </w:pPr>
      <w:r>
        <w:rPr>
          <w:rFonts w:hint="eastAsia" w:ascii="宋体" w:hAnsi="宋体" w:eastAsia="宋体" w:cs="宋体"/>
          <w:b w:val="0"/>
          <w:bCs/>
          <w:sz w:val="24"/>
          <w:szCs w:val="24"/>
        </w:rPr>
        <w:t>案例分析　区分方案改进、迁移意向与行动效果</w:t>
      </w:r>
    </w:p>
    <w:p w14:paraId="2F81B294">
      <w:pPr>
        <w:pageBreakBefore w:val="0"/>
        <w:overflowPunct w:val="0"/>
        <w:bidi w:val="0"/>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水足迹”项目反思中，一名学生提出将统计图方法用于垃圾分类宣传，并报告自己承担数据汇总、接受同伴建议等行动。这些材料说明学生能够回顾方法并提出新的应用方向，其中责任自评仍需与分工记录相互参照，迁移设想则需通过新任务检验。机械臂案例的图书归架任务单则留有另一小组的路径草图及约束说明，为考察新情境中的方法运用提供了更具体的材料。</w:t>
      </w:r>
    </w:p>
    <w:p w14:paraId="40CC5A44">
      <w:pPr>
        <w:keepNext/>
        <w:jc w:val="center"/>
        <w:rPr>
          <w:rFonts w:hint="eastAsia" w:ascii="宋体" w:hAnsi="宋体" w:eastAsia="宋体" w:cs="宋体"/>
        </w:rPr>
      </w:pPr>
      <w:r>
        <w:rPr>
          <w:rFonts w:hint="eastAsia" w:ascii="宋体" w:hAnsi="宋体" w:eastAsia="宋体" w:cs="宋体"/>
        </w:rPr>
        <w:drawing>
          <wp:inline distT="0" distB="0" distL="0" distR="0">
            <wp:extent cx="5108575" cy="3503295"/>
            <wp:effectExtent l="0" t="0" r="6350" b="1905"/>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37"/>
                    <a:srcRect b="5982"/>
                    <a:stretch>
                      <a:fillRect/>
                    </a:stretch>
                  </pic:blipFill>
                  <pic:spPr>
                    <a:xfrm>
                      <a:off x="0" y="0"/>
                      <a:ext cx="5108575" cy="3503295"/>
                    </a:xfrm>
                    <a:prstGeom prst="rect">
                      <a:avLst/>
                    </a:prstGeom>
                    <a:noFill/>
                  </pic:spPr>
                </pic:pic>
              </a:graphicData>
            </a:graphic>
          </wp:inline>
        </w:drawing>
      </w:r>
    </w:p>
    <w:p w14:paraId="2786AEF7">
      <w:pPr>
        <w:spacing w:line="240" w:lineRule="auto"/>
        <w:ind w:firstLine="0"/>
        <w:jc w:val="center"/>
        <w:rPr>
          <w:rFonts w:hint="eastAsia" w:ascii="宋体" w:hAnsi="宋体" w:eastAsia="宋体" w:cs="宋体"/>
        </w:rPr>
      </w:pPr>
      <w:r>
        <w:rPr>
          <w:rFonts w:hint="eastAsia" w:ascii="宋体" w:hAnsi="宋体" w:eastAsia="宋体" w:cs="宋体"/>
          <w:b w:val="0"/>
          <w:sz w:val="21"/>
        </w:rPr>
        <w:t>图3-41  反思与新情境作答</w:t>
      </w:r>
    </w:p>
    <w:p w14:paraId="2AF8060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图3-42  左侧主要呈现学生的反思与迁移意向，右侧呈现另一项目中新情境的作答，两者的证据性质应分别解释。机械臂任务单中的路径与条件说明可用于分析学生是否关注新的空间约束，但其与图16初始草图来自不同小组，不能直接作为同一组的前后对照；未附相应运行记录，也不足以判断迁移路径已通过实测。两类项目均需将群体作品、个体解释、教师支持及后续行动相互参照，避免由一次展示推断七维能力的普遍发展。</w:t>
      </w:r>
    </w:p>
    <w:p w14:paraId="684904BD">
      <w:pPr>
        <w:pStyle w:val="4"/>
        <w:keepNext/>
        <w:spacing w:before="280" w:after="280"/>
        <w:ind w:firstLine="0" w:firstLineChars="0"/>
        <w:outlineLvl w:val="4"/>
        <w:rPr>
          <w:rFonts w:hint="eastAsia" w:ascii="宋体" w:hAnsi="宋体" w:eastAsia="宋体" w:cs="宋体"/>
          <w:color w:val="auto"/>
          <w:sz w:val="24"/>
          <w:szCs w:val="24"/>
        </w:rPr>
      </w:pPr>
      <w:r>
        <w:rPr>
          <w:rFonts w:hint="eastAsia" w:ascii="宋体" w:hAnsi="宋体" w:eastAsia="宋体" w:cs="宋体"/>
          <w:b/>
          <w:color w:val="auto"/>
          <w:sz w:val="24"/>
          <w:szCs w:val="24"/>
        </w:rPr>
        <w:t>案例分析　以过程档案支持成果评价与责任判断</w:t>
      </w:r>
    </w:p>
    <w:p w14:paraId="32D7905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TOF案例提供需求调研、方案架构、原型开发、测试反思和成果表达五项评价内容，权重依次为20、25、25、20和10分。该分配提示评价需同时关注设计依据、技术实现及验证改进，但权重属于工具设计，不是学生实际得分。表3-50节选其内容，并按本研究的证据解释要求明确判断重点。</w:t>
      </w:r>
    </w:p>
    <w:p w14:paraId="0080BBF9">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表3-50  导盲项目评价内容与证据解释</w:t>
      </w:r>
    </w:p>
    <w:tbl>
      <w:tblPr>
        <w:tblStyle w:val="12"/>
        <w:tblW w:w="8522" w:type="dxa"/>
        <w:jc w:val="center"/>
        <w:tblLayout w:type="fixed"/>
        <w:tblCellMar>
          <w:top w:w="95" w:type="dxa"/>
          <w:left w:w="75" w:type="dxa"/>
          <w:bottom w:w="95" w:type="dxa"/>
          <w:right w:w="75" w:type="dxa"/>
        </w:tblCellMar>
      </w:tblPr>
      <w:tblGrid>
        <w:gridCol w:w="2208"/>
        <w:gridCol w:w="2427"/>
        <w:gridCol w:w="3887"/>
      </w:tblGrid>
      <w:tr w14:paraId="453F0FD8">
        <w:tblPrEx>
          <w:tblCellMar>
            <w:top w:w="95" w:type="dxa"/>
            <w:left w:w="75" w:type="dxa"/>
            <w:bottom w:w="95" w:type="dxa"/>
            <w:right w:w="75" w:type="dxa"/>
          </w:tblCellMar>
        </w:tblPrEx>
        <w:trPr>
          <w:cantSplit/>
          <w:tblHeader/>
          <w:jc w:val="center"/>
        </w:trPr>
        <w:tc>
          <w:tcPr>
            <w:tcW w:w="2208" w:type="dxa"/>
            <w:tcBorders>
              <w:top w:val="single" w:color="000000" w:sz="12" w:space="0"/>
            </w:tcBorders>
            <w:vAlign w:val="center"/>
          </w:tcPr>
          <w:p w14:paraId="567ED20B">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评价内容（原权重）</w:t>
            </w:r>
          </w:p>
        </w:tc>
        <w:tc>
          <w:tcPr>
            <w:tcW w:w="2427" w:type="dxa"/>
            <w:tcBorders>
              <w:top w:val="single" w:color="000000" w:sz="12" w:space="0"/>
            </w:tcBorders>
            <w:vAlign w:val="center"/>
          </w:tcPr>
          <w:p w14:paraId="2C8ACFB2">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主要材料</w:t>
            </w:r>
          </w:p>
        </w:tc>
        <w:tc>
          <w:tcPr>
            <w:tcW w:w="3887" w:type="dxa"/>
            <w:tcBorders>
              <w:top w:val="single" w:color="000000" w:sz="12" w:space="0"/>
            </w:tcBorders>
            <w:vAlign w:val="center"/>
          </w:tcPr>
          <w:p w14:paraId="266C7E06">
            <w:pPr>
              <w:keepNext/>
              <w:snapToGrid w:val="0"/>
              <w:spacing w:before="0" w:after="0" w:line="240" w:lineRule="auto"/>
              <w:ind w:left="0" w:right="0" w:firstLine="0"/>
              <w:jc w:val="center"/>
              <w:rPr>
                <w:rFonts w:hint="eastAsia" w:ascii="宋体" w:hAnsi="宋体" w:eastAsia="宋体" w:cs="宋体"/>
                <w:b/>
                <w:color w:val="auto"/>
                <w:sz w:val="20"/>
              </w:rPr>
            </w:pPr>
            <w:r>
              <w:rPr>
                <w:rFonts w:hint="eastAsia" w:ascii="宋体" w:hAnsi="宋体" w:eastAsia="宋体" w:cs="宋体"/>
                <w:b/>
                <w:color w:val="auto"/>
                <w:sz w:val="21"/>
              </w:rPr>
              <w:t>本研究的判断重点</w:t>
            </w:r>
          </w:p>
        </w:tc>
      </w:tr>
      <w:tr w14:paraId="2E8B3392">
        <w:tblPrEx>
          <w:tblCellMar>
            <w:top w:w="95" w:type="dxa"/>
            <w:left w:w="75" w:type="dxa"/>
            <w:bottom w:w="95" w:type="dxa"/>
            <w:right w:w="75" w:type="dxa"/>
          </w:tblCellMar>
        </w:tblPrEx>
        <w:trPr>
          <w:cantSplit/>
          <w:jc w:val="center"/>
        </w:trPr>
        <w:tc>
          <w:tcPr>
            <w:tcW w:w="2208" w:type="dxa"/>
            <w:tcBorders>
              <w:top w:val="single" w:color="000000" w:sz="4" w:space="0"/>
            </w:tcBorders>
            <w:vAlign w:val="center"/>
          </w:tcPr>
          <w:p w14:paraId="01033099">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需求分析（20分）</w:t>
            </w:r>
          </w:p>
        </w:tc>
        <w:tc>
          <w:tcPr>
            <w:tcW w:w="2427" w:type="dxa"/>
            <w:tcBorders>
              <w:top w:val="single" w:color="000000" w:sz="4" w:space="0"/>
            </w:tcBorders>
            <w:vAlign w:val="center"/>
          </w:tcPr>
          <w:p w14:paraId="07349283">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需求调研、同类方案比较</w:t>
            </w:r>
          </w:p>
        </w:tc>
        <w:tc>
          <w:tcPr>
            <w:tcW w:w="3887" w:type="dxa"/>
            <w:tcBorders>
              <w:top w:val="single" w:color="000000" w:sz="4" w:space="0"/>
            </w:tcBorders>
            <w:vAlign w:val="center"/>
          </w:tcPr>
          <w:p w14:paraId="76EFF8E3">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问题是否有据；是否关注具体使用情境</w:t>
            </w:r>
          </w:p>
        </w:tc>
      </w:tr>
      <w:tr w14:paraId="37C78BEA">
        <w:tblPrEx>
          <w:tblCellMar>
            <w:top w:w="95" w:type="dxa"/>
            <w:left w:w="75" w:type="dxa"/>
            <w:bottom w:w="95" w:type="dxa"/>
            <w:right w:w="75" w:type="dxa"/>
          </w:tblCellMar>
        </w:tblPrEx>
        <w:trPr>
          <w:cantSplit/>
          <w:jc w:val="center"/>
        </w:trPr>
        <w:tc>
          <w:tcPr>
            <w:tcW w:w="2208" w:type="dxa"/>
            <w:vAlign w:val="center"/>
          </w:tcPr>
          <w:p w14:paraId="7CF38EEF">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方案架构（25分）</w:t>
            </w:r>
          </w:p>
        </w:tc>
        <w:tc>
          <w:tcPr>
            <w:tcW w:w="2427" w:type="dxa"/>
            <w:vAlign w:val="center"/>
          </w:tcPr>
          <w:p w14:paraId="33C3542F">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系统框图、设计说明</w:t>
            </w:r>
          </w:p>
        </w:tc>
        <w:tc>
          <w:tcPr>
            <w:tcW w:w="3887" w:type="dxa"/>
            <w:vAlign w:val="center"/>
          </w:tcPr>
          <w:p w14:paraId="46AB2BBC">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模块关系是否清楚；选择与约束是否得到解释</w:t>
            </w:r>
          </w:p>
        </w:tc>
      </w:tr>
      <w:tr w14:paraId="1F3B8972">
        <w:tblPrEx>
          <w:tblCellMar>
            <w:top w:w="95" w:type="dxa"/>
            <w:left w:w="75" w:type="dxa"/>
            <w:bottom w:w="95" w:type="dxa"/>
            <w:right w:w="75" w:type="dxa"/>
          </w:tblCellMar>
        </w:tblPrEx>
        <w:trPr>
          <w:cantSplit/>
          <w:jc w:val="center"/>
        </w:trPr>
        <w:tc>
          <w:tcPr>
            <w:tcW w:w="2208" w:type="dxa"/>
            <w:vAlign w:val="center"/>
          </w:tcPr>
          <w:p w14:paraId="248AE8C6">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原型开发（25分）</w:t>
            </w:r>
          </w:p>
        </w:tc>
        <w:tc>
          <w:tcPr>
            <w:tcW w:w="2427" w:type="dxa"/>
            <w:vAlign w:val="center"/>
          </w:tcPr>
          <w:p w14:paraId="571B4CAB">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代码、结构、调试记录</w:t>
            </w:r>
          </w:p>
        </w:tc>
        <w:tc>
          <w:tcPr>
            <w:tcW w:w="3887" w:type="dxa"/>
            <w:vAlign w:val="center"/>
          </w:tcPr>
          <w:p w14:paraId="474D9470">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能否解释关键实现及定位故障；注明获得的支持</w:t>
            </w:r>
          </w:p>
        </w:tc>
      </w:tr>
      <w:tr w14:paraId="4ED25647">
        <w:tblPrEx>
          <w:tblCellMar>
            <w:top w:w="95" w:type="dxa"/>
            <w:left w:w="75" w:type="dxa"/>
            <w:bottom w:w="95" w:type="dxa"/>
            <w:right w:w="75" w:type="dxa"/>
          </w:tblCellMar>
        </w:tblPrEx>
        <w:trPr>
          <w:cantSplit/>
          <w:jc w:val="center"/>
        </w:trPr>
        <w:tc>
          <w:tcPr>
            <w:tcW w:w="2208" w:type="dxa"/>
            <w:vAlign w:val="center"/>
          </w:tcPr>
          <w:p w14:paraId="7287C65B">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测试与迭代（20分）</w:t>
            </w:r>
          </w:p>
        </w:tc>
        <w:tc>
          <w:tcPr>
            <w:tcW w:w="2427" w:type="dxa"/>
            <w:vAlign w:val="center"/>
          </w:tcPr>
          <w:p w14:paraId="662C9384">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测试条件、数据、修改记录</w:t>
            </w:r>
          </w:p>
        </w:tc>
        <w:tc>
          <w:tcPr>
            <w:tcW w:w="3887" w:type="dxa"/>
            <w:vAlign w:val="center"/>
          </w:tcPr>
          <w:p w14:paraId="18FA2248">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改进是否回应问题；结果及残余困难能否核查</w:t>
            </w:r>
          </w:p>
        </w:tc>
      </w:tr>
      <w:tr w14:paraId="30C4076A">
        <w:tblPrEx>
          <w:tblCellMar>
            <w:top w:w="95" w:type="dxa"/>
            <w:left w:w="75" w:type="dxa"/>
            <w:bottom w:w="95" w:type="dxa"/>
            <w:right w:w="75" w:type="dxa"/>
          </w:tblCellMar>
        </w:tblPrEx>
        <w:trPr>
          <w:cantSplit/>
          <w:jc w:val="center"/>
        </w:trPr>
        <w:tc>
          <w:tcPr>
            <w:tcW w:w="2208" w:type="dxa"/>
            <w:tcBorders>
              <w:bottom w:val="single" w:color="000000" w:sz="12" w:space="0"/>
            </w:tcBorders>
            <w:vAlign w:val="center"/>
          </w:tcPr>
          <w:p w14:paraId="3E17AA88">
            <w:pPr>
              <w:keepNext/>
              <w:snapToGrid w:val="0"/>
              <w:spacing w:before="0" w:after="0" w:line="240" w:lineRule="auto"/>
              <w:ind w:left="0" w:right="0" w:firstLine="0"/>
              <w:jc w:val="center"/>
              <w:rPr>
                <w:rFonts w:hint="eastAsia" w:ascii="宋体" w:hAnsi="宋体" w:eastAsia="宋体" w:cs="宋体"/>
                <w:color w:val="auto"/>
                <w:sz w:val="20"/>
              </w:rPr>
            </w:pPr>
            <w:r>
              <w:rPr>
                <w:rFonts w:hint="eastAsia" w:ascii="宋体" w:hAnsi="宋体" w:eastAsia="宋体" w:cs="宋体"/>
                <w:b w:val="0"/>
                <w:color w:val="auto"/>
                <w:sz w:val="21"/>
              </w:rPr>
              <w:t>成果与责任（10分）</w:t>
            </w:r>
          </w:p>
        </w:tc>
        <w:tc>
          <w:tcPr>
            <w:tcW w:w="2427" w:type="dxa"/>
            <w:tcBorders>
              <w:bottom w:val="single" w:color="000000" w:sz="12" w:space="0"/>
            </w:tcBorders>
            <w:vAlign w:val="center"/>
          </w:tcPr>
          <w:p w14:paraId="1DC2ECF6">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论文、答辩及使用价值分析</w:t>
            </w:r>
          </w:p>
        </w:tc>
        <w:tc>
          <w:tcPr>
            <w:tcW w:w="3887" w:type="dxa"/>
            <w:tcBorders>
              <w:bottom w:val="single" w:color="000000" w:sz="12" w:space="0"/>
            </w:tcBorders>
            <w:vAlign w:val="center"/>
          </w:tcPr>
          <w:p w14:paraId="7BE355F4">
            <w:pPr>
              <w:keepNext/>
              <w:snapToGrid w:val="0"/>
              <w:spacing w:before="0" w:after="0" w:line="240" w:lineRule="auto"/>
              <w:ind w:left="0" w:right="0" w:firstLine="0"/>
              <w:jc w:val="left"/>
              <w:rPr>
                <w:rFonts w:hint="eastAsia" w:ascii="宋体" w:hAnsi="宋体" w:eastAsia="宋体" w:cs="宋体"/>
                <w:color w:val="auto"/>
                <w:sz w:val="20"/>
              </w:rPr>
            </w:pPr>
            <w:r>
              <w:rPr>
                <w:rFonts w:hint="eastAsia" w:ascii="宋体" w:hAnsi="宋体" w:eastAsia="宋体" w:cs="宋体"/>
                <w:b w:val="0"/>
                <w:color w:val="auto"/>
                <w:sz w:val="21"/>
              </w:rPr>
              <w:t>能否如实报告局限，并说明适用条件</w:t>
            </w:r>
          </w:p>
        </w:tc>
      </w:tr>
    </w:tbl>
    <w:p w14:paraId="52D9AE86">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资料来源：评价项目与分值节选自刘雪瑶案例评价量规，证据及判断重点由本研究整理；不将评分等级直接视为三层学习层次。</w:t>
      </w:r>
    </w:p>
    <w:p w14:paraId="759B9A52">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与“水足迹”中的倡议和修改清单、“机械臂”中的路径草图和故障排查相比，TOF案例增加了系统框图、实物原型及阶段测试记录，使方案合理性能够接受功能与使用条件的检验。三类材料分别支持方案形成、约束权衡和系统迭代的分析，共同说明“可见”需要通过能够核查的实践表征落实。对学生七维高阶能力的判断仍应结合个体解释、贡献及多次任务表现，不能把系统性能改善直接换算为能力提升幅度。</w:t>
      </w:r>
    </w:p>
    <w:p w14:paraId="2D437F9A">
      <w:pPr>
        <w:spacing w:before="0" w:after="0" w:line="360" w:lineRule="auto"/>
        <w:ind w:firstLine="480"/>
        <w:jc w:val="both"/>
        <w:rPr>
          <w:rFonts w:hint="eastAsia" w:ascii="宋体" w:hAnsi="宋体" w:eastAsia="宋体" w:cs="宋体"/>
          <w:sz w:val="24"/>
          <w:szCs w:val="24"/>
        </w:rPr>
      </w:pPr>
      <w:r>
        <w:rPr>
          <w:rFonts w:hint="eastAsia" w:ascii="宋体" w:hAnsi="宋体" w:eastAsia="宋体" w:cs="宋体"/>
          <w:b w:val="0"/>
          <w:color w:val="auto"/>
          <w:sz w:val="24"/>
        </w:rPr>
        <w:t>从责任担当与合作共情看，关注视障者使用需要、如实报告失败结果，是值得观察的任务行为；是否持续承担分工、理解使用者意见及处理合作分歧，则需相应过程记录。该案例能够补充责任判断的具体情境，但尚不足以分别验证情绪调节、合作共情等维度的全面发展。后续可将使用者反馈、个人调试说明与教师指导记录按同一任务关联留存，使能力表现与教学作用的解释更加清楚。</w:t>
      </w:r>
    </w:p>
    <w:p w14:paraId="5723B81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表3-51  共同实施框架下的两域实践侧重</w:t>
      </w:r>
    </w:p>
    <w:tbl>
      <w:tblPr>
        <w:tblStyle w:val="12"/>
        <w:tblW w:w="8522" w:type="dxa"/>
        <w:jc w:val="center"/>
        <w:tblLayout w:type="fixed"/>
        <w:tblCellMar>
          <w:top w:w="95" w:type="dxa"/>
          <w:left w:w="75" w:type="dxa"/>
          <w:bottom w:w="95" w:type="dxa"/>
          <w:right w:w="75" w:type="dxa"/>
        </w:tblCellMar>
      </w:tblPr>
      <w:tblGrid>
        <w:gridCol w:w="1233"/>
        <w:gridCol w:w="3063"/>
        <w:gridCol w:w="4226"/>
      </w:tblGrid>
      <w:tr w14:paraId="0E10ED29">
        <w:tblPrEx>
          <w:tblCellMar>
            <w:top w:w="95" w:type="dxa"/>
            <w:left w:w="75" w:type="dxa"/>
            <w:bottom w:w="95" w:type="dxa"/>
            <w:right w:w="75" w:type="dxa"/>
          </w:tblCellMar>
        </w:tblPrEx>
        <w:trPr>
          <w:cantSplit/>
          <w:tblHeader/>
          <w:jc w:val="center"/>
        </w:trPr>
        <w:tc>
          <w:tcPr>
            <w:tcW w:w="1233" w:type="dxa"/>
            <w:tcBorders>
              <w:top w:val="single" w:color="000000" w:sz="12" w:space="0"/>
            </w:tcBorders>
            <w:vAlign w:val="center"/>
          </w:tcPr>
          <w:p w14:paraId="5A535122">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分析框架</w:t>
            </w:r>
          </w:p>
        </w:tc>
        <w:tc>
          <w:tcPr>
            <w:tcW w:w="3063" w:type="dxa"/>
            <w:tcBorders>
              <w:top w:val="single" w:color="000000" w:sz="12" w:space="0"/>
            </w:tcBorders>
            <w:vAlign w:val="center"/>
          </w:tcPr>
          <w:p w14:paraId="06B359A9">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学科场域的实施侧重</w:t>
            </w:r>
          </w:p>
        </w:tc>
        <w:tc>
          <w:tcPr>
            <w:tcW w:w="4226" w:type="dxa"/>
            <w:tcBorders>
              <w:top w:val="single" w:color="000000" w:sz="12" w:space="0"/>
            </w:tcBorders>
            <w:vAlign w:val="center"/>
          </w:tcPr>
          <w:p w14:paraId="720E37A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sz w:val="21"/>
              </w:rPr>
              <w:t>科创场域的实施特点</w:t>
            </w:r>
          </w:p>
        </w:tc>
      </w:tr>
      <w:tr w14:paraId="2FA28271">
        <w:tblPrEx>
          <w:tblCellMar>
            <w:top w:w="95" w:type="dxa"/>
            <w:left w:w="75" w:type="dxa"/>
            <w:bottom w:w="95" w:type="dxa"/>
            <w:right w:w="75" w:type="dxa"/>
          </w:tblCellMar>
        </w:tblPrEx>
        <w:trPr>
          <w:cantSplit/>
          <w:jc w:val="center"/>
        </w:trPr>
        <w:tc>
          <w:tcPr>
            <w:tcW w:w="1233" w:type="dxa"/>
            <w:tcBorders>
              <w:top w:val="single" w:color="000000" w:sz="4" w:space="0"/>
            </w:tcBorders>
            <w:vAlign w:val="center"/>
          </w:tcPr>
          <w:p w14:paraId="4D6B162D">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学习要素</w:t>
            </w:r>
          </w:p>
        </w:tc>
        <w:tc>
          <w:tcPr>
            <w:tcW w:w="3063" w:type="dxa"/>
            <w:tcBorders>
              <w:top w:val="single" w:color="000000" w:sz="4" w:space="0"/>
            </w:tcBorders>
            <w:vAlign w:val="center"/>
          </w:tcPr>
          <w:p w14:paraId="3EB9172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联系知识、目标、实践与评价</w:t>
            </w:r>
          </w:p>
        </w:tc>
        <w:tc>
          <w:tcPr>
            <w:tcW w:w="4226" w:type="dxa"/>
            <w:tcBorders>
              <w:top w:val="single" w:color="000000" w:sz="4" w:space="0"/>
            </w:tcBorders>
            <w:vAlign w:val="center"/>
          </w:tcPr>
          <w:p w14:paraId="13832705">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增设方案，使需求、依据和行动路径可讨论、可检验</w:t>
            </w:r>
          </w:p>
        </w:tc>
      </w:tr>
      <w:tr w14:paraId="28235452">
        <w:tblPrEx>
          <w:tblCellMar>
            <w:top w:w="95" w:type="dxa"/>
            <w:left w:w="75" w:type="dxa"/>
            <w:bottom w:w="95" w:type="dxa"/>
            <w:right w:w="75" w:type="dxa"/>
          </w:tblCellMar>
        </w:tblPrEx>
        <w:trPr>
          <w:cantSplit/>
          <w:jc w:val="center"/>
        </w:trPr>
        <w:tc>
          <w:tcPr>
            <w:tcW w:w="1233" w:type="dxa"/>
            <w:vAlign w:val="center"/>
          </w:tcPr>
          <w:p w14:paraId="2024DE52">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目标分析</w:t>
            </w:r>
          </w:p>
        </w:tc>
        <w:tc>
          <w:tcPr>
            <w:tcW w:w="3063" w:type="dxa"/>
            <w:vAlign w:val="center"/>
          </w:tcPr>
          <w:p w14:paraId="74D91851">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将课程要求转化为任务表现标准</w:t>
            </w:r>
          </w:p>
        </w:tc>
        <w:tc>
          <w:tcPr>
            <w:tcW w:w="4226" w:type="dxa"/>
            <w:vAlign w:val="center"/>
          </w:tcPr>
          <w:p w14:paraId="612AE6DA">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同时明确需求对象、成果要求及现实约束</w:t>
            </w:r>
          </w:p>
        </w:tc>
      </w:tr>
      <w:tr w14:paraId="5E64DAEA">
        <w:tblPrEx>
          <w:tblCellMar>
            <w:top w:w="95" w:type="dxa"/>
            <w:left w:w="75" w:type="dxa"/>
            <w:bottom w:w="95" w:type="dxa"/>
            <w:right w:w="75" w:type="dxa"/>
          </w:tblCellMar>
        </w:tblPrEx>
        <w:trPr>
          <w:cantSplit/>
          <w:jc w:val="center"/>
        </w:trPr>
        <w:tc>
          <w:tcPr>
            <w:tcW w:w="1233" w:type="dxa"/>
            <w:vAlign w:val="center"/>
          </w:tcPr>
          <w:p w14:paraId="4880DB55">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内容分析</w:t>
            </w:r>
          </w:p>
        </w:tc>
        <w:tc>
          <w:tcPr>
            <w:tcW w:w="3063" w:type="dxa"/>
            <w:vAlign w:val="center"/>
          </w:tcPr>
          <w:p w14:paraId="2C877C62">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围绕概念、关系与学科方法组织内容</w:t>
            </w:r>
          </w:p>
        </w:tc>
        <w:tc>
          <w:tcPr>
            <w:tcW w:w="4226" w:type="dxa"/>
            <w:vAlign w:val="center"/>
          </w:tcPr>
          <w:p w14:paraId="492D8D67">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依问题进展整合知识，补充设计与验证方法</w:t>
            </w:r>
          </w:p>
        </w:tc>
      </w:tr>
      <w:tr w14:paraId="40E207DF">
        <w:tblPrEx>
          <w:tblCellMar>
            <w:top w:w="95" w:type="dxa"/>
            <w:left w:w="75" w:type="dxa"/>
            <w:bottom w:w="95" w:type="dxa"/>
            <w:right w:w="75" w:type="dxa"/>
          </w:tblCellMar>
        </w:tblPrEx>
        <w:trPr>
          <w:cantSplit/>
          <w:jc w:val="center"/>
        </w:trPr>
        <w:tc>
          <w:tcPr>
            <w:tcW w:w="1233" w:type="dxa"/>
            <w:vAlign w:val="center"/>
          </w:tcPr>
          <w:p w14:paraId="32F072C0">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过程分析</w:t>
            </w:r>
          </w:p>
        </w:tc>
        <w:tc>
          <w:tcPr>
            <w:tcW w:w="3063" w:type="dxa"/>
            <w:vAlign w:val="center"/>
          </w:tcPr>
          <w:p w14:paraId="0940299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在五环中组织探究、表达与修订</w:t>
            </w:r>
          </w:p>
        </w:tc>
        <w:tc>
          <w:tcPr>
            <w:tcW w:w="4226" w:type="dxa"/>
            <w:vAlign w:val="center"/>
          </w:tcPr>
          <w:p w14:paraId="6D3924FB">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突出方案评审、原型或情境验证及再次测试</w:t>
            </w:r>
          </w:p>
        </w:tc>
      </w:tr>
      <w:tr w14:paraId="568C62DE">
        <w:tblPrEx>
          <w:tblCellMar>
            <w:top w:w="95" w:type="dxa"/>
            <w:left w:w="75" w:type="dxa"/>
            <w:bottom w:w="95" w:type="dxa"/>
            <w:right w:w="75" w:type="dxa"/>
          </w:tblCellMar>
        </w:tblPrEx>
        <w:trPr>
          <w:cantSplit/>
          <w:jc w:val="center"/>
        </w:trPr>
        <w:tc>
          <w:tcPr>
            <w:tcW w:w="1233" w:type="dxa"/>
            <w:tcBorders>
              <w:bottom w:val="single" w:color="000000" w:sz="12" w:space="0"/>
            </w:tcBorders>
            <w:vAlign w:val="center"/>
          </w:tcPr>
          <w:p w14:paraId="0592518A">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多元评价</w:t>
            </w:r>
          </w:p>
        </w:tc>
        <w:tc>
          <w:tcPr>
            <w:tcW w:w="3063" w:type="dxa"/>
            <w:tcBorders>
              <w:bottom w:val="single" w:color="000000" w:sz="12" w:space="0"/>
            </w:tcBorders>
            <w:vAlign w:val="center"/>
          </w:tcPr>
          <w:p w14:paraId="0886FD97">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sz w:val="21"/>
              </w:rPr>
              <w:t>依据解释、作品及修订判断学习</w:t>
            </w:r>
          </w:p>
        </w:tc>
        <w:tc>
          <w:tcPr>
            <w:tcW w:w="4226" w:type="dxa"/>
            <w:tcBorders>
              <w:bottom w:val="single" w:color="000000" w:sz="12" w:space="0"/>
            </w:tcBorders>
            <w:vAlign w:val="center"/>
          </w:tcPr>
          <w:p w14:paraId="0E45A261">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sz w:val="21"/>
              </w:rPr>
              <w:t>兼顾方案依据、运行或试行结果、使用反馈与迁移条件</w:t>
            </w:r>
          </w:p>
        </w:tc>
      </w:tr>
    </w:tbl>
    <w:p w14:paraId="2B93D8C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资料来源：本研究依据两域实施框架编制；各项为实施侧重，两域可交叉采用。</w:t>
      </w:r>
    </w:p>
    <w:p w14:paraId="1819DE0A">
      <w:pPr>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val="0"/>
          <w:sz w:val="24"/>
        </w:rPr>
      </w:pPr>
      <w:bookmarkStart w:id="88" w:name="_Toc24627"/>
      <w:r>
        <w:rPr>
          <w:rFonts w:hint="eastAsia" w:ascii="宋体" w:hAnsi="宋体" w:eastAsia="宋体" w:cs="宋体"/>
          <w:b w:val="0"/>
          <w:sz w:val="24"/>
          <w:lang w:eastAsia="zh-CN"/>
        </w:rPr>
        <w:t>（</w:t>
      </w:r>
      <w:r>
        <w:rPr>
          <w:rFonts w:hint="eastAsia" w:ascii="宋体" w:hAnsi="宋体" w:eastAsia="宋体" w:cs="宋体"/>
          <w:b w:val="0"/>
          <w:sz w:val="24"/>
          <w:lang w:val="en-US" w:eastAsia="zh-CN"/>
        </w:rPr>
        <w:t>6）</w:t>
      </w:r>
      <w:r>
        <w:rPr>
          <w:rFonts w:hint="eastAsia" w:ascii="宋体" w:hAnsi="宋体" w:eastAsia="宋体" w:cs="宋体"/>
          <w:b w:val="0"/>
          <w:sz w:val="24"/>
        </w:rPr>
        <w:t>科创场域的实践特点</w:t>
      </w:r>
      <w:bookmarkEnd w:id="88"/>
    </w:p>
    <w:p w14:paraId="5A89A96D">
      <w:pPr>
        <w:pageBreakBefore w:val="0"/>
        <w:overflowPunct w:val="0"/>
        <w:bidi w:val="0"/>
        <w:snapToGrid w:val="0"/>
        <w:spacing w:before="0" w:after="0" w:line="360" w:lineRule="auto"/>
        <w:ind w:firstLineChars="200"/>
        <w:jc w:val="both"/>
        <w:textAlignment w:val="auto"/>
        <w:rPr>
          <w:rFonts w:hint="eastAsia" w:ascii="宋体" w:hAnsi="宋体" w:eastAsia="宋体" w:cs="宋体"/>
          <w:b w:val="0"/>
          <w:sz w:val="24"/>
        </w:rPr>
      </w:pPr>
      <w:r>
        <w:rPr>
          <w:rFonts w:hint="eastAsia" w:ascii="宋体" w:hAnsi="宋体" w:eastAsia="宋体" w:cs="宋体"/>
          <w:b w:val="0"/>
          <w:sz w:val="24"/>
        </w:rPr>
        <w:t>表3-52  概括了共同框架在两域中的实施侧重。科创场域以真实需求明确问题，以方案联系知识与行动，以验证和反馈推动改进：“水足迹”通过调查与质询具体化行动方案，“机械臂”通过路径设计与故障分析权衡工程条件，TOF导盲系统则通过软硬件集成和多场景记录推进系统迭代。三个案例共同表明，科创学习中的方案需要经历依据说明、条件检验与持续修订，作品及数据同时构成师生判断学习的材料。浅层、深层与迁移用于把握任务深度，五环组织可回返的过程，“五见”支持师生共同分析，教师则依据证据持续调整支持。</w:t>
      </w:r>
    </w:p>
    <w:p w14:paraId="42F45FD1">
      <w:pPr>
        <w:pStyle w:val="3"/>
        <w:keepNext/>
        <w:pageBreakBefore w:val="0"/>
        <w:overflowPunct w:val="0"/>
        <w:bidi w:val="0"/>
        <w:snapToGrid w:val="0"/>
        <w:spacing w:before="240" w:after="120" w:line="360" w:lineRule="auto"/>
        <w:ind w:firstLine="0"/>
        <w:jc w:val="left"/>
        <w:textAlignment w:val="auto"/>
        <w:rPr>
          <w:rFonts w:hint="eastAsia" w:ascii="宋体" w:hAnsi="宋体" w:eastAsia="宋体" w:cs="宋体"/>
          <w:b/>
          <w:bCs/>
          <w:color w:val="auto"/>
          <w:sz w:val="28"/>
          <w:szCs w:val="28"/>
        </w:rPr>
      </w:pPr>
      <w:bookmarkStart w:id="89" w:name="_Toc4938"/>
      <w:r>
        <w:rPr>
          <w:rFonts w:hint="eastAsia" w:ascii="宋体" w:hAnsi="宋体" w:eastAsia="宋体" w:cs="宋体"/>
          <w:b/>
          <w:bCs/>
          <w:color w:val="auto"/>
          <w:sz w:val="28"/>
        </w:rPr>
        <w:t>（</w:t>
      </w:r>
      <w:r>
        <w:rPr>
          <w:rFonts w:hint="eastAsia" w:ascii="宋体" w:hAnsi="宋体" w:eastAsia="宋体" w:cs="宋体"/>
          <w:b/>
          <w:bCs/>
          <w:color w:val="auto"/>
          <w:sz w:val="28"/>
          <w:lang w:val="en-US" w:eastAsia="zh-CN"/>
        </w:rPr>
        <w:t>四</w:t>
      </w:r>
      <w:r>
        <w:rPr>
          <w:rFonts w:hint="eastAsia" w:ascii="宋体" w:hAnsi="宋体" w:eastAsia="宋体" w:cs="宋体"/>
          <w:b/>
          <w:bCs/>
          <w:color w:val="auto"/>
          <w:sz w:val="28"/>
        </w:rPr>
        <w:t>）评价体系与多源证据</w:t>
      </w:r>
      <w:bookmarkEnd w:id="89"/>
    </w:p>
    <w:p w14:paraId="647FAED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63575549">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是让学习变化有据可查，让教学调整有据可依。</w:t>
      </w:r>
    </w:p>
    <w:p w14:paraId="5029102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0" w:name="_Toc4736"/>
      <w:r>
        <w:rPr>
          <w:rFonts w:hint="eastAsia" w:ascii="宋体" w:hAnsi="宋体" w:eastAsia="宋体" w:cs="宋体"/>
          <w:b/>
          <w:sz w:val="28"/>
        </w:rPr>
        <w:t>1.评价依据、维度与指标</w:t>
      </w:r>
      <w:bookmarkEnd w:id="90"/>
    </w:p>
    <w:p w14:paraId="5E0805DD">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1" w:name="_Toc4508"/>
      <w:r>
        <w:rPr>
          <w:rFonts w:hint="eastAsia" w:ascii="宋体" w:hAnsi="宋体" w:eastAsia="宋体" w:cs="宋体"/>
          <w:b w:val="0"/>
          <w:sz w:val="24"/>
        </w:rPr>
        <w:t>（1）评价体系的设计依据</w:t>
      </w:r>
      <w:bookmarkEnd w:id="91"/>
    </w:p>
    <w:p w14:paraId="5A184E8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5245706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32E1057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7815AAA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FCCB05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七维高阶能力明确评什么；三层六阶和两境四维帮助判断发展到什么程度；五环回答在哪里观察；五见回答依据什么作出判断。</w:t>
      </w:r>
    </w:p>
    <w:p w14:paraId="0A81FF74">
      <w:pPr>
        <w:pageBreakBefore w:val="0"/>
        <w:overflowPunct w:val="0"/>
        <w:bidi w:val="0"/>
        <w:snapToGrid w:val="0"/>
        <w:spacing w:before="0" w:after="0" w:line="360" w:lineRule="auto"/>
        <w:ind w:firstLineChars="200"/>
        <w:jc w:val="both"/>
        <w:textAlignment w:val="auto"/>
        <w:rPr>
          <w:rFonts w:hint="eastAsia" w:ascii="宋体" w:hAnsi="宋体" w:eastAsia="宋体" w:cs="宋体"/>
          <w:kern w:val="0"/>
          <w:sz w:val="24"/>
        </w:rPr>
      </w:pPr>
      <w:r>
        <w:rPr>
          <w:rFonts w:hint="eastAsia" w:ascii="宋体" w:hAnsi="宋体" w:eastAsia="宋体" w:cs="宋体"/>
          <w:b w:val="0"/>
          <w:kern w:val="0"/>
          <w:sz w:val="24"/>
        </w:rPr>
        <w:t>评价体系的设计还考虑了高阶能力评价的两类风险。其一是以术语代替思维，当评价标准只关注学生是否使用了特定的分析术语时，学生可能通过套用术语获得较高评价</w:t>
      </w:r>
      <w:r>
        <w:rPr>
          <w:rStyle w:val="16"/>
          <w:rFonts w:hint="eastAsia" w:ascii="宋体" w:hAnsi="宋体" w:eastAsia="宋体" w:cs="宋体"/>
          <w:b w:val="0"/>
          <w:kern w:val="0"/>
          <w:sz w:val="24"/>
          <w:vertAlign w:val="superscript"/>
        </w:rPr>
        <w:footnoteReference w:id="115"/>
      </w:r>
      <w:r>
        <w:rPr>
          <w:rFonts w:hint="eastAsia" w:ascii="宋体" w:hAnsi="宋体" w:eastAsia="宋体" w:cs="宋体"/>
          <w:b w:val="0"/>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Style w:val="16"/>
          <w:rFonts w:hint="eastAsia" w:ascii="宋体" w:hAnsi="宋体" w:eastAsia="宋体" w:cs="宋体"/>
          <w:b w:val="0"/>
          <w:kern w:val="0"/>
          <w:sz w:val="24"/>
          <w:vertAlign w:val="superscript"/>
        </w:rPr>
        <w:footnoteReference w:id="116"/>
      </w:r>
      <w:r>
        <w:rPr>
          <w:rFonts w:hint="eastAsia" w:ascii="宋体" w:hAnsi="宋体" w:eastAsia="宋体" w:cs="宋体"/>
          <w:b w:val="0"/>
          <w:kern w:val="0"/>
          <w:sz w:val="24"/>
        </w:rPr>
        <w:t>，因此课堂中的评价以形成性反馈为主，分数主要用于研究层面的前后比较。在思维层次判断上，评价指标与研究设计中的表2-1相衔接，以布卢姆分类界定任务要求，以SOLO分类判断学生回答和作品的结构水平。</w:t>
      </w:r>
    </w:p>
    <w:p w14:paraId="2764640E">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2" w:name="_Toc2945"/>
      <w:r>
        <w:rPr>
          <w:rFonts w:hint="eastAsia" w:ascii="宋体" w:hAnsi="宋体" w:eastAsia="宋体" w:cs="宋体"/>
          <w:b w:val="0"/>
          <w:sz w:val="24"/>
        </w:rPr>
        <w:t>（2）评价维度</w:t>
      </w:r>
      <w:bookmarkEnd w:id="92"/>
    </w:p>
    <w:p w14:paraId="7594264A">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448715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660D7105">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3" w:name="_Toc12243"/>
      <w:r>
        <w:rPr>
          <w:rFonts w:hint="eastAsia" w:ascii="宋体" w:hAnsi="宋体" w:eastAsia="宋体" w:cs="宋体"/>
          <w:b w:val="0"/>
          <w:sz w:val="24"/>
        </w:rPr>
        <w:t>（3）评价指标</w:t>
      </w:r>
      <w:bookmarkEnd w:id="93"/>
    </w:p>
    <w:p w14:paraId="2DA612C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为了避免七维能力停留在概念层面，我们进一步把每一个维度转化为课堂和项目学习中能够观察到的表现，为教师观察学习、分析证据和判断变化提供共同参照。</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85"/>
        <w:gridCol w:w="7237"/>
      </w:tblGrid>
      <w:tr w14:paraId="18E6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1285" w:type="dxa"/>
            <w:tcBorders>
              <w:top w:val="single" w:color="000000" w:sz="12" w:space="0"/>
              <w:left w:val="nil"/>
              <w:bottom w:val="nil"/>
              <w:right w:val="nil"/>
            </w:tcBorders>
            <w:vAlign w:val="center"/>
          </w:tcPr>
          <w:p w14:paraId="5649BC21">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评价维度</w:t>
            </w:r>
          </w:p>
        </w:tc>
        <w:tc>
          <w:tcPr>
            <w:tcW w:w="7237" w:type="dxa"/>
            <w:tcBorders>
              <w:top w:val="single" w:color="000000" w:sz="12" w:space="0"/>
              <w:left w:val="nil"/>
              <w:bottom w:val="nil"/>
              <w:right w:val="nil"/>
            </w:tcBorders>
            <w:vAlign w:val="center"/>
          </w:tcPr>
          <w:p w14:paraId="0E6647CC">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主要评价表现</w:t>
            </w:r>
          </w:p>
        </w:tc>
      </w:tr>
      <w:tr w14:paraId="71DE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left w:val="nil"/>
              <w:bottom w:val="nil"/>
              <w:right w:val="nil"/>
            </w:tcBorders>
            <w:vAlign w:val="center"/>
          </w:tcPr>
          <w:p w14:paraId="05F5D6FE">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分析</w:t>
            </w:r>
          </w:p>
        </w:tc>
        <w:tc>
          <w:tcPr>
            <w:tcW w:w="7237" w:type="dxa"/>
            <w:tcBorders>
              <w:left w:val="nil"/>
              <w:bottom w:val="nil"/>
              <w:right w:val="nil"/>
            </w:tcBorders>
            <w:vAlign w:val="center"/>
          </w:tcPr>
          <w:p w14:paraId="7A6D204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能够拆解问题、识别条件、辨析信息，发现要素之间的关键联系。</w:t>
            </w:r>
          </w:p>
        </w:tc>
      </w:tr>
      <w:tr w14:paraId="1882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43CA0D1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评价</w:t>
            </w:r>
          </w:p>
        </w:tc>
        <w:tc>
          <w:tcPr>
            <w:tcW w:w="7237" w:type="dxa"/>
            <w:tcBorders>
              <w:top w:val="nil"/>
              <w:left w:val="nil"/>
              <w:bottom w:val="nil"/>
              <w:right w:val="nil"/>
            </w:tcBorders>
            <w:vAlign w:val="center"/>
          </w:tcPr>
          <w:p w14:paraId="46D4C43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能够依据事实、证据或标准进行比较、判断、质疑，并修正原有观点。</w:t>
            </w:r>
          </w:p>
        </w:tc>
      </w:tr>
      <w:tr w14:paraId="5AC1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660BC11F">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创造</w:t>
            </w:r>
          </w:p>
        </w:tc>
        <w:tc>
          <w:tcPr>
            <w:tcW w:w="7237" w:type="dxa"/>
            <w:tcBorders>
              <w:top w:val="nil"/>
              <w:left w:val="nil"/>
              <w:bottom w:val="nil"/>
              <w:right w:val="nil"/>
            </w:tcBorders>
            <w:vAlign w:val="center"/>
          </w:tcPr>
          <w:p w14:paraId="1963E699">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能够形成新的观点、方案或解释，并将已有知识和方法迁移到新的问题情境。</w:t>
            </w:r>
          </w:p>
        </w:tc>
      </w:tr>
      <w:tr w14:paraId="1C8A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73D2B47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责任担当</w:t>
            </w:r>
          </w:p>
        </w:tc>
        <w:tc>
          <w:tcPr>
            <w:tcW w:w="7237" w:type="dxa"/>
            <w:tcBorders>
              <w:top w:val="nil"/>
              <w:left w:val="nil"/>
              <w:bottom w:val="nil"/>
              <w:right w:val="nil"/>
            </w:tcBorders>
            <w:vAlign w:val="center"/>
          </w:tcPr>
          <w:p w14:paraId="4FD0F6BA">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能够明确个人与团队责任，主动投入并持续完成任务，对学习过程和结果负责。</w:t>
            </w:r>
          </w:p>
        </w:tc>
      </w:tr>
      <w:tr w14:paraId="6CC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0B0797E5">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情绪调节</w:t>
            </w:r>
          </w:p>
        </w:tc>
        <w:tc>
          <w:tcPr>
            <w:tcW w:w="7237" w:type="dxa"/>
            <w:tcBorders>
              <w:top w:val="nil"/>
              <w:left w:val="nil"/>
              <w:bottom w:val="nil"/>
              <w:right w:val="nil"/>
            </w:tcBorders>
            <w:vAlign w:val="center"/>
          </w:tcPr>
          <w:p w14:paraId="43C3868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面对困难、失败或观点冲突时，能够调整情绪和行为，保持持续学习状态。</w:t>
            </w:r>
          </w:p>
        </w:tc>
      </w:tr>
      <w:tr w14:paraId="1108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nil"/>
              <w:right w:val="nil"/>
            </w:tcBorders>
            <w:vAlign w:val="center"/>
          </w:tcPr>
          <w:p w14:paraId="482D07A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合作共情</w:t>
            </w:r>
          </w:p>
        </w:tc>
        <w:tc>
          <w:tcPr>
            <w:tcW w:w="7237" w:type="dxa"/>
            <w:tcBorders>
              <w:top w:val="nil"/>
              <w:left w:val="nil"/>
              <w:bottom w:val="nil"/>
              <w:right w:val="nil"/>
            </w:tcBorders>
            <w:vAlign w:val="center"/>
          </w:tcPr>
          <w:p w14:paraId="439D154F">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能够倾听、理解和回应他人观点，通过协商和合作形成更完整的认识。</w:t>
            </w:r>
          </w:p>
        </w:tc>
      </w:tr>
      <w:tr w14:paraId="0EF0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285" w:type="dxa"/>
            <w:tcBorders>
              <w:top w:val="nil"/>
              <w:left w:val="nil"/>
              <w:bottom w:val="single" w:color="000000" w:sz="12" w:space="0"/>
              <w:right w:val="nil"/>
            </w:tcBorders>
            <w:vAlign w:val="center"/>
          </w:tcPr>
          <w:p w14:paraId="016F063D">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包容创新</w:t>
            </w:r>
          </w:p>
        </w:tc>
        <w:tc>
          <w:tcPr>
            <w:tcW w:w="7237" w:type="dxa"/>
            <w:tcBorders>
              <w:top w:val="nil"/>
              <w:left w:val="nil"/>
              <w:bottom w:val="single" w:color="000000" w:sz="12" w:space="0"/>
              <w:right w:val="nil"/>
            </w:tcBorders>
            <w:vAlign w:val="center"/>
          </w:tcPr>
          <w:p w14:paraId="4AD6C3F4">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能够接纳不同观点和新的信息，在开放和不确定情境中持续尝试、调整并形成新想法。</w:t>
            </w:r>
          </w:p>
        </w:tc>
      </w:tr>
    </w:tbl>
    <w:p w14:paraId="6AB1AF75">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4" w:name="_Toc26057"/>
      <w:r>
        <w:rPr>
          <w:rFonts w:hint="eastAsia" w:ascii="宋体" w:hAnsi="宋体" w:eastAsia="宋体" w:cs="宋体"/>
          <w:b/>
          <w:sz w:val="28"/>
        </w:rPr>
        <w:t>2.数据采集系统</w:t>
      </w:r>
      <w:bookmarkEnd w:id="94"/>
    </w:p>
    <w:p w14:paraId="273BF8A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为尽可能真实、客观地反映学生高阶能力的发展变化，我们在研究过程中没有把判断建立在单一问卷或单次课堂评价上，而围绕学生、教师和课堂三个层面持续收集不同类型的数据。</w:t>
      </w:r>
    </w:p>
    <w:p w14:paraId="5E84498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519136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通过不同来源证据的相互参照，提高对研究成效判断的可靠性。</w:t>
      </w:r>
    </w:p>
    <w:p w14:paraId="53BB7DCA">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表3-53  高阶能力培育评价工具与证据采集</w:t>
      </w:r>
    </w:p>
    <w:tbl>
      <w:tblPr>
        <w:tblStyle w:val="13"/>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96"/>
        <w:gridCol w:w="1715"/>
        <w:gridCol w:w="1386"/>
        <w:gridCol w:w="1120"/>
        <w:gridCol w:w="3217"/>
      </w:tblGrid>
      <w:tr w14:paraId="20F5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jc w:val="center"/>
        </w:trPr>
        <w:tc>
          <w:tcPr>
            <w:tcW w:w="1596" w:type="dxa"/>
            <w:tcBorders>
              <w:top w:val="single" w:color="000000" w:sz="12" w:space="0"/>
              <w:left w:val="nil"/>
              <w:bottom w:val="nil"/>
              <w:right w:val="nil"/>
            </w:tcBorders>
            <w:vAlign w:val="center"/>
          </w:tcPr>
          <w:p w14:paraId="449A3BF4">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考察维度</w:t>
            </w:r>
          </w:p>
        </w:tc>
        <w:tc>
          <w:tcPr>
            <w:tcW w:w="1715" w:type="dxa"/>
            <w:tcBorders>
              <w:top w:val="single" w:color="000000" w:sz="12" w:space="0"/>
              <w:left w:val="nil"/>
              <w:bottom w:val="nil"/>
              <w:right w:val="nil"/>
            </w:tcBorders>
            <w:vAlign w:val="center"/>
          </w:tcPr>
          <w:p w14:paraId="1D3E8EB6">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工具/方法</w:t>
            </w:r>
          </w:p>
        </w:tc>
        <w:tc>
          <w:tcPr>
            <w:tcW w:w="1386" w:type="dxa"/>
            <w:tcBorders>
              <w:top w:val="single" w:color="000000" w:sz="12" w:space="0"/>
              <w:left w:val="nil"/>
              <w:bottom w:val="nil"/>
              <w:right w:val="nil"/>
            </w:tcBorders>
            <w:vAlign w:val="center"/>
          </w:tcPr>
          <w:p w14:paraId="7AE31755">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数据类型</w:t>
            </w:r>
          </w:p>
        </w:tc>
        <w:tc>
          <w:tcPr>
            <w:tcW w:w="1120" w:type="dxa"/>
            <w:tcBorders>
              <w:top w:val="single" w:color="000000" w:sz="12" w:space="0"/>
              <w:left w:val="nil"/>
              <w:bottom w:val="nil"/>
              <w:right w:val="nil"/>
            </w:tcBorders>
            <w:vAlign w:val="center"/>
          </w:tcPr>
          <w:p w14:paraId="651A1BAD">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采集频次</w:t>
            </w:r>
          </w:p>
        </w:tc>
        <w:tc>
          <w:tcPr>
            <w:tcW w:w="3217" w:type="dxa"/>
            <w:tcBorders>
              <w:top w:val="single" w:color="000000" w:sz="12" w:space="0"/>
              <w:left w:val="nil"/>
              <w:bottom w:val="nil"/>
              <w:right w:val="nil"/>
            </w:tcBorders>
            <w:vAlign w:val="center"/>
          </w:tcPr>
          <w:p w14:paraId="2D73E74F">
            <w:pPr>
              <w:overflowPunct w:val="0"/>
              <w:bidi w:val="0"/>
              <w:snapToGrid w:val="0"/>
              <w:spacing w:before="0" w:after="0" w:line="240" w:lineRule="auto"/>
              <w:ind w:left="0" w:right="0" w:firstLine="0"/>
              <w:jc w:val="center"/>
              <w:textAlignment w:val="auto"/>
              <w:rPr>
                <w:rFonts w:hint="eastAsia" w:ascii="宋体" w:hAnsi="宋体" w:eastAsia="宋体" w:cs="宋体"/>
                <w:b/>
                <w:sz w:val="21"/>
                <w:szCs w:val="21"/>
              </w:rPr>
            </w:pPr>
            <w:r>
              <w:rPr>
                <w:rFonts w:hint="eastAsia" w:ascii="宋体" w:hAnsi="宋体" w:eastAsia="宋体" w:cs="宋体"/>
                <w:b/>
                <w:sz w:val="21"/>
                <w:szCs w:val="21"/>
              </w:rPr>
              <w:t>论证支持</w:t>
            </w:r>
          </w:p>
        </w:tc>
      </w:tr>
      <w:tr w14:paraId="466D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vMerge w:val="restart"/>
            <w:tcBorders>
              <w:left w:val="nil"/>
              <w:bottom w:val="nil"/>
              <w:right w:val="nil"/>
            </w:tcBorders>
            <w:vAlign w:val="center"/>
          </w:tcPr>
          <w:p w14:paraId="0F710DC9">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学生能力变化</w:t>
            </w:r>
          </w:p>
        </w:tc>
        <w:tc>
          <w:tcPr>
            <w:tcW w:w="1715" w:type="dxa"/>
            <w:tcBorders>
              <w:left w:val="nil"/>
              <w:bottom w:val="nil"/>
              <w:right w:val="nil"/>
            </w:tcBorders>
            <w:vAlign w:val="center"/>
          </w:tcPr>
          <w:p w14:paraId="26549906">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学生高阶能力问卷</w:t>
            </w:r>
          </w:p>
        </w:tc>
        <w:tc>
          <w:tcPr>
            <w:tcW w:w="1386" w:type="dxa"/>
            <w:tcBorders>
              <w:left w:val="nil"/>
              <w:bottom w:val="nil"/>
              <w:right w:val="nil"/>
            </w:tcBorders>
            <w:vAlign w:val="center"/>
          </w:tcPr>
          <w:p w14:paraId="55D62FDC">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left w:val="nil"/>
              <w:bottom w:val="nil"/>
              <w:right w:val="nil"/>
            </w:tcBorders>
            <w:vAlign w:val="center"/>
          </w:tcPr>
          <w:p w14:paraId="48E4A39D">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left w:val="nil"/>
              <w:bottom w:val="nil"/>
              <w:right w:val="nil"/>
            </w:tcBorders>
            <w:vAlign w:val="center"/>
          </w:tcPr>
          <w:p w14:paraId="70D6966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支持判断学生分析、评价、创造三个维度是否发生变化。</w:t>
            </w:r>
          </w:p>
        </w:tc>
      </w:tr>
      <w:tr w14:paraId="19A5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vMerge w:val="continue"/>
            <w:tcBorders>
              <w:top w:val="nil"/>
              <w:left w:val="nil"/>
              <w:bottom w:val="nil"/>
              <w:right w:val="nil"/>
            </w:tcBorders>
            <w:vAlign w:val="center"/>
          </w:tcPr>
          <w:p w14:paraId="5A84E952">
            <w:pPr>
              <w:overflowPunct w:val="0"/>
              <w:bidi w:val="0"/>
              <w:snapToGrid w:val="0"/>
              <w:spacing w:before="20" w:after="20" w:line="240" w:lineRule="auto"/>
              <w:ind w:left="0" w:right="0" w:firstLine="0"/>
              <w:jc w:val="center"/>
              <w:textAlignment w:val="auto"/>
              <w:rPr>
                <w:rFonts w:hint="eastAsia" w:ascii="宋体" w:hAnsi="宋体" w:eastAsia="宋体" w:cs="宋体"/>
                <w:sz w:val="21"/>
                <w:szCs w:val="21"/>
              </w:rPr>
            </w:pPr>
          </w:p>
        </w:tc>
        <w:tc>
          <w:tcPr>
            <w:tcW w:w="1715" w:type="dxa"/>
            <w:tcBorders>
              <w:top w:val="nil"/>
              <w:left w:val="nil"/>
              <w:bottom w:val="nil"/>
              <w:right w:val="nil"/>
            </w:tcBorders>
            <w:vAlign w:val="center"/>
          </w:tcPr>
          <w:p w14:paraId="47B208B1">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学生高阶能力问卷</w:t>
            </w:r>
          </w:p>
        </w:tc>
        <w:tc>
          <w:tcPr>
            <w:tcW w:w="1386" w:type="dxa"/>
            <w:tcBorders>
              <w:top w:val="nil"/>
              <w:left w:val="nil"/>
              <w:bottom w:val="nil"/>
              <w:right w:val="nil"/>
            </w:tcBorders>
            <w:vAlign w:val="center"/>
          </w:tcPr>
          <w:p w14:paraId="0FCD8E77">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top w:val="nil"/>
              <w:left w:val="nil"/>
              <w:bottom w:val="nil"/>
              <w:right w:val="nil"/>
            </w:tcBorders>
            <w:vAlign w:val="center"/>
          </w:tcPr>
          <w:p w14:paraId="773AD6B6">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top w:val="nil"/>
              <w:left w:val="nil"/>
              <w:bottom w:val="nil"/>
              <w:right w:val="nil"/>
            </w:tcBorders>
            <w:vAlign w:val="center"/>
          </w:tcPr>
          <w:p w14:paraId="0C809A42">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支持判断学生责任担当、情绪调节、合作共情、包容创新四个维度是否发生变化。</w:t>
            </w:r>
          </w:p>
        </w:tc>
      </w:tr>
      <w:tr w14:paraId="7BA3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tcBorders>
              <w:top w:val="nil"/>
              <w:left w:val="nil"/>
              <w:bottom w:val="nil"/>
              <w:right w:val="nil"/>
            </w:tcBorders>
            <w:vAlign w:val="center"/>
          </w:tcPr>
          <w:p w14:paraId="5DD6C590">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教师能力变化</w:t>
            </w:r>
          </w:p>
        </w:tc>
        <w:tc>
          <w:tcPr>
            <w:tcW w:w="1715" w:type="dxa"/>
            <w:tcBorders>
              <w:top w:val="nil"/>
              <w:left w:val="nil"/>
              <w:bottom w:val="nil"/>
              <w:right w:val="nil"/>
            </w:tcBorders>
            <w:vAlign w:val="center"/>
          </w:tcPr>
          <w:p w14:paraId="2E600A4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教师高阶能力培育问卷</w:t>
            </w:r>
          </w:p>
        </w:tc>
        <w:tc>
          <w:tcPr>
            <w:tcW w:w="1386" w:type="dxa"/>
            <w:tcBorders>
              <w:top w:val="nil"/>
              <w:left w:val="nil"/>
              <w:bottom w:val="nil"/>
              <w:right w:val="nil"/>
            </w:tcBorders>
            <w:vAlign w:val="center"/>
          </w:tcPr>
          <w:p w14:paraId="3D62D5B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w:t>
            </w:r>
          </w:p>
        </w:tc>
        <w:tc>
          <w:tcPr>
            <w:tcW w:w="1120" w:type="dxa"/>
            <w:tcBorders>
              <w:top w:val="nil"/>
              <w:left w:val="nil"/>
              <w:bottom w:val="nil"/>
              <w:right w:val="nil"/>
            </w:tcBorders>
            <w:vAlign w:val="center"/>
          </w:tcPr>
          <w:p w14:paraId="6B6F577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前测、后测各一次</w:t>
            </w:r>
          </w:p>
        </w:tc>
        <w:tc>
          <w:tcPr>
            <w:tcW w:w="3217" w:type="dxa"/>
            <w:tcBorders>
              <w:top w:val="nil"/>
              <w:left w:val="nil"/>
              <w:bottom w:val="nil"/>
              <w:right w:val="nil"/>
            </w:tcBorders>
            <w:vAlign w:val="center"/>
          </w:tcPr>
          <w:p w14:paraId="62058FBB">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支持判断教师在高阶能力培育认知、课堂实践、教学自我效能及现实困难等方面是否发生变化。</w:t>
            </w:r>
          </w:p>
        </w:tc>
      </w:tr>
      <w:tr w14:paraId="638D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596" w:type="dxa"/>
            <w:tcBorders>
              <w:top w:val="nil"/>
              <w:left w:val="nil"/>
              <w:bottom w:val="nil"/>
              <w:right w:val="nil"/>
            </w:tcBorders>
            <w:vAlign w:val="center"/>
          </w:tcPr>
          <w:p w14:paraId="61E8EBBE">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课堂质量变化</w:t>
            </w:r>
          </w:p>
        </w:tc>
        <w:tc>
          <w:tcPr>
            <w:tcW w:w="1715" w:type="dxa"/>
            <w:tcBorders>
              <w:top w:val="nil"/>
              <w:left w:val="nil"/>
              <w:bottom w:val="nil"/>
              <w:right w:val="nil"/>
            </w:tcBorders>
            <w:vAlign w:val="center"/>
          </w:tcPr>
          <w:p w14:paraId="2C871D7A">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教师五维评课量表、开放式评课文本</w:t>
            </w:r>
          </w:p>
        </w:tc>
        <w:tc>
          <w:tcPr>
            <w:tcW w:w="1386" w:type="dxa"/>
            <w:tcBorders>
              <w:top w:val="nil"/>
              <w:left w:val="nil"/>
              <w:bottom w:val="nil"/>
              <w:right w:val="nil"/>
            </w:tcBorders>
            <w:vAlign w:val="center"/>
          </w:tcPr>
          <w:p w14:paraId="00B28C34">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定量＋定性</w:t>
            </w:r>
          </w:p>
        </w:tc>
        <w:tc>
          <w:tcPr>
            <w:tcW w:w="1120" w:type="dxa"/>
            <w:tcBorders>
              <w:top w:val="nil"/>
              <w:left w:val="nil"/>
              <w:bottom w:val="nil"/>
              <w:right w:val="nil"/>
            </w:tcBorders>
            <w:vAlign w:val="center"/>
          </w:tcPr>
          <w:p w14:paraId="04AA1B58">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按研究课采集</w:t>
            </w:r>
          </w:p>
        </w:tc>
        <w:tc>
          <w:tcPr>
            <w:tcW w:w="3217" w:type="dxa"/>
            <w:tcBorders>
              <w:top w:val="nil"/>
              <w:left w:val="nil"/>
              <w:bottom w:val="nil"/>
              <w:right w:val="nil"/>
            </w:tcBorders>
            <w:vAlign w:val="center"/>
          </w:tcPr>
          <w:p w14:paraId="28FD9B6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支持判断课堂在认知参与、学科内容建构、社会情感支持、课堂互动和形成性评价方面的表现及其优势与不足。</w:t>
            </w:r>
          </w:p>
        </w:tc>
      </w:tr>
      <w:tr w14:paraId="7677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596" w:type="dxa"/>
            <w:tcBorders>
              <w:top w:val="nil"/>
              <w:left w:val="nil"/>
              <w:bottom w:val="single" w:color="000000" w:sz="12" w:space="0"/>
              <w:right w:val="nil"/>
            </w:tcBorders>
            <w:vAlign w:val="center"/>
          </w:tcPr>
          <w:p w14:paraId="40063513">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课堂行为变化</w:t>
            </w:r>
          </w:p>
        </w:tc>
        <w:tc>
          <w:tcPr>
            <w:tcW w:w="1715" w:type="dxa"/>
            <w:tcBorders>
              <w:top w:val="nil"/>
              <w:left w:val="nil"/>
              <w:bottom w:val="single" w:color="000000" w:sz="12" w:space="0"/>
              <w:right w:val="nil"/>
            </w:tcBorders>
            <w:vAlign w:val="center"/>
          </w:tcPr>
          <w:p w14:paraId="201824A0">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希沃AI课堂智能反馈系统</w:t>
            </w:r>
          </w:p>
        </w:tc>
        <w:tc>
          <w:tcPr>
            <w:tcW w:w="1386" w:type="dxa"/>
            <w:tcBorders>
              <w:top w:val="nil"/>
              <w:left w:val="nil"/>
              <w:bottom w:val="single" w:color="000000" w:sz="12" w:space="0"/>
              <w:right w:val="nil"/>
            </w:tcBorders>
            <w:vAlign w:val="center"/>
          </w:tcPr>
          <w:p w14:paraId="2D18656D">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定量＋定性</w:t>
            </w:r>
          </w:p>
        </w:tc>
        <w:tc>
          <w:tcPr>
            <w:tcW w:w="1120" w:type="dxa"/>
            <w:tcBorders>
              <w:top w:val="nil"/>
              <w:left w:val="nil"/>
              <w:bottom w:val="single" w:color="000000" w:sz="12" w:space="0"/>
              <w:right w:val="nil"/>
            </w:tcBorders>
            <w:vAlign w:val="center"/>
          </w:tcPr>
          <w:p w14:paraId="3659A4EB">
            <w:pPr>
              <w:overflowPunct w:val="0"/>
              <w:bidi w:val="0"/>
              <w:snapToGrid w:val="0"/>
              <w:spacing w:before="0" w:after="0" w:line="240" w:lineRule="auto"/>
              <w:ind w:left="0" w:right="0" w:firstLine="0"/>
              <w:jc w:val="center"/>
              <w:textAlignment w:val="auto"/>
              <w:rPr>
                <w:rFonts w:hint="eastAsia" w:ascii="宋体" w:hAnsi="宋体" w:eastAsia="宋体" w:cs="宋体"/>
                <w:sz w:val="21"/>
                <w:szCs w:val="21"/>
              </w:rPr>
            </w:pPr>
            <w:r>
              <w:rPr>
                <w:rFonts w:hint="eastAsia" w:ascii="宋体" w:hAnsi="宋体" w:eastAsia="宋体" w:cs="宋体"/>
                <w:sz w:val="21"/>
                <w:szCs w:val="21"/>
              </w:rPr>
              <w:t>按研究课采集</w:t>
            </w:r>
          </w:p>
        </w:tc>
        <w:tc>
          <w:tcPr>
            <w:tcW w:w="3217" w:type="dxa"/>
            <w:tcBorders>
              <w:top w:val="nil"/>
              <w:left w:val="nil"/>
              <w:bottom w:val="single" w:color="000000" w:sz="12" w:space="0"/>
              <w:right w:val="nil"/>
            </w:tcBorders>
            <w:vAlign w:val="center"/>
          </w:tcPr>
          <w:p w14:paraId="2A14BAD8">
            <w:pPr>
              <w:overflowPunct w:val="0"/>
              <w:bidi w:val="0"/>
              <w:snapToGrid w:val="0"/>
              <w:spacing w:before="0" w:after="0" w:line="240" w:lineRule="auto"/>
              <w:ind w:left="0" w:right="0" w:firstLine="0"/>
              <w:jc w:val="left"/>
              <w:textAlignment w:val="auto"/>
              <w:rPr>
                <w:rFonts w:hint="eastAsia" w:ascii="宋体" w:hAnsi="宋体" w:eastAsia="宋体" w:cs="宋体"/>
                <w:sz w:val="21"/>
                <w:szCs w:val="21"/>
              </w:rPr>
            </w:pPr>
            <w:r>
              <w:rPr>
                <w:rFonts w:hint="eastAsia" w:ascii="宋体" w:hAnsi="宋体" w:eastAsia="宋体" w:cs="宋体"/>
                <w:sz w:val="21"/>
                <w:szCs w:val="21"/>
              </w:rPr>
              <w:t>支持判断教师与学生课堂行为结构、参与方式和互动状态，为课堂学习过程分析提供行为证据。</w:t>
            </w:r>
          </w:p>
        </w:tc>
      </w:tr>
    </w:tbl>
    <w:p w14:paraId="61D2DB0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教师五维评课和希沃AI评课反映的是课堂学习条件和行为过程。五维评课更多体现教师基于专业标准对课堂学习状态和教学支持的判断，希沃AI评课更多呈现课堂中实际发生的行为过程。二者与学生、教师前后测相互补充，从不同角度呈现研究实践中发生的变化。</w:t>
      </w:r>
    </w:p>
    <w:p w14:paraId="7E5DA39A">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rPr>
      </w:pPr>
      <w:bookmarkStart w:id="95" w:name="_Toc4180"/>
      <w:r>
        <w:rPr>
          <w:rFonts w:hint="eastAsia" w:ascii="宋体" w:hAnsi="宋体" w:eastAsia="宋体" w:cs="宋体"/>
          <w:b/>
          <w:sz w:val="28"/>
        </w:rPr>
        <w:t>3.多源证据链</w:t>
      </w:r>
      <w:bookmarkEnd w:id="95"/>
    </w:p>
    <w:p w14:paraId="7C31BC92">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多源数据只有建立起相互联系，才能真正成为研究证据。为此，我们主要从纵向变化、学习过程和多元评价三个方面组织研究证据。</w:t>
      </w:r>
    </w:p>
    <w:p w14:paraId="69982A98">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6" w:name="_Toc19419"/>
      <w:r>
        <w:rPr>
          <w:rFonts w:hint="eastAsia" w:ascii="宋体" w:hAnsi="宋体" w:eastAsia="宋体" w:cs="宋体"/>
          <w:b w:val="0"/>
          <w:sz w:val="24"/>
        </w:rPr>
        <w:t>（1）前测、过程与后测的纵向证据</w:t>
      </w:r>
      <w:bookmarkEnd w:id="96"/>
    </w:p>
    <w:p w14:paraId="421DC7E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0914494">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9554809">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7" w:name="_Toc18046"/>
      <w:r>
        <w:rPr>
          <w:rFonts w:hint="eastAsia" w:ascii="宋体" w:hAnsi="宋体" w:eastAsia="宋体" w:cs="宋体"/>
          <w:b w:val="0"/>
          <w:sz w:val="24"/>
        </w:rPr>
        <w:t>（2）起点、过程、变化与迁移的横向证据</w:t>
      </w:r>
      <w:bookmarkEnd w:id="97"/>
    </w:p>
    <w:p w14:paraId="156C7F03">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3F7BFAB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05EF5D54">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98" w:name="_Toc29405"/>
      <w:r>
        <w:rPr>
          <w:rFonts w:hint="eastAsia" w:ascii="宋体" w:hAnsi="宋体" w:eastAsia="宋体" w:cs="宋体"/>
          <w:b w:val="0"/>
          <w:sz w:val="24"/>
        </w:rPr>
        <w:t>（3）自评、互评、师评与智评的多元互证</w:t>
      </w:r>
      <w:bookmarkEnd w:id="98"/>
    </w:p>
    <w:p w14:paraId="7E26EA7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171BD74C">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3243A75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和评估，判断学生当前在哪里、教学支持是否有效、下一步需要怎样调整。由此，评价不再只是研究结束后的成效说明，而成为我们看见学习、判断学习并改进教学的重要依据。</w:t>
      </w:r>
    </w:p>
    <w:p w14:paraId="5B6B4BAD">
      <w:pPr>
        <w:pStyle w:val="3"/>
        <w:keepNext/>
        <w:pageBreakBefore w:val="0"/>
        <w:overflowPunct w:val="0"/>
        <w:bidi w:val="0"/>
        <w:snapToGrid w:val="0"/>
        <w:spacing w:before="240" w:after="120" w:line="360" w:lineRule="auto"/>
        <w:ind w:firstLineChars="200"/>
        <w:jc w:val="left"/>
        <w:textAlignment w:val="auto"/>
        <w:rPr>
          <w:rFonts w:hint="eastAsia" w:ascii="宋体" w:hAnsi="宋体" w:eastAsia="宋体" w:cs="宋体"/>
          <w:b/>
          <w:color w:val="auto"/>
          <w:sz w:val="28"/>
          <w:szCs w:val="28"/>
        </w:rPr>
      </w:pPr>
      <w:bookmarkStart w:id="99" w:name="_Toc27931"/>
      <w:r>
        <w:rPr>
          <w:rFonts w:hint="eastAsia" w:ascii="宋体" w:hAnsi="宋体" w:eastAsia="宋体" w:cs="宋体"/>
          <w:b/>
          <w:color w:val="auto"/>
          <w:sz w:val="28"/>
        </w:rPr>
        <w:t>（</w:t>
      </w:r>
      <w:r>
        <w:rPr>
          <w:rFonts w:hint="eastAsia" w:ascii="宋体" w:hAnsi="宋体" w:eastAsia="宋体" w:cs="宋体"/>
          <w:b/>
          <w:color w:val="auto"/>
          <w:sz w:val="28"/>
          <w:lang w:val="en-US" w:eastAsia="zh-CN"/>
        </w:rPr>
        <w:t>五</w:t>
      </w:r>
      <w:r>
        <w:rPr>
          <w:rFonts w:hint="eastAsia" w:ascii="宋体" w:hAnsi="宋体" w:eastAsia="宋体" w:cs="宋体"/>
          <w:b/>
          <w:color w:val="auto"/>
          <w:sz w:val="28"/>
        </w:rPr>
        <w:t>）模型实施成效分析</w:t>
      </w:r>
      <w:bookmarkEnd w:id="99"/>
    </w:p>
    <w:p w14:paraId="2C9D33D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lang w:val="en-US" w:eastAsia="zh-CN"/>
        </w:rPr>
      </w:pPr>
      <w:bookmarkStart w:id="100" w:name="_Toc17345"/>
      <w:r>
        <w:rPr>
          <w:rFonts w:hint="eastAsia" w:ascii="宋体" w:hAnsi="宋体" w:eastAsia="宋体" w:cs="宋体"/>
          <w:b/>
          <w:bCs/>
          <w:sz w:val="28"/>
        </w:rPr>
        <w:t>1.学生问卷前后测结果</w:t>
      </w:r>
      <w:r>
        <w:rPr>
          <w:rFonts w:hint="eastAsia" w:ascii="宋体" w:hAnsi="宋体" w:eastAsia="宋体" w:cs="宋体"/>
          <w:b/>
          <w:bCs/>
          <w:sz w:val="28"/>
          <w:lang w:val="en-US" w:eastAsia="zh-CN"/>
        </w:rPr>
        <w:t>分析</w:t>
      </w:r>
      <w:bookmarkEnd w:id="100"/>
    </w:p>
    <w:p w14:paraId="335259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53BFEE32">
      <w:pPr>
        <w:pStyle w:val="4"/>
        <w:keepNext/>
        <w:spacing w:before="280" w:after="280"/>
        <w:ind w:firstLine="0" w:firstLineChars="0"/>
        <w:outlineLvl w:val="3"/>
        <w:rPr>
          <w:rFonts w:hint="eastAsia" w:ascii="宋体" w:hAnsi="宋体" w:eastAsia="宋体" w:cs="宋体"/>
          <w:sz w:val="24"/>
          <w:szCs w:val="24"/>
        </w:rPr>
      </w:pPr>
      <w:bookmarkStart w:id="101" w:name="_Toc25947"/>
      <w:r>
        <w:rPr>
          <w:rFonts w:hint="eastAsia" w:ascii="宋体" w:hAnsi="宋体" w:eastAsia="宋体" w:cs="宋体"/>
          <w:b/>
          <w:sz w:val="28"/>
          <w:szCs w:val="24"/>
        </w:rPr>
        <w:t>（1）分析样本与方法</w:t>
      </w:r>
      <w:bookmarkEnd w:id="101"/>
    </w:p>
    <w:p w14:paraId="68AA6066">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62F215CE">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表3-54  研究样本基本情况</w:t>
      </w:r>
    </w:p>
    <w:tbl>
      <w:tblPr>
        <w:tblStyle w:val="12"/>
        <w:tblW w:w="8519" w:type="dxa"/>
        <w:jc w:val="center"/>
        <w:tblLayout w:type="fixed"/>
        <w:tblCellMar>
          <w:top w:w="0" w:type="dxa"/>
          <w:left w:w="0" w:type="dxa"/>
          <w:bottom w:w="0" w:type="dxa"/>
          <w:right w:w="0" w:type="dxa"/>
        </w:tblCellMar>
      </w:tblPr>
      <w:tblGrid>
        <w:gridCol w:w="1691"/>
        <w:gridCol w:w="2862"/>
        <w:gridCol w:w="1690"/>
        <w:gridCol w:w="2276"/>
      </w:tblGrid>
      <w:tr w14:paraId="326C6A50">
        <w:tblPrEx>
          <w:tblCellMar>
            <w:top w:w="0" w:type="dxa"/>
            <w:left w:w="0" w:type="dxa"/>
            <w:bottom w:w="0" w:type="dxa"/>
            <w:right w:w="0" w:type="dxa"/>
          </w:tblCellMar>
        </w:tblPrEx>
        <w:trPr>
          <w:cantSplit/>
          <w:tblHeader/>
          <w:jc w:val="center"/>
        </w:trPr>
        <w:tc>
          <w:tcPr>
            <w:tcW w:w="1691" w:type="dxa"/>
            <w:tcBorders>
              <w:top w:val="single" w:color="000000" w:sz="12" w:space="0"/>
              <w:bottom w:val="single" w:color="000000" w:sz="6" w:space="0"/>
            </w:tcBorders>
            <w:vAlign w:val="center"/>
          </w:tcPr>
          <w:p w14:paraId="787F6235">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变量</w:t>
            </w:r>
          </w:p>
        </w:tc>
        <w:tc>
          <w:tcPr>
            <w:tcW w:w="2862" w:type="dxa"/>
            <w:tcBorders>
              <w:top w:val="single" w:color="000000" w:sz="12" w:space="0"/>
              <w:bottom w:val="single" w:color="000000" w:sz="6" w:space="0"/>
            </w:tcBorders>
            <w:vAlign w:val="center"/>
          </w:tcPr>
          <w:p w14:paraId="0248256F">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类别</w:t>
            </w:r>
          </w:p>
        </w:tc>
        <w:tc>
          <w:tcPr>
            <w:tcW w:w="1690" w:type="dxa"/>
            <w:tcBorders>
              <w:top w:val="single" w:color="000000" w:sz="12" w:space="0"/>
              <w:bottom w:val="single" w:color="000000" w:sz="6" w:space="0"/>
            </w:tcBorders>
            <w:vAlign w:val="center"/>
          </w:tcPr>
          <w:p w14:paraId="7474AEEB">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人数</w:t>
            </w:r>
          </w:p>
        </w:tc>
        <w:tc>
          <w:tcPr>
            <w:tcW w:w="2276" w:type="dxa"/>
            <w:tcBorders>
              <w:top w:val="single" w:color="000000" w:sz="12" w:space="0"/>
              <w:bottom w:val="single" w:color="000000" w:sz="6" w:space="0"/>
            </w:tcBorders>
            <w:vAlign w:val="center"/>
          </w:tcPr>
          <w:p w14:paraId="20AB9CA9">
            <w:pPr>
              <w:overflowPunct w:val="0"/>
              <w:bidi w:val="0"/>
              <w:snapToGrid w:val="0"/>
              <w:spacing w:before="0" w:after="0" w:line="240" w:lineRule="auto"/>
              <w:ind w:firstLineChars="200"/>
              <w:jc w:val="center"/>
              <w:textAlignment w:val="auto"/>
              <w:rPr>
                <w:rFonts w:hint="eastAsia" w:ascii="宋体" w:hAnsi="宋体" w:eastAsia="宋体" w:cs="宋体"/>
                <w:b/>
                <w:sz w:val="24"/>
              </w:rPr>
            </w:pPr>
            <w:r>
              <w:rPr>
                <w:rFonts w:hint="eastAsia" w:ascii="宋体" w:hAnsi="宋体" w:eastAsia="宋体" w:cs="宋体"/>
                <w:b/>
                <w:sz w:val="21"/>
              </w:rPr>
              <w:t>比例</w:t>
            </w:r>
          </w:p>
        </w:tc>
      </w:tr>
      <w:tr w14:paraId="7B379056">
        <w:tblPrEx>
          <w:tblCellMar>
            <w:top w:w="0" w:type="dxa"/>
            <w:left w:w="0" w:type="dxa"/>
            <w:bottom w:w="0" w:type="dxa"/>
            <w:right w:w="0" w:type="dxa"/>
          </w:tblCellMar>
        </w:tblPrEx>
        <w:trPr>
          <w:cantSplit/>
          <w:jc w:val="center"/>
        </w:trPr>
        <w:tc>
          <w:tcPr>
            <w:tcW w:w="1691" w:type="dxa"/>
            <w:vAlign w:val="center"/>
          </w:tcPr>
          <w:p w14:paraId="4EB88E9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性别</w:t>
            </w:r>
          </w:p>
        </w:tc>
        <w:tc>
          <w:tcPr>
            <w:tcW w:w="2862" w:type="dxa"/>
            <w:vAlign w:val="center"/>
          </w:tcPr>
          <w:p w14:paraId="680B6F3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男</w:t>
            </w:r>
          </w:p>
        </w:tc>
        <w:tc>
          <w:tcPr>
            <w:tcW w:w="1690" w:type="dxa"/>
            <w:vAlign w:val="center"/>
          </w:tcPr>
          <w:p w14:paraId="0841168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671</w:t>
            </w:r>
          </w:p>
        </w:tc>
        <w:tc>
          <w:tcPr>
            <w:tcW w:w="2276" w:type="dxa"/>
            <w:vAlign w:val="center"/>
          </w:tcPr>
          <w:p w14:paraId="4D9E17EB">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49.85%</w:t>
            </w:r>
          </w:p>
        </w:tc>
      </w:tr>
      <w:tr w14:paraId="0F1967F1">
        <w:tblPrEx>
          <w:tblCellMar>
            <w:top w:w="0" w:type="dxa"/>
            <w:left w:w="0" w:type="dxa"/>
            <w:bottom w:w="0" w:type="dxa"/>
            <w:right w:w="0" w:type="dxa"/>
          </w:tblCellMar>
        </w:tblPrEx>
        <w:trPr>
          <w:cantSplit/>
          <w:jc w:val="center"/>
        </w:trPr>
        <w:tc>
          <w:tcPr>
            <w:tcW w:w="1691" w:type="dxa"/>
            <w:vAlign w:val="center"/>
          </w:tcPr>
          <w:p w14:paraId="73766C76">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性别</w:t>
            </w:r>
          </w:p>
        </w:tc>
        <w:tc>
          <w:tcPr>
            <w:tcW w:w="2862" w:type="dxa"/>
            <w:vAlign w:val="center"/>
          </w:tcPr>
          <w:p w14:paraId="54ECAD45">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女</w:t>
            </w:r>
          </w:p>
        </w:tc>
        <w:tc>
          <w:tcPr>
            <w:tcW w:w="1690" w:type="dxa"/>
            <w:vAlign w:val="center"/>
          </w:tcPr>
          <w:p w14:paraId="78BE03A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675</w:t>
            </w:r>
          </w:p>
        </w:tc>
        <w:tc>
          <w:tcPr>
            <w:tcW w:w="2276" w:type="dxa"/>
            <w:vAlign w:val="center"/>
          </w:tcPr>
          <w:p w14:paraId="36808D65">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50.15%</w:t>
            </w:r>
          </w:p>
        </w:tc>
      </w:tr>
      <w:tr w14:paraId="37E011A6">
        <w:tblPrEx>
          <w:tblCellMar>
            <w:top w:w="0" w:type="dxa"/>
            <w:left w:w="0" w:type="dxa"/>
            <w:bottom w:w="0" w:type="dxa"/>
            <w:right w:w="0" w:type="dxa"/>
          </w:tblCellMar>
        </w:tblPrEx>
        <w:trPr>
          <w:cantSplit/>
          <w:jc w:val="center"/>
        </w:trPr>
        <w:tc>
          <w:tcPr>
            <w:tcW w:w="1691" w:type="dxa"/>
            <w:vAlign w:val="center"/>
          </w:tcPr>
          <w:p w14:paraId="668A2151">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75693DE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六年级</w:t>
            </w:r>
          </w:p>
        </w:tc>
        <w:tc>
          <w:tcPr>
            <w:tcW w:w="1690" w:type="dxa"/>
            <w:vAlign w:val="center"/>
          </w:tcPr>
          <w:p w14:paraId="7E2ED1F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230</w:t>
            </w:r>
          </w:p>
        </w:tc>
        <w:tc>
          <w:tcPr>
            <w:tcW w:w="2276" w:type="dxa"/>
            <w:vAlign w:val="center"/>
          </w:tcPr>
          <w:p w14:paraId="7106C437">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17.09%</w:t>
            </w:r>
          </w:p>
        </w:tc>
      </w:tr>
      <w:tr w14:paraId="337C603D">
        <w:tblPrEx>
          <w:tblCellMar>
            <w:top w:w="0" w:type="dxa"/>
            <w:left w:w="0" w:type="dxa"/>
            <w:bottom w:w="0" w:type="dxa"/>
            <w:right w:w="0" w:type="dxa"/>
          </w:tblCellMar>
        </w:tblPrEx>
        <w:trPr>
          <w:cantSplit/>
          <w:jc w:val="center"/>
        </w:trPr>
        <w:tc>
          <w:tcPr>
            <w:tcW w:w="1691" w:type="dxa"/>
            <w:vAlign w:val="center"/>
          </w:tcPr>
          <w:p w14:paraId="1D4FB721">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1587F699">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七年级</w:t>
            </w:r>
          </w:p>
        </w:tc>
        <w:tc>
          <w:tcPr>
            <w:tcW w:w="1690" w:type="dxa"/>
            <w:vAlign w:val="center"/>
          </w:tcPr>
          <w:p w14:paraId="3304A010">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229</w:t>
            </w:r>
          </w:p>
        </w:tc>
        <w:tc>
          <w:tcPr>
            <w:tcW w:w="2276" w:type="dxa"/>
            <w:vAlign w:val="center"/>
          </w:tcPr>
          <w:p w14:paraId="37BD72BE">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17.01%</w:t>
            </w:r>
          </w:p>
        </w:tc>
      </w:tr>
      <w:tr w14:paraId="13ADC611">
        <w:tblPrEx>
          <w:tblCellMar>
            <w:top w:w="0" w:type="dxa"/>
            <w:left w:w="0" w:type="dxa"/>
            <w:bottom w:w="0" w:type="dxa"/>
            <w:right w:w="0" w:type="dxa"/>
          </w:tblCellMar>
        </w:tblPrEx>
        <w:trPr>
          <w:cantSplit/>
          <w:jc w:val="center"/>
        </w:trPr>
        <w:tc>
          <w:tcPr>
            <w:tcW w:w="1691" w:type="dxa"/>
            <w:vAlign w:val="center"/>
          </w:tcPr>
          <w:p w14:paraId="10D2BD9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245A1EE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八年级</w:t>
            </w:r>
          </w:p>
        </w:tc>
        <w:tc>
          <w:tcPr>
            <w:tcW w:w="1690" w:type="dxa"/>
            <w:vAlign w:val="center"/>
          </w:tcPr>
          <w:p w14:paraId="35A06E5F">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230</w:t>
            </w:r>
          </w:p>
        </w:tc>
        <w:tc>
          <w:tcPr>
            <w:tcW w:w="2276" w:type="dxa"/>
            <w:vAlign w:val="center"/>
          </w:tcPr>
          <w:p w14:paraId="570676E7">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17.09%</w:t>
            </w:r>
          </w:p>
        </w:tc>
      </w:tr>
      <w:tr w14:paraId="15F899C1">
        <w:tblPrEx>
          <w:tblCellMar>
            <w:top w:w="0" w:type="dxa"/>
            <w:left w:w="0" w:type="dxa"/>
            <w:bottom w:w="0" w:type="dxa"/>
            <w:right w:w="0" w:type="dxa"/>
          </w:tblCellMar>
        </w:tblPrEx>
        <w:trPr>
          <w:cantSplit/>
          <w:jc w:val="center"/>
        </w:trPr>
        <w:tc>
          <w:tcPr>
            <w:tcW w:w="1691" w:type="dxa"/>
            <w:vAlign w:val="center"/>
          </w:tcPr>
          <w:p w14:paraId="10EFDF6B">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62E78013">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九年级</w:t>
            </w:r>
          </w:p>
        </w:tc>
        <w:tc>
          <w:tcPr>
            <w:tcW w:w="1690" w:type="dxa"/>
            <w:vAlign w:val="center"/>
          </w:tcPr>
          <w:p w14:paraId="0054BE0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224</w:t>
            </w:r>
          </w:p>
        </w:tc>
        <w:tc>
          <w:tcPr>
            <w:tcW w:w="2276" w:type="dxa"/>
            <w:vAlign w:val="center"/>
          </w:tcPr>
          <w:p w14:paraId="264F2E4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16.64%</w:t>
            </w:r>
          </w:p>
        </w:tc>
      </w:tr>
      <w:tr w14:paraId="541E1BA0">
        <w:tblPrEx>
          <w:tblCellMar>
            <w:top w:w="0" w:type="dxa"/>
            <w:left w:w="0" w:type="dxa"/>
            <w:bottom w:w="0" w:type="dxa"/>
            <w:right w:w="0" w:type="dxa"/>
          </w:tblCellMar>
        </w:tblPrEx>
        <w:trPr>
          <w:cantSplit/>
          <w:jc w:val="center"/>
        </w:trPr>
        <w:tc>
          <w:tcPr>
            <w:tcW w:w="1691" w:type="dxa"/>
            <w:vAlign w:val="center"/>
          </w:tcPr>
          <w:p w14:paraId="6D99744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6F6CC704">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十年级</w:t>
            </w:r>
          </w:p>
        </w:tc>
        <w:tc>
          <w:tcPr>
            <w:tcW w:w="1690" w:type="dxa"/>
            <w:vAlign w:val="center"/>
          </w:tcPr>
          <w:p w14:paraId="590434C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145</w:t>
            </w:r>
          </w:p>
        </w:tc>
        <w:tc>
          <w:tcPr>
            <w:tcW w:w="2276" w:type="dxa"/>
            <w:vAlign w:val="center"/>
          </w:tcPr>
          <w:p w14:paraId="1FD2978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10.77%</w:t>
            </w:r>
          </w:p>
        </w:tc>
      </w:tr>
      <w:tr w14:paraId="63AE15CE">
        <w:tblPrEx>
          <w:tblCellMar>
            <w:top w:w="0" w:type="dxa"/>
            <w:left w:w="0" w:type="dxa"/>
            <w:bottom w:w="0" w:type="dxa"/>
            <w:right w:w="0" w:type="dxa"/>
          </w:tblCellMar>
        </w:tblPrEx>
        <w:trPr>
          <w:cantSplit/>
          <w:jc w:val="center"/>
        </w:trPr>
        <w:tc>
          <w:tcPr>
            <w:tcW w:w="1691" w:type="dxa"/>
            <w:vAlign w:val="center"/>
          </w:tcPr>
          <w:p w14:paraId="6022531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vAlign w:val="center"/>
          </w:tcPr>
          <w:p w14:paraId="45351FBC">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十一年级</w:t>
            </w:r>
          </w:p>
        </w:tc>
        <w:tc>
          <w:tcPr>
            <w:tcW w:w="1690" w:type="dxa"/>
            <w:vAlign w:val="center"/>
          </w:tcPr>
          <w:p w14:paraId="590932D8">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144</w:t>
            </w:r>
          </w:p>
        </w:tc>
        <w:tc>
          <w:tcPr>
            <w:tcW w:w="2276" w:type="dxa"/>
            <w:vAlign w:val="center"/>
          </w:tcPr>
          <w:p w14:paraId="7743E11A">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10.70%</w:t>
            </w:r>
          </w:p>
        </w:tc>
      </w:tr>
      <w:tr w14:paraId="1C892573">
        <w:tblPrEx>
          <w:tblCellMar>
            <w:top w:w="0" w:type="dxa"/>
            <w:left w:w="0" w:type="dxa"/>
            <w:bottom w:w="0" w:type="dxa"/>
            <w:right w:w="0" w:type="dxa"/>
          </w:tblCellMar>
        </w:tblPrEx>
        <w:trPr>
          <w:cantSplit/>
          <w:jc w:val="center"/>
        </w:trPr>
        <w:tc>
          <w:tcPr>
            <w:tcW w:w="1691" w:type="dxa"/>
            <w:tcBorders>
              <w:bottom w:val="single" w:color="000000" w:sz="12" w:space="0"/>
            </w:tcBorders>
            <w:vAlign w:val="center"/>
          </w:tcPr>
          <w:p w14:paraId="5F5A010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年级</w:t>
            </w:r>
          </w:p>
        </w:tc>
        <w:tc>
          <w:tcPr>
            <w:tcW w:w="2862" w:type="dxa"/>
            <w:tcBorders>
              <w:bottom w:val="single" w:color="000000" w:sz="12" w:space="0"/>
            </w:tcBorders>
            <w:vAlign w:val="center"/>
          </w:tcPr>
          <w:p w14:paraId="46D36D4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十二年级</w:t>
            </w:r>
          </w:p>
        </w:tc>
        <w:tc>
          <w:tcPr>
            <w:tcW w:w="1690" w:type="dxa"/>
            <w:tcBorders>
              <w:bottom w:val="single" w:color="000000" w:sz="12" w:space="0"/>
            </w:tcBorders>
            <w:vAlign w:val="center"/>
          </w:tcPr>
          <w:p w14:paraId="0A68EC0D">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144</w:t>
            </w:r>
          </w:p>
        </w:tc>
        <w:tc>
          <w:tcPr>
            <w:tcW w:w="2276" w:type="dxa"/>
            <w:tcBorders>
              <w:bottom w:val="single" w:color="000000" w:sz="12" w:space="0"/>
            </w:tcBorders>
            <w:vAlign w:val="center"/>
          </w:tcPr>
          <w:p w14:paraId="77E294F2">
            <w:pPr>
              <w:overflowPunct w:val="0"/>
              <w:bidi w:val="0"/>
              <w:snapToGrid w:val="0"/>
              <w:spacing w:before="0" w:after="0" w:line="240" w:lineRule="auto"/>
              <w:ind w:firstLineChars="200"/>
              <w:jc w:val="center"/>
              <w:textAlignment w:val="auto"/>
              <w:rPr>
                <w:rFonts w:hint="eastAsia" w:ascii="宋体" w:hAnsi="宋体" w:eastAsia="宋体" w:cs="宋体"/>
                <w:sz w:val="24"/>
              </w:rPr>
            </w:pPr>
            <w:r>
              <w:rPr>
                <w:rFonts w:hint="eastAsia" w:ascii="宋体" w:hAnsi="宋体" w:eastAsia="宋体" w:cs="宋体"/>
                <w:sz w:val="21"/>
              </w:rPr>
              <w:t>10.70%</w:t>
            </w:r>
          </w:p>
        </w:tc>
      </w:tr>
    </w:tbl>
    <w:p w14:paraId="4E766710">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339A6AE8">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3D35353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补充分析包括，剔除任一测次32题同选项作答记录后的敏感性分析，以及按年级初始水平和平均增分开展的探索性聚类。所有统计由题项重算；表中增分及检验基于未四舍五入数据。</w:t>
      </w:r>
    </w:p>
    <w:p w14:paraId="30160CD1">
      <w:pPr>
        <w:pStyle w:val="4"/>
        <w:keepNext/>
        <w:spacing w:before="280" w:after="280"/>
        <w:ind w:firstLine="0" w:firstLineChars="0"/>
        <w:outlineLvl w:val="3"/>
        <w:rPr>
          <w:rFonts w:hint="eastAsia" w:ascii="宋体" w:hAnsi="宋体" w:eastAsia="宋体" w:cs="宋体"/>
          <w:lang w:val="en-US" w:eastAsia="zh-CN"/>
        </w:rPr>
      </w:pPr>
      <w:bookmarkStart w:id="102" w:name="_Toc28379"/>
      <w:r>
        <w:rPr>
          <w:rFonts w:hint="eastAsia" w:ascii="宋体" w:hAnsi="宋体" w:eastAsia="宋体" w:cs="宋体"/>
          <w:b/>
          <w:sz w:val="28"/>
          <w:lang w:eastAsia="zh-CN"/>
        </w:rPr>
        <w:t>（</w:t>
      </w:r>
      <w:r>
        <w:rPr>
          <w:rFonts w:hint="eastAsia" w:ascii="宋体" w:hAnsi="宋体" w:eastAsia="宋体" w:cs="宋体"/>
          <w:b/>
          <w:sz w:val="28"/>
          <w:lang w:val="en-US" w:eastAsia="zh-CN"/>
        </w:rPr>
        <w:t>2）总体情况比较</w:t>
      </w:r>
      <w:bookmarkEnd w:id="102"/>
    </w:p>
    <w:p w14:paraId="66A0F521">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1）</w:t>
      </w:r>
      <w:r>
        <w:rPr>
          <w:rFonts w:hint="eastAsia" w:ascii="宋体" w:hAnsi="宋体" w:eastAsia="宋体" w:cs="宋体"/>
          <w:b/>
          <w:sz w:val="28"/>
        </w:rPr>
        <w:t>高阶能力总体</w:t>
      </w:r>
    </w:p>
    <w:p w14:paraId="11F1AC1B">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表3-55  高阶能力总体前后测比较（n＝1346）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57D448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6A15C3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7978C3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9AA101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4B5BF30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5FFC6F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211EA80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3312026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EF45B02">
        <w:tblPrEx>
          <w:tblCellMar>
            <w:top w:w="0" w:type="dxa"/>
            <w:left w:w="108" w:type="dxa"/>
            <w:bottom w:w="0" w:type="dxa"/>
            <w:right w:w="108" w:type="dxa"/>
          </w:tblCellMar>
        </w:tblPrEx>
        <w:trPr>
          <w:cantSplit/>
        </w:trPr>
        <w:tc>
          <w:tcPr>
            <w:tcW w:w="893" w:type="dxa"/>
            <w:vAlign w:val="center"/>
          </w:tcPr>
          <w:p w14:paraId="6FD9D1C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0BA081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3.635</w:t>
            </w:r>
          </w:p>
        </w:tc>
        <w:tc>
          <w:tcPr>
            <w:tcW w:w="937" w:type="dxa"/>
            <w:vAlign w:val="center"/>
          </w:tcPr>
          <w:p w14:paraId="186CD04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0.470</w:t>
            </w:r>
          </w:p>
        </w:tc>
        <w:tc>
          <w:tcPr>
            <w:tcW w:w="1151" w:type="dxa"/>
            <w:vAlign w:val="center"/>
          </w:tcPr>
          <w:p w14:paraId="3666B6D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0.865</w:t>
            </w:r>
          </w:p>
        </w:tc>
        <w:tc>
          <w:tcPr>
            <w:tcW w:w="2563" w:type="dxa"/>
            <w:vAlign w:val="center"/>
          </w:tcPr>
          <w:p w14:paraId="7900A0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0.850～0.879</w:t>
            </w:r>
          </w:p>
        </w:tc>
        <w:tc>
          <w:tcPr>
            <w:tcW w:w="1153" w:type="dxa"/>
            <w:vAlign w:val="center"/>
          </w:tcPr>
          <w:p w14:paraId="04E9CB5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118.460</w:t>
            </w:r>
          </w:p>
        </w:tc>
        <w:tc>
          <w:tcPr>
            <w:tcW w:w="1152" w:type="dxa"/>
            <w:vAlign w:val="center"/>
          </w:tcPr>
          <w:p w14:paraId="7C5B182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1708151C">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FD5A21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3D570B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4.500</w:t>
            </w:r>
          </w:p>
        </w:tc>
        <w:tc>
          <w:tcPr>
            <w:tcW w:w="937" w:type="dxa"/>
            <w:tcBorders>
              <w:bottom w:val="single" w:color="000000" w:sz="8" w:space="0"/>
            </w:tcBorders>
            <w:vAlign w:val="center"/>
          </w:tcPr>
          <w:p w14:paraId="66E6FF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0.477</w:t>
            </w:r>
          </w:p>
        </w:tc>
        <w:tc>
          <w:tcPr>
            <w:tcW w:w="1151" w:type="dxa"/>
            <w:tcBorders>
              <w:bottom w:val="single" w:color="000000" w:sz="8" w:space="0"/>
            </w:tcBorders>
            <w:vAlign w:val="center"/>
          </w:tcPr>
          <w:p w14:paraId="74BFF156">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68FE4543">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E20E3E2">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0E634094">
            <w:pPr>
              <w:keepNext/>
              <w:spacing w:before="0" w:after="0" w:line="240" w:lineRule="auto"/>
              <w:ind w:firstLine="0"/>
              <w:jc w:val="center"/>
              <w:rPr>
                <w:rFonts w:hint="eastAsia" w:ascii="宋体" w:hAnsi="宋体" w:eastAsia="宋体" w:cs="宋体"/>
              </w:rPr>
            </w:pPr>
          </w:p>
        </w:tc>
      </w:tr>
    </w:tbl>
    <w:p w14:paraId="136559B0">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注：df＝1345；配对差SD＝0.268；dz＝3.229；Holm校正后p＜0.001。</w:t>
      </w:r>
    </w:p>
    <w:p w14:paraId="263AC09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均值由3.635升至4.500，平均增加0.865分，95%CI为0.850～0.879，t（1345）＝118.460，校正后p＜0.001。总体得分的提高表明，学生对自身学习表现的积极评价覆盖了多个方面，为课题整体设计的实践价值提供了量化支持。结合开放性回答中多路径思考、主动交流和方法改进的具体表述，可以看到，课题所关注的思维过程与学习参与均出现了积极变化。这与将认知挑战、合作参与和过程反馈共同融入学习任务的设计方向相契合。</w:t>
      </w:r>
    </w:p>
    <w:p w14:paraId="2F7DB9E7">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2）</w:t>
      </w:r>
      <w:r>
        <w:rPr>
          <w:rFonts w:hint="eastAsia" w:ascii="宋体" w:hAnsi="宋体" w:eastAsia="宋体" w:cs="宋体"/>
          <w:b/>
          <w:sz w:val="28"/>
        </w:rPr>
        <w:t>高阶思维能力</w:t>
      </w:r>
    </w:p>
    <w:p w14:paraId="35181A1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表3-56  高阶思维能力前后测比较（n＝1346）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3D6202A8">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8F3411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A79CE1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5CD09BC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496DCFD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D75214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36B456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89A0E5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2ED3DDCF">
        <w:tblPrEx>
          <w:tblCellMar>
            <w:top w:w="0" w:type="dxa"/>
            <w:left w:w="108" w:type="dxa"/>
            <w:bottom w:w="0" w:type="dxa"/>
            <w:right w:w="108" w:type="dxa"/>
          </w:tblCellMar>
        </w:tblPrEx>
        <w:trPr>
          <w:cantSplit/>
        </w:trPr>
        <w:tc>
          <w:tcPr>
            <w:tcW w:w="893" w:type="dxa"/>
            <w:vAlign w:val="center"/>
          </w:tcPr>
          <w:p w14:paraId="616906D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F4665F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3.604</w:t>
            </w:r>
          </w:p>
        </w:tc>
        <w:tc>
          <w:tcPr>
            <w:tcW w:w="937" w:type="dxa"/>
            <w:vAlign w:val="center"/>
          </w:tcPr>
          <w:p w14:paraId="1832AAF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0.504</w:t>
            </w:r>
          </w:p>
        </w:tc>
        <w:tc>
          <w:tcPr>
            <w:tcW w:w="1151" w:type="dxa"/>
            <w:vAlign w:val="center"/>
          </w:tcPr>
          <w:p w14:paraId="087D56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0.927</w:t>
            </w:r>
          </w:p>
        </w:tc>
        <w:tc>
          <w:tcPr>
            <w:tcW w:w="2563" w:type="dxa"/>
            <w:vAlign w:val="center"/>
          </w:tcPr>
          <w:p w14:paraId="104AFD0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0.890～0.964</w:t>
            </w:r>
          </w:p>
        </w:tc>
        <w:tc>
          <w:tcPr>
            <w:tcW w:w="1153" w:type="dxa"/>
            <w:vAlign w:val="center"/>
          </w:tcPr>
          <w:p w14:paraId="5B0B109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49.382</w:t>
            </w:r>
          </w:p>
        </w:tc>
        <w:tc>
          <w:tcPr>
            <w:tcW w:w="1152" w:type="dxa"/>
            <w:vAlign w:val="center"/>
          </w:tcPr>
          <w:p w14:paraId="4830144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652DCB93">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052A821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4991A8E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4.531</w:t>
            </w:r>
          </w:p>
        </w:tc>
        <w:tc>
          <w:tcPr>
            <w:tcW w:w="937" w:type="dxa"/>
            <w:tcBorders>
              <w:bottom w:val="single" w:color="000000" w:sz="8" w:space="0"/>
            </w:tcBorders>
            <w:vAlign w:val="center"/>
          </w:tcPr>
          <w:p w14:paraId="7933BA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0.518</w:t>
            </w:r>
          </w:p>
        </w:tc>
        <w:tc>
          <w:tcPr>
            <w:tcW w:w="1151" w:type="dxa"/>
            <w:tcBorders>
              <w:bottom w:val="single" w:color="000000" w:sz="8" w:space="0"/>
            </w:tcBorders>
            <w:vAlign w:val="center"/>
          </w:tcPr>
          <w:p w14:paraId="591ACEFE">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6508EF2">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3074E1AB">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2A041DB9">
            <w:pPr>
              <w:keepNext/>
              <w:spacing w:before="0" w:after="0" w:line="240" w:lineRule="auto"/>
              <w:ind w:firstLine="0"/>
              <w:jc w:val="center"/>
              <w:rPr>
                <w:rFonts w:hint="eastAsia" w:ascii="宋体" w:hAnsi="宋体" w:eastAsia="宋体" w:cs="宋体"/>
              </w:rPr>
            </w:pPr>
          </w:p>
        </w:tc>
      </w:tr>
    </w:tbl>
    <w:p w14:paraId="6ED0A9B2">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注：df＝1345；配对差SD＝0.689；dz＝1.346；Holm校正后p＜0.001。</w:t>
      </w:r>
    </w:p>
    <w:p w14:paraId="68CE815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思维能力均值由3.604升至4.531，平均增加0.927分，95%CI为0.890～0.964，t（1345）＝49.382，校正后p＜0.001。这一变化为课题通过问题链、探究任务和方案比较促进学生深度思考提供了支持。目标与评价要求的明确、思考过程的展示以及反馈后的修订，为学生分析问题、说明依据和生成方案提供了练习机会。结果与课题推动学习由知识理解走向深入加工和迁移运用的预期方向一致，但三个维度的具体表现仍需分别考察。</w:t>
      </w:r>
    </w:p>
    <w:p w14:paraId="28A6964E">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3）</w:t>
      </w:r>
      <w:r>
        <w:rPr>
          <w:rFonts w:hint="eastAsia" w:ascii="宋体" w:hAnsi="宋体" w:eastAsia="宋体" w:cs="宋体"/>
          <w:b/>
          <w:sz w:val="28"/>
        </w:rPr>
        <w:t>高阶社会情感能力</w:t>
      </w:r>
    </w:p>
    <w:p w14:paraId="15279F7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表3-57  高阶社会情感能力前后测比较（n＝1346）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5B168311">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4E9C575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573E7C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6870F3B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20916A5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56519BB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7861549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101DCE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1D2F0BE">
        <w:tblPrEx>
          <w:tblCellMar>
            <w:top w:w="0" w:type="dxa"/>
            <w:left w:w="108" w:type="dxa"/>
            <w:bottom w:w="0" w:type="dxa"/>
            <w:right w:w="108" w:type="dxa"/>
          </w:tblCellMar>
        </w:tblPrEx>
        <w:trPr>
          <w:cantSplit/>
        </w:trPr>
        <w:tc>
          <w:tcPr>
            <w:tcW w:w="893" w:type="dxa"/>
            <w:vAlign w:val="center"/>
          </w:tcPr>
          <w:p w14:paraId="59D6ED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416A67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3.654</w:t>
            </w:r>
          </w:p>
        </w:tc>
        <w:tc>
          <w:tcPr>
            <w:tcW w:w="937" w:type="dxa"/>
            <w:vAlign w:val="center"/>
          </w:tcPr>
          <w:p w14:paraId="157EB40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0.471</w:t>
            </w:r>
          </w:p>
        </w:tc>
        <w:tc>
          <w:tcPr>
            <w:tcW w:w="1151" w:type="dxa"/>
            <w:vAlign w:val="center"/>
          </w:tcPr>
          <w:p w14:paraId="5AEA497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0.827</w:t>
            </w:r>
          </w:p>
        </w:tc>
        <w:tc>
          <w:tcPr>
            <w:tcW w:w="2563" w:type="dxa"/>
            <w:vAlign w:val="center"/>
          </w:tcPr>
          <w:p w14:paraId="339EC4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0.812～0.842</w:t>
            </w:r>
          </w:p>
        </w:tc>
        <w:tc>
          <w:tcPr>
            <w:tcW w:w="1153" w:type="dxa"/>
            <w:vAlign w:val="center"/>
          </w:tcPr>
          <w:p w14:paraId="6BAA3A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111.440</w:t>
            </w:r>
          </w:p>
        </w:tc>
        <w:tc>
          <w:tcPr>
            <w:tcW w:w="1152" w:type="dxa"/>
            <w:vAlign w:val="center"/>
          </w:tcPr>
          <w:p w14:paraId="6BC2FB7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10BF79C">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344AE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0C9ACC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4.481</w:t>
            </w:r>
          </w:p>
        </w:tc>
        <w:tc>
          <w:tcPr>
            <w:tcW w:w="937" w:type="dxa"/>
            <w:tcBorders>
              <w:bottom w:val="single" w:color="000000" w:sz="8" w:space="0"/>
            </w:tcBorders>
            <w:vAlign w:val="center"/>
          </w:tcPr>
          <w:p w14:paraId="6CF23EB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0.666</w:t>
            </w:r>
          </w:p>
        </w:tc>
        <w:tc>
          <w:tcPr>
            <w:tcW w:w="1151" w:type="dxa"/>
            <w:tcBorders>
              <w:bottom w:val="single" w:color="000000" w:sz="8" w:space="0"/>
            </w:tcBorders>
            <w:vAlign w:val="center"/>
          </w:tcPr>
          <w:p w14:paraId="2AE8D44B">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4EFB923">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9D19135">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55AF9B89">
            <w:pPr>
              <w:keepNext/>
              <w:spacing w:before="0" w:after="0" w:line="240" w:lineRule="auto"/>
              <w:ind w:firstLine="0"/>
              <w:jc w:val="center"/>
              <w:rPr>
                <w:rFonts w:hint="eastAsia" w:ascii="宋体" w:hAnsi="宋体" w:eastAsia="宋体" w:cs="宋体"/>
              </w:rPr>
            </w:pPr>
          </w:p>
        </w:tc>
      </w:tr>
    </w:tbl>
    <w:p w14:paraId="4FE1336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注：df＝1345；配对差SD＝0.272；dz＝3.038；Holm校正后p＜0.001。</w:t>
      </w:r>
    </w:p>
    <w:p w14:paraId="27F1429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社会情感能力均值由3.654升至4.481，平均增加0.827分，95%CI为0.812～0.842，t（1345）＝111.440，校正后p＜0.001。得分提高表明，学生对责任承担、状态调整、同伴协作和开放探索的自评更加积极，为课题将社会情感支持融入复杂学习任务的设计提供了依据。分工履责、观点交流和反思调整，使这些能力在完成共同任务的过程中得到运用。从实践意义看，相关变化为学生持续参与探究、应对分歧与困难提供了积极基础。</w:t>
      </w:r>
    </w:p>
    <w:p w14:paraId="1253190D">
      <w:pPr>
        <w:pStyle w:val="3"/>
        <w:keepNext/>
        <w:ind w:firstLine="0" w:firstLineChars="0"/>
        <w:outlineLvl w:val="3"/>
        <w:rPr>
          <w:rFonts w:hint="eastAsia" w:ascii="宋体" w:hAnsi="宋体" w:eastAsia="宋体" w:cs="宋体"/>
        </w:rPr>
      </w:pPr>
      <w:bookmarkStart w:id="103" w:name="_Toc10910"/>
      <w:r>
        <w:rPr>
          <w:rFonts w:hint="eastAsia" w:ascii="宋体" w:hAnsi="宋体" w:eastAsia="宋体" w:cs="宋体"/>
          <w:b/>
          <w:sz w:val="28"/>
          <w:lang w:eastAsia="zh-CN"/>
        </w:rPr>
        <w:t>（</w:t>
      </w:r>
      <w:r>
        <w:rPr>
          <w:rFonts w:hint="eastAsia" w:ascii="宋体" w:hAnsi="宋体" w:eastAsia="宋体" w:cs="宋体"/>
          <w:b/>
          <w:sz w:val="28"/>
        </w:rPr>
        <w:t>3</w:t>
      </w:r>
      <w:r>
        <w:rPr>
          <w:rFonts w:hint="eastAsia" w:ascii="宋体" w:hAnsi="宋体" w:eastAsia="宋体" w:cs="宋体"/>
          <w:b/>
          <w:sz w:val="28"/>
          <w:lang w:eastAsia="zh-CN"/>
        </w:rPr>
        <w:t>）</w:t>
      </w:r>
      <w:r>
        <w:rPr>
          <w:rFonts w:hint="eastAsia" w:ascii="宋体" w:hAnsi="宋体" w:eastAsia="宋体" w:cs="宋体"/>
          <w:b/>
          <w:sz w:val="28"/>
        </w:rPr>
        <w:t>七个维度分别比较</w:t>
      </w:r>
      <w:bookmarkEnd w:id="103"/>
    </w:p>
    <w:p w14:paraId="66E5721B">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1）分析</w:t>
      </w:r>
    </w:p>
    <w:p w14:paraId="51111C7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表3-58  分析维度前后测比较（n＝1346）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64839AA3">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4E28165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4DB10D4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EC5E7F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18DCCE5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65B7282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613CB56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666C4EB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095BD27E">
        <w:tblPrEx>
          <w:tblCellMar>
            <w:top w:w="0" w:type="dxa"/>
            <w:left w:w="108" w:type="dxa"/>
            <w:bottom w:w="0" w:type="dxa"/>
            <w:right w:w="108" w:type="dxa"/>
          </w:tblCellMar>
        </w:tblPrEx>
        <w:trPr>
          <w:cantSplit/>
        </w:trPr>
        <w:tc>
          <w:tcPr>
            <w:tcW w:w="893" w:type="dxa"/>
            <w:vAlign w:val="center"/>
          </w:tcPr>
          <w:p w14:paraId="69F3939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7D131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3.619</w:t>
            </w:r>
          </w:p>
        </w:tc>
        <w:tc>
          <w:tcPr>
            <w:tcW w:w="937" w:type="dxa"/>
            <w:vAlign w:val="center"/>
          </w:tcPr>
          <w:p w14:paraId="0006809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0.534</w:t>
            </w:r>
          </w:p>
        </w:tc>
        <w:tc>
          <w:tcPr>
            <w:tcW w:w="1151" w:type="dxa"/>
            <w:vAlign w:val="center"/>
          </w:tcPr>
          <w:p w14:paraId="1BD5A79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0.827</w:t>
            </w:r>
          </w:p>
        </w:tc>
        <w:tc>
          <w:tcPr>
            <w:tcW w:w="2563" w:type="dxa"/>
            <w:vAlign w:val="center"/>
          </w:tcPr>
          <w:p w14:paraId="5116593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0.783～0.870</w:t>
            </w:r>
          </w:p>
        </w:tc>
        <w:tc>
          <w:tcPr>
            <w:tcW w:w="1153" w:type="dxa"/>
            <w:vAlign w:val="center"/>
          </w:tcPr>
          <w:p w14:paraId="08D17EB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37.283</w:t>
            </w:r>
          </w:p>
        </w:tc>
        <w:tc>
          <w:tcPr>
            <w:tcW w:w="1152" w:type="dxa"/>
            <w:vAlign w:val="center"/>
          </w:tcPr>
          <w:p w14:paraId="4BE1446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0F61A228">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16778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12D4C08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4.446</w:t>
            </w:r>
          </w:p>
        </w:tc>
        <w:tc>
          <w:tcPr>
            <w:tcW w:w="937" w:type="dxa"/>
            <w:tcBorders>
              <w:bottom w:val="single" w:color="000000" w:sz="8" w:space="0"/>
            </w:tcBorders>
            <w:vAlign w:val="center"/>
          </w:tcPr>
          <w:p w14:paraId="0BB5EF3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0.671</w:t>
            </w:r>
          </w:p>
        </w:tc>
        <w:tc>
          <w:tcPr>
            <w:tcW w:w="1151" w:type="dxa"/>
            <w:tcBorders>
              <w:bottom w:val="single" w:color="000000" w:sz="8" w:space="0"/>
            </w:tcBorders>
            <w:vAlign w:val="center"/>
          </w:tcPr>
          <w:p w14:paraId="552CE16F">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4FF4A14">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EB7EDD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13905827">
            <w:pPr>
              <w:keepNext/>
              <w:spacing w:before="0" w:after="0" w:line="240" w:lineRule="auto"/>
              <w:ind w:firstLine="0"/>
              <w:jc w:val="center"/>
              <w:rPr>
                <w:rFonts w:hint="eastAsia" w:ascii="宋体" w:hAnsi="宋体" w:eastAsia="宋体" w:cs="宋体"/>
              </w:rPr>
            </w:pPr>
          </w:p>
        </w:tc>
      </w:tr>
    </w:tbl>
    <w:p w14:paraId="387234D3">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注：df＝1345；配对差SD＝0.814；dz＝1.016；Holm校正后p＜0.001。</w:t>
      </w:r>
    </w:p>
    <w:p w14:paraId="4186811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分析均值由3.619升至4.446，平均增加0.827分，95%CI为0.783～0.870，t（1345）＝37.283，校正后p＜0.001，dz＝1.016。分析维度的提高与课题通过问题链、任务分解和知识关联引导学生展开思考的设计相契合。将问题条件、关键关系和解决步骤呈现出来，有助于学生形成可以表达和检查的分析路径。后测中“会思考问题的不同路径”“开始通过联系以前的知识进行自主学习”等回答，为这一变化提供了具体线索，支持课题在促进思维过程可见方面的实践价值。</w:t>
      </w:r>
    </w:p>
    <w:p w14:paraId="14021FC9">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2）评价</w:t>
      </w:r>
    </w:p>
    <w:p w14:paraId="3EE1236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表3-59  评价维度前后测比较（n＝1346）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56553BC8">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7FD0A9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6BD7BA8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074713F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318979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C0F153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B2313A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3941E34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58F2133D">
        <w:tblPrEx>
          <w:tblCellMar>
            <w:top w:w="0" w:type="dxa"/>
            <w:left w:w="108" w:type="dxa"/>
            <w:bottom w:w="0" w:type="dxa"/>
            <w:right w:w="108" w:type="dxa"/>
          </w:tblCellMar>
        </w:tblPrEx>
        <w:trPr>
          <w:cantSplit/>
        </w:trPr>
        <w:tc>
          <w:tcPr>
            <w:tcW w:w="893" w:type="dxa"/>
            <w:vAlign w:val="center"/>
          </w:tcPr>
          <w:p w14:paraId="0A51B3F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72610BA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3.630</w:t>
            </w:r>
          </w:p>
        </w:tc>
        <w:tc>
          <w:tcPr>
            <w:tcW w:w="937" w:type="dxa"/>
            <w:vAlign w:val="center"/>
          </w:tcPr>
          <w:p w14:paraId="66440E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0.510</w:t>
            </w:r>
          </w:p>
        </w:tc>
        <w:tc>
          <w:tcPr>
            <w:tcW w:w="1151" w:type="dxa"/>
            <w:vAlign w:val="center"/>
          </w:tcPr>
          <w:p w14:paraId="68D11D7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0.996</w:t>
            </w:r>
          </w:p>
        </w:tc>
        <w:tc>
          <w:tcPr>
            <w:tcW w:w="2563" w:type="dxa"/>
            <w:vAlign w:val="center"/>
          </w:tcPr>
          <w:p w14:paraId="50F39B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0.953～1.038</w:t>
            </w:r>
          </w:p>
        </w:tc>
        <w:tc>
          <w:tcPr>
            <w:tcW w:w="1153" w:type="dxa"/>
            <w:vAlign w:val="center"/>
          </w:tcPr>
          <w:p w14:paraId="7BE3EF4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46.398</w:t>
            </w:r>
          </w:p>
        </w:tc>
        <w:tc>
          <w:tcPr>
            <w:tcW w:w="1152" w:type="dxa"/>
            <w:vAlign w:val="center"/>
          </w:tcPr>
          <w:p w14:paraId="767C88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3F71B003">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5B3DA4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783BD63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4.626</w:t>
            </w:r>
          </w:p>
        </w:tc>
        <w:tc>
          <w:tcPr>
            <w:tcW w:w="937" w:type="dxa"/>
            <w:tcBorders>
              <w:bottom w:val="single" w:color="000000" w:sz="8" w:space="0"/>
            </w:tcBorders>
            <w:vAlign w:val="center"/>
          </w:tcPr>
          <w:p w14:paraId="319867A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0.617</w:t>
            </w:r>
          </w:p>
        </w:tc>
        <w:tc>
          <w:tcPr>
            <w:tcW w:w="1151" w:type="dxa"/>
            <w:tcBorders>
              <w:bottom w:val="single" w:color="000000" w:sz="8" w:space="0"/>
            </w:tcBorders>
            <w:vAlign w:val="center"/>
          </w:tcPr>
          <w:p w14:paraId="0696001B">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6F1CCFD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084E954D">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2D6552A2">
            <w:pPr>
              <w:keepNext/>
              <w:spacing w:before="0" w:after="0" w:line="240" w:lineRule="auto"/>
              <w:ind w:firstLine="0"/>
              <w:jc w:val="center"/>
              <w:rPr>
                <w:rFonts w:hint="eastAsia" w:ascii="宋体" w:hAnsi="宋体" w:eastAsia="宋体" w:cs="宋体"/>
              </w:rPr>
            </w:pPr>
          </w:p>
        </w:tc>
      </w:tr>
    </w:tbl>
    <w:p w14:paraId="459C54FC">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注：df＝1345；配对差SD＝0.787；dz＝1.265；Holm校正后p＜0.001。</w:t>
      </w:r>
    </w:p>
    <w:p w14:paraId="4B8B875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均值由3.630升至4.626，平均增加0.996分，95%CI为0.953～1.038，t（1345）＝46.398，校正后p＜0.001，dz＝1.265。评价维度的提高，为课题重视成功标准、依据说明、方案比较与自我反思提供了量化支持。学生对判断和反思行为的自评更加积极，与“目标引领—反馈迭代—反思迁移”中持续检查学习质量的要求相一致。后测“思考问题：我学会了质疑”及主动比较解题方法的表述，进一步呈现了学生开始关注理由与方法的变化。其均值增量在七维中描述性地最大，提示评价活动值得在后续实践中持续深化。</w:t>
      </w:r>
    </w:p>
    <w:p w14:paraId="0AF1002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3）创造</w:t>
      </w:r>
    </w:p>
    <w:p w14:paraId="133A7FE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表3-60  创造维度前后测比较（n＝1346）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614945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155D398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8FF3CE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6C73944">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3A01B9C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62BCB5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471AE76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31B220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6D5C5D67">
        <w:tblPrEx>
          <w:tblCellMar>
            <w:top w:w="0" w:type="dxa"/>
            <w:left w:w="108" w:type="dxa"/>
            <w:bottom w:w="0" w:type="dxa"/>
            <w:right w:w="108" w:type="dxa"/>
          </w:tblCellMar>
        </w:tblPrEx>
        <w:trPr>
          <w:cantSplit/>
        </w:trPr>
        <w:tc>
          <w:tcPr>
            <w:tcW w:w="893" w:type="dxa"/>
            <w:vAlign w:val="center"/>
          </w:tcPr>
          <w:p w14:paraId="070D27D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3105C20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3.564</w:t>
            </w:r>
          </w:p>
        </w:tc>
        <w:tc>
          <w:tcPr>
            <w:tcW w:w="937" w:type="dxa"/>
            <w:vAlign w:val="center"/>
          </w:tcPr>
          <w:p w14:paraId="66B01DA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0.577</w:t>
            </w:r>
          </w:p>
        </w:tc>
        <w:tc>
          <w:tcPr>
            <w:tcW w:w="1151" w:type="dxa"/>
            <w:vAlign w:val="center"/>
          </w:tcPr>
          <w:p w14:paraId="46BE546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0.959</w:t>
            </w:r>
          </w:p>
        </w:tc>
        <w:tc>
          <w:tcPr>
            <w:tcW w:w="2563" w:type="dxa"/>
            <w:vAlign w:val="center"/>
          </w:tcPr>
          <w:p w14:paraId="68B9C1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0.916～1.001</w:t>
            </w:r>
          </w:p>
        </w:tc>
        <w:tc>
          <w:tcPr>
            <w:tcW w:w="1153" w:type="dxa"/>
            <w:vAlign w:val="center"/>
          </w:tcPr>
          <w:p w14:paraId="5BBCC11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44.080</w:t>
            </w:r>
          </w:p>
        </w:tc>
        <w:tc>
          <w:tcPr>
            <w:tcW w:w="1152" w:type="dxa"/>
            <w:vAlign w:val="center"/>
          </w:tcPr>
          <w:p w14:paraId="7663E98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43E00956">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3F1B9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23FACC4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4.523</w:t>
            </w:r>
          </w:p>
        </w:tc>
        <w:tc>
          <w:tcPr>
            <w:tcW w:w="937" w:type="dxa"/>
            <w:tcBorders>
              <w:bottom w:val="single" w:color="000000" w:sz="8" w:space="0"/>
            </w:tcBorders>
            <w:vAlign w:val="center"/>
          </w:tcPr>
          <w:p w14:paraId="32F3BE0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0.601</w:t>
            </w:r>
          </w:p>
        </w:tc>
        <w:tc>
          <w:tcPr>
            <w:tcW w:w="1151" w:type="dxa"/>
            <w:tcBorders>
              <w:bottom w:val="single" w:color="000000" w:sz="8" w:space="0"/>
            </w:tcBorders>
            <w:vAlign w:val="center"/>
          </w:tcPr>
          <w:p w14:paraId="2E6F8587">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00A53EAD">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D3E66C3">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0A3F3057">
            <w:pPr>
              <w:keepNext/>
              <w:spacing w:before="0" w:after="0" w:line="240" w:lineRule="auto"/>
              <w:ind w:firstLine="0"/>
              <w:jc w:val="center"/>
              <w:rPr>
                <w:rFonts w:hint="eastAsia" w:ascii="宋体" w:hAnsi="宋体" w:eastAsia="宋体" w:cs="宋体"/>
              </w:rPr>
            </w:pPr>
          </w:p>
        </w:tc>
      </w:tr>
    </w:tbl>
    <w:p w14:paraId="1F5B95D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注：df＝1345；配对差SD＝0.798；dz＝1.201；Holm校正后p＜0.001。</w:t>
      </w:r>
    </w:p>
    <w:p w14:paraId="05E7F7B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创造均值由3.564升至4.523，平均增加0.959分，95%CI为0.916～1.001，t（1345）＝44.080，校正后p＜0.001，dz＝1.201。创造维度由前测相对薄弱走向较高自评水平，为课题通过开放任务、多方案尝试和知识整合拓展学生思路提供了支持。后测关于思考不同路径、方法更加灵活的回答，与这一变化方向相符。对于课题论证而言，这说明教学设计中保留探索空间、组织方案比较和持续修订具有实践意义，学生是否形成高质量的新方案还可通过作品及其版本变化进一步验证。</w:t>
      </w:r>
    </w:p>
    <w:p w14:paraId="55712651">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4）责任担当</w:t>
      </w:r>
    </w:p>
    <w:p w14:paraId="0D6BD08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表3-61  责任担当维度前后测比较（n＝1346）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ABB57E6">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018899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318A4B7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227655F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0C23FEE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2A8F14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48AC125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1EE0E7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7CD9A147">
        <w:tblPrEx>
          <w:tblCellMar>
            <w:top w:w="0" w:type="dxa"/>
            <w:left w:w="108" w:type="dxa"/>
            <w:bottom w:w="0" w:type="dxa"/>
            <w:right w:w="108" w:type="dxa"/>
          </w:tblCellMar>
        </w:tblPrEx>
        <w:trPr>
          <w:cantSplit/>
        </w:trPr>
        <w:tc>
          <w:tcPr>
            <w:tcW w:w="893" w:type="dxa"/>
            <w:vAlign w:val="center"/>
          </w:tcPr>
          <w:p w14:paraId="0D54A62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588C741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3.664</w:t>
            </w:r>
          </w:p>
        </w:tc>
        <w:tc>
          <w:tcPr>
            <w:tcW w:w="937" w:type="dxa"/>
            <w:vAlign w:val="center"/>
          </w:tcPr>
          <w:p w14:paraId="38C1D1F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0.495</w:t>
            </w:r>
          </w:p>
        </w:tc>
        <w:tc>
          <w:tcPr>
            <w:tcW w:w="1151" w:type="dxa"/>
            <w:vAlign w:val="center"/>
          </w:tcPr>
          <w:p w14:paraId="4F8C4FF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0.985</w:t>
            </w:r>
          </w:p>
        </w:tc>
        <w:tc>
          <w:tcPr>
            <w:tcW w:w="2563" w:type="dxa"/>
            <w:vAlign w:val="center"/>
          </w:tcPr>
          <w:p w14:paraId="41B19F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0.956～1.013</w:t>
            </w:r>
          </w:p>
        </w:tc>
        <w:tc>
          <w:tcPr>
            <w:tcW w:w="1153" w:type="dxa"/>
            <w:vAlign w:val="center"/>
          </w:tcPr>
          <w:p w14:paraId="735A1E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67.426</w:t>
            </w:r>
          </w:p>
        </w:tc>
        <w:tc>
          <w:tcPr>
            <w:tcW w:w="1152" w:type="dxa"/>
            <w:vAlign w:val="center"/>
          </w:tcPr>
          <w:p w14:paraId="06EC8CA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8CC9FEF">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F5AFD7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59F1294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4.648</w:t>
            </w:r>
          </w:p>
        </w:tc>
        <w:tc>
          <w:tcPr>
            <w:tcW w:w="937" w:type="dxa"/>
            <w:tcBorders>
              <w:bottom w:val="single" w:color="000000" w:sz="8" w:space="0"/>
            </w:tcBorders>
            <w:vAlign w:val="center"/>
          </w:tcPr>
          <w:p w14:paraId="2CC2363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0.660</w:t>
            </w:r>
          </w:p>
        </w:tc>
        <w:tc>
          <w:tcPr>
            <w:tcW w:w="1151" w:type="dxa"/>
            <w:tcBorders>
              <w:bottom w:val="single" w:color="000000" w:sz="8" w:space="0"/>
            </w:tcBorders>
            <w:vAlign w:val="center"/>
          </w:tcPr>
          <w:p w14:paraId="43456B28">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7F55A6A">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2407D571">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D24FDC8">
            <w:pPr>
              <w:keepNext/>
              <w:spacing w:before="0" w:after="0" w:line="240" w:lineRule="auto"/>
              <w:ind w:firstLine="0"/>
              <w:jc w:val="center"/>
              <w:rPr>
                <w:rFonts w:hint="eastAsia" w:ascii="宋体" w:hAnsi="宋体" w:eastAsia="宋体" w:cs="宋体"/>
              </w:rPr>
            </w:pPr>
          </w:p>
        </w:tc>
      </w:tr>
    </w:tbl>
    <w:p w14:paraId="601C7045">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注：df＝1345；配对差SD＝0.536；dz＝1.838；Holm校正后p＜0.001。</w:t>
      </w:r>
    </w:p>
    <w:p w14:paraId="3FC58022">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责任担当均值由3.664升至4.648，平均增加0.985分，95%CI为0.956～1.013，t（1345）＝67.426，校正后p＜0.001，dz＝1.838。责任担当的提高，为课题在共同任务中落实目标明确、分工履行、持续投入与任务反思提供了支持。该维度后测均值在七维中最高，反映学生对任务责任的自评较为积极，与任务驱动和探究展学对主动参与的要求相契合。其教育意义在于，高阶能力培育不仅关注想出办法，也关注学生能否承担任务、坚持完成并检查质量，为持续开展合作探究提供基础。</w:t>
      </w:r>
    </w:p>
    <w:p w14:paraId="1F765B07">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5）情绪调节</w:t>
      </w:r>
    </w:p>
    <w:p w14:paraId="0DCE4FBE">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表3-62  情绪调节维度前后测比较（n＝1346）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F836F0A">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08CC307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522C0BE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118DAE9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CC2CB1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679300C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638FE71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4123DE8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78C2B8F3">
        <w:tblPrEx>
          <w:tblCellMar>
            <w:top w:w="0" w:type="dxa"/>
            <w:left w:w="108" w:type="dxa"/>
            <w:bottom w:w="0" w:type="dxa"/>
            <w:right w:w="108" w:type="dxa"/>
          </w:tblCellMar>
        </w:tblPrEx>
        <w:trPr>
          <w:cantSplit/>
        </w:trPr>
        <w:tc>
          <w:tcPr>
            <w:tcW w:w="893" w:type="dxa"/>
            <w:vAlign w:val="center"/>
          </w:tcPr>
          <w:p w14:paraId="1F43646F">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25F0408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3.586</w:t>
            </w:r>
          </w:p>
        </w:tc>
        <w:tc>
          <w:tcPr>
            <w:tcW w:w="937" w:type="dxa"/>
            <w:vAlign w:val="center"/>
          </w:tcPr>
          <w:p w14:paraId="52EC80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0.557</w:t>
            </w:r>
          </w:p>
        </w:tc>
        <w:tc>
          <w:tcPr>
            <w:tcW w:w="1151" w:type="dxa"/>
            <w:vAlign w:val="center"/>
          </w:tcPr>
          <w:p w14:paraId="3CA007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0.818</w:t>
            </w:r>
          </w:p>
        </w:tc>
        <w:tc>
          <w:tcPr>
            <w:tcW w:w="2563" w:type="dxa"/>
            <w:vAlign w:val="center"/>
          </w:tcPr>
          <w:p w14:paraId="334C5DD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0.800～0.837</w:t>
            </w:r>
          </w:p>
        </w:tc>
        <w:tc>
          <w:tcPr>
            <w:tcW w:w="1153" w:type="dxa"/>
            <w:vAlign w:val="center"/>
          </w:tcPr>
          <w:p w14:paraId="573967C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85.278</w:t>
            </w:r>
          </w:p>
        </w:tc>
        <w:tc>
          <w:tcPr>
            <w:tcW w:w="1152" w:type="dxa"/>
            <w:vAlign w:val="center"/>
          </w:tcPr>
          <w:p w14:paraId="37ABFA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031873D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36D5087">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08FFCAB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4.405</w:t>
            </w:r>
          </w:p>
        </w:tc>
        <w:tc>
          <w:tcPr>
            <w:tcW w:w="937" w:type="dxa"/>
            <w:tcBorders>
              <w:bottom w:val="single" w:color="000000" w:sz="8" w:space="0"/>
            </w:tcBorders>
            <w:vAlign w:val="center"/>
          </w:tcPr>
          <w:p w14:paraId="78DEC10C">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0.776</w:t>
            </w:r>
          </w:p>
        </w:tc>
        <w:tc>
          <w:tcPr>
            <w:tcW w:w="1151" w:type="dxa"/>
            <w:tcBorders>
              <w:bottom w:val="single" w:color="000000" w:sz="8" w:space="0"/>
            </w:tcBorders>
            <w:vAlign w:val="center"/>
          </w:tcPr>
          <w:p w14:paraId="1268EE6D">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782EFC5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123885C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BBA368F">
            <w:pPr>
              <w:keepNext/>
              <w:spacing w:before="0" w:after="0" w:line="240" w:lineRule="auto"/>
              <w:ind w:firstLine="0"/>
              <w:jc w:val="center"/>
              <w:rPr>
                <w:rFonts w:hint="eastAsia" w:ascii="宋体" w:hAnsi="宋体" w:eastAsia="宋体" w:cs="宋体"/>
              </w:rPr>
            </w:pPr>
          </w:p>
        </w:tc>
      </w:tr>
    </w:tbl>
    <w:p w14:paraId="681EAA67">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注：df＝1345；配对差SD＝0.352；dz＝2.324；Holm校正后p＜0.001。</w:t>
      </w:r>
    </w:p>
    <w:p w14:paraId="4CD6309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情绪调节均值由3.586升至4.405，平均增加0.818分，95%CI为0.800～0.837，t（1345）＝85.278，校正后p＜0.001，dz＝2.324。情绪调节的提高，为课题在认知挑战中同步提供过程反馈、同伴支持和调整机会的设计提供了支持。面对困难、分歧和失误时保持投入，是持续探究的重要条件；该维度的积极变化说明，学生对自身应对这些情境的能力更加认可。后测“比以前更有耐心”等表述提供了补充线索，提示高阶能力培育中的情绪支持具有实际价值。</w:t>
      </w:r>
    </w:p>
    <w:p w14:paraId="5763938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6）合作共情</w:t>
      </w:r>
    </w:p>
    <w:p w14:paraId="4936176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表3-63  合作共情维度前后测比较（n＝1346）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0460976">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7B823BD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63334E0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F2C38D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1C2ACC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1D076F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775F70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5D2B45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414B441">
        <w:tblPrEx>
          <w:tblCellMar>
            <w:top w:w="0" w:type="dxa"/>
            <w:left w:w="108" w:type="dxa"/>
            <w:bottom w:w="0" w:type="dxa"/>
            <w:right w:w="108" w:type="dxa"/>
          </w:tblCellMar>
        </w:tblPrEx>
        <w:trPr>
          <w:cantSplit/>
        </w:trPr>
        <w:tc>
          <w:tcPr>
            <w:tcW w:w="893" w:type="dxa"/>
            <w:vAlign w:val="center"/>
          </w:tcPr>
          <w:p w14:paraId="648435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2EB4502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3.709</w:t>
            </w:r>
          </w:p>
        </w:tc>
        <w:tc>
          <w:tcPr>
            <w:tcW w:w="937" w:type="dxa"/>
            <w:vAlign w:val="center"/>
          </w:tcPr>
          <w:p w14:paraId="54ADC5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0.475</w:t>
            </w:r>
          </w:p>
        </w:tc>
        <w:tc>
          <w:tcPr>
            <w:tcW w:w="1151" w:type="dxa"/>
            <w:vAlign w:val="center"/>
          </w:tcPr>
          <w:p w14:paraId="61EF1344">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0.773</w:t>
            </w:r>
          </w:p>
        </w:tc>
        <w:tc>
          <w:tcPr>
            <w:tcW w:w="2563" w:type="dxa"/>
            <w:vAlign w:val="center"/>
          </w:tcPr>
          <w:p w14:paraId="0739FE9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0.754～0.792</w:t>
            </w:r>
          </w:p>
        </w:tc>
        <w:tc>
          <w:tcPr>
            <w:tcW w:w="1153" w:type="dxa"/>
            <w:vAlign w:val="center"/>
          </w:tcPr>
          <w:p w14:paraId="46103F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79.513</w:t>
            </w:r>
          </w:p>
        </w:tc>
        <w:tc>
          <w:tcPr>
            <w:tcW w:w="1152" w:type="dxa"/>
            <w:vAlign w:val="center"/>
          </w:tcPr>
          <w:p w14:paraId="64371AB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76AED4A9">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41B1F57E">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3B439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4.482</w:t>
            </w:r>
          </w:p>
        </w:tc>
        <w:tc>
          <w:tcPr>
            <w:tcW w:w="937" w:type="dxa"/>
            <w:tcBorders>
              <w:bottom w:val="single" w:color="000000" w:sz="8" w:space="0"/>
            </w:tcBorders>
            <w:vAlign w:val="center"/>
          </w:tcPr>
          <w:p w14:paraId="098EA51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0.805</w:t>
            </w:r>
          </w:p>
        </w:tc>
        <w:tc>
          <w:tcPr>
            <w:tcW w:w="1151" w:type="dxa"/>
            <w:tcBorders>
              <w:bottom w:val="single" w:color="000000" w:sz="8" w:space="0"/>
            </w:tcBorders>
            <w:vAlign w:val="center"/>
          </w:tcPr>
          <w:p w14:paraId="2868A980">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14F4C96B">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9B018A9">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1E71394">
            <w:pPr>
              <w:keepNext/>
              <w:spacing w:before="0" w:after="0" w:line="240" w:lineRule="auto"/>
              <w:ind w:firstLine="0"/>
              <w:jc w:val="center"/>
              <w:rPr>
                <w:rFonts w:hint="eastAsia" w:ascii="宋体" w:hAnsi="宋体" w:eastAsia="宋体" w:cs="宋体"/>
              </w:rPr>
            </w:pPr>
          </w:p>
        </w:tc>
      </w:tr>
    </w:tbl>
    <w:p w14:paraId="42111555">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注：df＝1345；配对差SD＝0.357；dz＝2.167；Holm校正后p＜0.001。</w:t>
      </w:r>
    </w:p>
    <w:p w14:paraId="775A786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合作共情均值由3.709升至4.482，平均增加0.773分，95%CI为0.754～0.792，t（1345）＝79.513，校正后p＜0.001，dz＝2.167。合作共情的提高，与课题通过小组研讨、观点表达和协商修订促进共同学习的设计方向一致。后测“与同学交流更多了”“学会更好地表达自己的观点，学会多角度分析问题”等回答，为合作参与的变化提供了具体例证。量化与文本结果共同支持探究展学在拓展交流机会、促进理解不同观点方面的实践价值，合作的进一步深化则可着眼于证据回应和共同修订结论。</w:t>
      </w:r>
    </w:p>
    <w:p w14:paraId="366F826C">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rPr>
        <w:t>7）包容创新</w:t>
      </w:r>
    </w:p>
    <w:p w14:paraId="7AE0752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表3-64  包容创新维度前后测比较（n＝1346）</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E72938B">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AB0FE77">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2D5831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70FFA3BE">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DC6ECE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01626C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151BCE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1467C2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1F3E3385">
        <w:tblPrEx>
          <w:tblCellMar>
            <w:top w:w="0" w:type="dxa"/>
            <w:left w:w="108" w:type="dxa"/>
            <w:bottom w:w="0" w:type="dxa"/>
            <w:right w:w="108" w:type="dxa"/>
          </w:tblCellMar>
        </w:tblPrEx>
        <w:trPr>
          <w:cantSplit/>
        </w:trPr>
        <w:tc>
          <w:tcPr>
            <w:tcW w:w="893" w:type="dxa"/>
            <w:vAlign w:val="center"/>
          </w:tcPr>
          <w:p w14:paraId="4EB562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前测</w:t>
            </w:r>
          </w:p>
        </w:tc>
        <w:tc>
          <w:tcPr>
            <w:tcW w:w="935" w:type="dxa"/>
            <w:vAlign w:val="center"/>
          </w:tcPr>
          <w:p w14:paraId="1D7EE52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3.655</w:t>
            </w:r>
          </w:p>
        </w:tc>
        <w:tc>
          <w:tcPr>
            <w:tcW w:w="937" w:type="dxa"/>
            <w:vAlign w:val="center"/>
          </w:tcPr>
          <w:p w14:paraId="4BFD775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0.510</w:t>
            </w:r>
          </w:p>
        </w:tc>
        <w:tc>
          <w:tcPr>
            <w:tcW w:w="1151" w:type="dxa"/>
            <w:vAlign w:val="center"/>
          </w:tcPr>
          <w:p w14:paraId="5F887E5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0.732</w:t>
            </w:r>
          </w:p>
        </w:tc>
        <w:tc>
          <w:tcPr>
            <w:tcW w:w="2563" w:type="dxa"/>
            <w:vAlign w:val="center"/>
          </w:tcPr>
          <w:p w14:paraId="002F38D9">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0.712～0.752</w:t>
            </w:r>
          </w:p>
        </w:tc>
        <w:tc>
          <w:tcPr>
            <w:tcW w:w="1153" w:type="dxa"/>
            <w:vAlign w:val="center"/>
          </w:tcPr>
          <w:p w14:paraId="388D29DD">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72.117</w:t>
            </w:r>
          </w:p>
        </w:tc>
        <w:tc>
          <w:tcPr>
            <w:tcW w:w="1152" w:type="dxa"/>
            <w:vAlign w:val="center"/>
          </w:tcPr>
          <w:p w14:paraId="10FC65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＜0.001</w:t>
            </w:r>
          </w:p>
        </w:tc>
      </w:tr>
      <w:tr w14:paraId="5E40C46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EDFA450">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后测</w:t>
            </w:r>
          </w:p>
        </w:tc>
        <w:tc>
          <w:tcPr>
            <w:tcW w:w="935" w:type="dxa"/>
            <w:tcBorders>
              <w:bottom w:val="single" w:color="000000" w:sz="8" w:space="0"/>
            </w:tcBorders>
            <w:vAlign w:val="center"/>
          </w:tcPr>
          <w:p w14:paraId="612CFAB2">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4.387</w:t>
            </w:r>
          </w:p>
        </w:tc>
        <w:tc>
          <w:tcPr>
            <w:tcW w:w="937" w:type="dxa"/>
            <w:tcBorders>
              <w:bottom w:val="single" w:color="000000" w:sz="8" w:space="0"/>
            </w:tcBorders>
            <w:vAlign w:val="center"/>
          </w:tcPr>
          <w:p w14:paraId="2FCF805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0.856</w:t>
            </w:r>
          </w:p>
        </w:tc>
        <w:tc>
          <w:tcPr>
            <w:tcW w:w="1151" w:type="dxa"/>
            <w:tcBorders>
              <w:bottom w:val="single" w:color="000000" w:sz="8" w:space="0"/>
            </w:tcBorders>
            <w:vAlign w:val="center"/>
          </w:tcPr>
          <w:p w14:paraId="36A742ED">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382202E8">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494BE53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64A96AF">
            <w:pPr>
              <w:keepNext/>
              <w:spacing w:before="0" w:after="0" w:line="240" w:lineRule="auto"/>
              <w:ind w:firstLine="0"/>
              <w:jc w:val="center"/>
              <w:rPr>
                <w:rFonts w:hint="eastAsia" w:ascii="宋体" w:hAnsi="宋体" w:eastAsia="宋体" w:cs="宋体"/>
              </w:rPr>
            </w:pPr>
          </w:p>
        </w:tc>
      </w:tr>
    </w:tbl>
    <w:p w14:paraId="66E415CE">
      <w:pPr>
        <w:spacing w:line="240" w:lineRule="auto"/>
        <w:ind w:firstLine="0"/>
        <w:jc w:val="left"/>
        <w:rPr>
          <w:rFonts w:hint="eastAsia" w:ascii="宋体" w:hAnsi="宋体" w:eastAsia="宋体" w:cs="宋体"/>
        </w:rPr>
      </w:pPr>
      <w:r>
        <w:rPr>
          <w:rFonts w:hint="eastAsia" w:ascii="宋体" w:hAnsi="宋体" w:eastAsia="宋体" w:cs="宋体"/>
          <w:b w:val="0"/>
          <w:sz w:val="21"/>
        </w:rPr>
        <w:t>注：df＝1345；配对差SD＝0.372；dz＝1.966；Holm校正后p＜0.001。</w:t>
      </w:r>
    </w:p>
    <w:p w14:paraId="50DA195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包容创新均值由3.655升至4.387，平均增加0.732分，95%CI为0.712～0.752，t（1345）＝72.117，校正后p＜0.001，dz＝1.966。包容创新维度的提高，为课题通过开放性问题、不同方案交流和反复尝试培养探索意愿提供了支持。学生更积极地评价自身接纳不同意见、尝试新方法和持续探究的表现，与课题鼓励多元思路、允许修订和推动迁移的要求相契合。同时，该维度后测均值及均值增量相对较低，提示下一阶段可进一步增加陌生情境中的方案试用与自主选择机会，使开放态度更多转化为探索行动。</w:t>
      </w:r>
    </w:p>
    <w:p w14:paraId="67A544C4">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color w:val="auto"/>
          <w:sz w:val="24"/>
        </w:rPr>
      </w:pPr>
      <w:bookmarkStart w:id="104" w:name="_Toc17662"/>
      <w:r>
        <w:rPr>
          <w:rFonts w:hint="eastAsia" w:ascii="宋体" w:hAnsi="宋体" w:eastAsia="宋体" w:cs="宋体"/>
          <w:b w:val="0"/>
          <w:color w:val="auto"/>
          <w:sz w:val="24"/>
        </w:rPr>
        <w:t>（</w:t>
      </w:r>
      <w:r>
        <w:rPr>
          <w:rFonts w:hint="eastAsia" w:ascii="宋体" w:hAnsi="宋体" w:eastAsia="宋体" w:cs="宋体"/>
          <w:b w:val="0"/>
          <w:color w:val="auto"/>
          <w:sz w:val="24"/>
          <w:lang w:val="en-US" w:eastAsia="zh-CN"/>
        </w:rPr>
        <w:t>4</w:t>
      </w:r>
      <w:r>
        <w:rPr>
          <w:rFonts w:hint="eastAsia" w:ascii="宋体" w:hAnsi="宋体" w:eastAsia="宋体" w:cs="宋体"/>
          <w:b w:val="0"/>
          <w:color w:val="auto"/>
          <w:sz w:val="24"/>
        </w:rPr>
        <w:t>）开放性回答的质性分析</w:t>
      </w:r>
      <w:bookmarkEnd w:id="104"/>
    </w:p>
    <w:p w14:paraId="10E91076">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rPr>
      </w:pPr>
      <w:r>
        <w:rPr>
          <w:rFonts w:hint="eastAsia" w:ascii="宋体" w:hAnsi="宋体" w:eastAsia="宋体" w:cs="宋体"/>
          <w:b w:val="0"/>
          <w:sz w:val="24"/>
        </w:rPr>
        <w:t>1）前测中的学习困难</w:t>
      </w:r>
    </w:p>
    <w:p w14:paraId="37B5E5D2">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表3-65  学生前测开放性回答三级编码表</w:t>
      </w:r>
    </w:p>
    <w:tbl>
      <w:tblPr>
        <w:tblStyle w:val="12"/>
        <w:tblW w:w="8522" w:type="dxa"/>
        <w:jc w:val="center"/>
        <w:tblLayout w:type="fixed"/>
        <w:tblCellMar>
          <w:top w:w="0" w:type="dxa"/>
          <w:left w:w="0" w:type="dxa"/>
          <w:bottom w:w="0" w:type="dxa"/>
          <w:right w:w="0" w:type="dxa"/>
        </w:tblCellMar>
      </w:tblPr>
      <w:tblGrid>
        <w:gridCol w:w="2501"/>
        <w:gridCol w:w="2569"/>
        <w:gridCol w:w="1859"/>
        <w:gridCol w:w="1593"/>
      </w:tblGrid>
      <w:tr w14:paraId="49EF2CAB">
        <w:tblPrEx>
          <w:tblCellMar>
            <w:top w:w="0" w:type="dxa"/>
            <w:left w:w="0" w:type="dxa"/>
            <w:bottom w:w="0" w:type="dxa"/>
            <w:right w:w="0" w:type="dxa"/>
          </w:tblCellMar>
        </w:tblPrEx>
        <w:trPr>
          <w:cantSplit/>
          <w:tblHeader/>
          <w:jc w:val="center"/>
        </w:trPr>
        <w:tc>
          <w:tcPr>
            <w:tcW w:w="2501" w:type="dxa"/>
            <w:tcBorders>
              <w:top w:val="single" w:color="000000" w:sz="12" w:space="0"/>
              <w:bottom w:val="single" w:color="000000" w:sz="6" w:space="0"/>
            </w:tcBorders>
            <w:vAlign w:val="center"/>
          </w:tcPr>
          <w:p w14:paraId="5FA952A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569" w:type="dxa"/>
            <w:tcBorders>
              <w:top w:val="single" w:color="000000" w:sz="12" w:space="0"/>
              <w:bottom w:val="single" w:color="000000" w:sz="6" w:space="0"/>
            </w:tcBorders>
            <w:vAlign w:val="center"/>
          </w:tcPr>
          <w:p w14:paraId="6B46F79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859" w:type="dxa"/>
            <w:tcBorders>
              <w:top w:val="single" w:color="000000" w:sz="12" w:space="0"/>
              <w:bottom w:val="single" w:color="000000" w:sz="6" w:space="0"/>
            </w:tcBorders>
            <w:vAlign w:val="center"/>
          </w:tcPr>
          <w:p w14:paraId="78E74448">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1593" w:type="dxa"/>
            <w:tcBorders>
              <w:top w:val="single" w:color="000000" w:sz="12" w:space="0"/>
              <w:bottom w:val="single" w:color="000000" w:sz="6" w:space="0"/>
            </w:tcBorders>
            <w:vAlign w:val="center"/>
          </w:tcPr>
          <w:p w14:paraId="37E38CB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涉及回答数</w:t>
            </w:r>
          </w:p>
        </w:tc>
      </w:tr>
      <w:tr w14:paraId="61525A8B">
        <w:tblPrEx>
          <w:tblCellMar>
            <w:top w:w="0" w:type="dxa"/>
            <w:left w:w="0" w:type="dxa"/>
            <w:bottom w:w="0" w:type="dxa"/>
            <w:right w:w="0" w:type="dxa"/>
          </w:tblCellMar>
        </w:tblPrEx>
        <w:trPr>
          <w:cantSplit/>
          <w:jc w:val="center"/>
        </w:trPr>
        <w:tc>
          <w:tcPr>
            <w:tcW w:w="2501" w:type="dxa"/>
            <w:vAlign w:val="center"/>
          </w:tcPr>
          <w:p w14:paraId="19AF706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不会、想不出、看不懂、难题、新题型</w:t>
            </w:r>
          </w:p>
        </w:tc>
        <w:tc>
          <w:tcPr>
            <w:tcW w:w="2569" w:type="dxa"/>
            <w:vAlign w:val="center"/>
          </w:tcPr>
          <w:p w14:paraId="0E630C6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问题理解、思路生成、陌生任务适应</w:t>
            </w:r>
          </w:p>
        </w:tc>
        <w:tc>
          <w:tcPr>
            <w:tcW w:w="1859" w:type="dxa"/>
            <w:vAlign w:val="center"/>
          </w:tcPr>
          <w:p w14:paraId="204F009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复杂问题与认知加工困难</w:t>
            </w:r>
          </w:p>
        </w:tc>
        <w:tc>
          <w:tcPr>
            <w:tcW w:w="1593" w:type="dxa"/>
            <w:vAlign w:val="center"/>
          </w:tcPr>
          <w:p w14:paraId="335FDCE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287</w:t>
            </w:r>
          </w:p>
        </w:tc>
      </w:tr>
      <w:tr w14:paraId="2D0E4A59">
        <w:tblPrEx>
          <w:tblCellMar>
            <w:top w:w="0" w:type="dxa"/>
            <w:left w:w="0" w:type="dxa"/>
            <w:bottom w:w="0" w:type="dxa"/>
            <w:right w:w="0" w:type="dxa"/>
          </w:tblCellMar>
        </w:tblPrEx>
        <w:trPr>
          <w:cantSplit/>
          <w:jc w:val="center"/>
        </w:trPr>
        <w:tc>
          <w:tcPr>
            <w:tcW w:w="2501" w:type="dxa"/>
            <w:vAlign w:val="center"/>
          </w:tcPr>
          <w:p w14:paraId="000E910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数学、英语、语文、作文、阅读、公式等</w:t>
            </w:r>
          </w:p>
        </w:tc>
        <w:tc>
          <w:tcPr>
            <w:tcW w:w="2569" w:type="dxa"/>
            <w:vAlign w:val="center"/>
          </w:tcPr>
          <w:p w14:paraId="4B8C0FC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学科知识、学科技能、学科任务</w:t>
            </w:r>
          </w:p>
        </w:tc>
        <w:tc>
          <w:tcPr>
            <w:tcW w:w="1859" w:type="dxa"/>
            <w:vAlign w:val="center"/>
          </w:tcPr>
          <w:p w14:paraId="50BE573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学科知识与技能困难</w:t>
            </w:r>
          </w:p>
        </w:tc>
        <w:tc>
          <w:tcPr>
            <w:tcW w:w="1593" w:type="dxa"/>
            <w:vAlign w:val="center"/>
          </w:tcPr>
          <w:p w14:paraId="58AD437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245</w:t>
            </w:r>
          </w:p>
        </w:tc>
      </w:tr>
      <w:tr w14:paraId="03BA1BAD">
        <w:tblPrEx>
          <w:tblCellMar>
            <w:top w:w="0" w:type="dxa"/>
            <w:left w:w="0" w:type="dxa"/>
            <w:bottom w:w="0" w:type="dxa"/>
            <w:right w:w="0" w:type="dxa"/>
          </w:tblCellMar>
        </w:tblPrEx>
        <w:trPr>
          <w:cantSplit/>
          <w:jc w:val="center"/>
        </w:trPr>
        <w:tc>
          <w:tcPr>
            <w:tcW w:w="2501" w:type="dxa"/>
            <w:vAlign w:val="center"/>
          </w:tcPr>
          <w:p w14:paraId="28AC3F7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作业、卷子、任务多、时间不够、疲劳</w:t>
            </w:r>
          </w:p>
        </w:tc>
        <w:tc>
          <w:tcPr>
            <w:tcW w:w="2569" w:type="dxa"/>
            <w:vAlign w:val="center"/>
          </w:tcPr>
          <w:p w14:paraId="05E980C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任务负荷、时间压力、重复学习</w:t>
            </w:r>
          </w:p>
        </w:tc>
        <w:tc>
          <w:tcPr>
            <w:tcW w:w="1859" w:type="dxa"/>
            <w:vAlign w:val="center"/>
          </w:tcPr>
          <w:p w14:paraId="79F212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作业任务与时间负担</w:t>
            </w:r>
          </w:p>
        </w:tc>
        <w:tc>
          <w:tcPr>
            <w:tcW w:w="1593" w:type="dxa"/>
            <w:vAlign w:val="center"/>
          </w:tcPr>
          <w:p w14:paraId="451C30B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161</w:t>
            </w:r>
          </w:p>
        </w:tc>
      </w:tr>
      <w:tr w14:paraId="32A82E6C">
        <w:tblPrEx>
          <w:tblCellMar>
            <w:top w:w="0" w:type="dxa"/>
            <w:left w:w="0" w:type="dxa"/>
            <w:bottom w:w="0" w:type="dxa"/>
            <w:right w:w="0" w:type="dxa"/>
          </w:tblCellMar>
        </w:tblPrEx>
        <w:trPr>
          <w:cantSplit/>
          <w:jc w:val="center"/>
        </w:trPr>
        <w:tc>
          <w:tcPr>
            <w:tcW w:w="2501" w:type="dxa"/>
            <w:vAlign w:val="center"/>
          </w:tcPr>
          <w:p w14:paraId="5EB770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背课文、背单词、默写、记不住</w:t>
            </w:r>
          </w:p>
        </w:tc>
        <w:tc>
          <w:tcPr>
            <w:tcW w:w="2569" w:type="dxa"/>
            <w:vAlign w:val="center"/>
          </w:tcPr>
          <w:p w14:paraId="1824E8B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识记保持、提取困难</w:t>
            </w:r>
          </w:p>
        </w:tc>
        <w:tc>
          <w:tcPr>
            <w:tcW w:w="1859" w:type="dxa"/>
            <w:vAlign w:val="center"/>
          </w:tcPr>
          <w:p w14:paraId="3F8117C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记忆背诵困难</w:t>
            </w:r>
          </w:p>
        </w:tc>
        <w:tc>
          <w:tcPr>
            <w:tcW w:w="1593" w:type="dxa"/>
            <w:vAlign w:val="center"/>
          </w:tcPr>
          <w:p w14:paraId="1EDBA7A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97</w:t>
            </w:r>
          </w:p>
        </w:tc>
      </w:tr>
      <w:tr w14:paraId="597C3469">
        <w:tblPrEx>
          <w:tblCellMar>
            <w:top w:w="0" w:type="dxa"/>
            <w:left w:w="0" w:type="dxa"/>
            <w:bottom w:w="0" w:type="dxa"/>
            <w:right w:w="0" w:type="dxa"/>
          </w:tblCellMar>
        </w:tblPrEx>
        <w:trPr>
          <w:cantSplit/>
          <w:jc w:val="center"/>
        </w:trPr>
        <w:tc>
          <w:tcPr>
            <w:tcW w:w="2501" w:type="dxa"/>
            <w:vAlign w:val="center"/>
          </w:tcPr>
          <w:p w14:paraId="6945F2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考试、成绩、考不好、测试</w:t>
            </w:r>
          </w:p>
        </w:tc>
        <w:tc>
          <w:tcPr>
            <w:tcW w:w="2569" w:type="dxa"/>
            <w:vAlign w:val="center"/>
          </w:tcPr>
          <w:p w14:paraId="12B2FA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考试情境、结果评价、成绩压力</w:t>
            </w:r>
          </w:p>
        </w:tc>
        <w:tc>
          <w:tcPr>
            <w:tcW w:w="1859" w:type="dxa"/>
            <w:vAlign w:val="center"/>
          </w:tcPr>
          <w:p w14:paraId="685C60E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考试评价压力</w:t>
            </w:r>
          </w:p>
        </w:tc>
        <w:tc>
          <w:tcPr>
            <w:tcW w:w="1593" w:type="dxa"/>
            <w:vAlign w:val="center"/>
          </w:tcPr>
          <w:p w14:paraId="7F3C82E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64</w:t>
            </w:r>
          </w:p>
        </w:tc>
      </w:tr>
      <w:tr w14:paraId="41E702D7">
        <w:tblPrEx>
          <w:tblCellMar>
            <w:top w:w="0" w:type="dxa"/>
            <w:left w:w="0" w:type="dxa"/>
            <w:bottom w:w="0" w:type="dxa"/>
            <w:right w:w="0" w:type="dxa"/>
          </w:tblCellMar>
        </w:tblPrEx>
        <w:trPr>
          <w:cantSplit/>
          <w:jc w:val="center"/>
        </w:trPr>
        <w:tc>
          <w:tcPr>
            <w:tcW w:w="2501" w:type="dxa"/>
            <w:vAlign w:val="center"/>
          </w:tcPr>
          <w:p w14:paraId="3E4B32F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分心、拖延、缺乏动力、自律不足</w:t>
            </w:r>
          </w:p>
        </w:tc>
        <w:tc>
          <w:tcPr>
            <w:tcW w:w="2569" w:type="dxa"/>
            <w:vAlign w:val="center"/>
          </w:tcPr>
          <w:p w14:paraId="456CF9B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注意控制、学习动力、自我管理</w:t>
            </w:r>
          </w:p>
        </w:tc>
        <w:tc>
          <w:tcPr>
            <w:tcW w:w="1859" w:type="dxa"/>
            <w:vAlign w:val="center"/>
          </w:tcPr>
          <w:p w14:paraId="4B0E22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学习动力与自我管理困难</w:t>
            </w:r>
          </w:p>
        </w:tc>
        <w:tc>
          <w:tcPr>
            <w:tcW w:w="1593" w:type="dxa"/>
            <w:vAlign w:val="center"/>
          </w:tcPr>
          <w:p w14:paraId="461F81D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44</w:t>
            </w:r>
          </w:p>
        </w:tc>
      </w:tr>
      <w:tr w14:paraId="02EDEBED">
        <w:tblPrEx>
          <w:tblCellMar>
            <w:top w:w="0" w:type="dxa"/>
            <w:left w:w="0" w:type="dxa"/>
            <w:bottom w:w="0" w:type="dxa"/>
            <w:right w:w="0" w:type="dxa"/>
          </w:tblCellMar>
        </w:tblPrEx>
        <w:trPr>
          <w:cantSplit/>
          <w:jc w:val="center"/>
        </w:trPr>
        <w:tc>
          <w:tcPr>
            <w:tcW w:w="2501" w:type="dxa"/>
            <w:vAlign w:val="center"/>
          </w:tcPr>
          <w:p w14:paraId="6044A37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焦虑、烦躁、紧张、心态调整困难</w:t>
            </w:r>
          </w:p>
        </w:tc>
        <w:tc>
          <w:tcPr>
            <w:tcW w:w="2569" w:type="dxa"/>
            <w:vAlign w:val="center"/>
          </w:tcPr>
          <w:p w14:paraId="5C9A923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紧张体验、挫折反应、情绪调适</w:t>
            </w:r>
          </w:p>
        </w:tc>
        <w:tc>
          <w:tcPr>
            <w:tcW w:w="1859" w:type="dxa"/>
            <w:vAlign w:val="center"/>
          </w:tcPr>
          <w:p w14:paraId="5DE07BB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情绪与压力调适困难</w:t>
            </w:r>
          </w:p>
        </w:tc>
        <w:tc>
          <w:tcPr>
            <w:tcW w:w="1593" w:type="dxa"/>
            <w:vAlign w:val="center"/>
          </w:tcPr>
          <w:p w14:paraId="6B47D28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25</w:t>
            </w:r>
          </w:p>
        </w:tc>
      </w:tr>
      <w:tr w14:paraId="583F9E12">
        <w:tblPrEx>
          <w:tblCellMar>
            <w:top w:w="0" w:type="dxa"/>
            <w:left w:w="0" w:type="dxa"/>
            <w:bottom w:w="0" w:type="dxa"/>
            <w:right w:w="0" w:type="dxa"/>
          </w:tblCellMar>
        </w:tblPrEx>
        <w:trPr>
          <w:cantSplit/>
          <w:jc w:val="center"/>
        </w:trPr>
        <w:tc>
          <w:tcPr>
            <w:tcW w:w="2501" w:type="dxa"/>
            <w:vAlign w:val="center"/>
          </w:tcPr>
          <w:p w14:paraId="6D186E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同学不听意见、不会合作、不敢求助</w:t>
            </w:r>
          </w:p>
        </w:tc>
        <w:tc>
          <w:tcPr>
            <w:tcW w:w="2569" w:type="dxa"/>
            <w:vAlign w:val="center"/>
          </w:tcPr>
          <w:p w14:paraId="6A5449C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合作协商、表达求助、人际互动</w:t>
            </w:r>
          </w:p>
        </w:tc>
        <w:tc>
          <w:tcPr>
            <w:tcW w:w="1859" w:type="dxa"/>
            <w:vAlign w:val="center"/>
          </w:tcPr>
          <w:p w14:paraId="2D321E0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合作交流困难</w:t>
            </w:r>
          </w:p>
        </w:tc>
        <w:tc>
          <w:tcPr>
            <w:tcW w:w="1593" w:type="dxa"/>
            <w:vAlign w:val="center"/>
          </w:tcPr>
          <w:p w14:paraId="177805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w:t>
            </w:r>
          </w:p>
        </w:tc>
      </w:tr>
      <w:tr w14:paraId="38620CFF">
        <w:tblPrEx>
          <w:tblCellMar>
            <w:top w:w="0" w:type="dxa"/>
            <w:left w:w="0" w:type="dxa"/>
            <w:bottom w:w="0" w:type="dxa"/>
            <w:right w:w="0" w:type="dxa"/>
          </w:tblCellMar>
        </w:tblPrEx>
        <w:trPr>
          <w:cantSplit/>
          <w:jc w:val="center"/>
        </w:trPr>
        <w:tc>
          <w:tcPr>
            <w:tcW w:w="2501" w:type="dxa"/>
            <w:tcBorders>
              <w:bottom w:val="single" w:color="000000" w:sz="12" w:space="0"/>
            </w:tcBorders>
            <w:vAlign w:val="center"/>
          </w:tcPr>
          <w:p w14:paraId="4111D86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无、没有、不知道、未想好</w:t>
            </w:r>
          </w:p>
        </w:tc>
        <w:tc>
          <w:tcPr>
            <w:tcW w:w="2569" w:type="dxa"/>
            <w:tcBorders>
              <w:bottom w:val="single" w:color="000000" w:sz="12" w:space="0"/>
            </w:tcBorders>
            <w:vAlign w:val="center"/>
          </w:tcPr>
          <w:p w14:paraId="20A61E4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未提供具体困难情境</w:t>
            </w:r>
          </w:p>
        </w:tc>
        <w:tc>
          <w:tcPr>
            <w:tcW w:w="1859" w:type="dxa"/>
            <w:tcBorders>
              <w:bottom w:val="single" w:color="000000" w:sz="12" w:space="0"/>
            </w:tcBorders>
            <w:vAlign w:val="center"/>
          </w:tcPr>
          <w:p w14:paraId="1ACC925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未陈述具体困难</w:t>
            </w:r>
          </w:p>
        </w:tc>
        <w:tc>
          <w:tcPr>
            <w:tcW w:w="1593" w:type="dxa"/>
            <w:tcBorders>
              <w:bottom w:val="single" w:color="000000" w:sz="12" w:space="0"/>
            </w:tcBorders>
            <w:vAlign w:val="center"/>
          </w:tcPr>
          <w:p w14:paraId="6874AC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379</w:t>
            </w:r>
          </w:p>
        </w:tc>
      </w:tr>
    </w:tbl>
    <w:p w14:paraId="26C5743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1D8079EA">
      <w:pPr>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sz w:val="24"/>
        </w:rPr>
      </w:pPr>
      <w:r>
        <w:rPr>
          <w:rFonts w:hint="eastAsia" w:ascii="宋体" w:hAnsi="宋体" w:eastAsia="宋体" w:cs="宋体"/>
          <w:b w:val="0"/>
          <w:sz w:val="24"/>
        </w:rPr>
        <w:t>2）后测中的学习变化感知</w:t>
      </w:r>
    </w:p>
    <w:p w14:paraId="174FEEC3">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表3-66  学生后测开放性回答三级编码表</w:t>
      </w:r>
    </w:p>
    <w:tbl>
      <w:tblPr>
        <w:tblStyle w:val="12"/>
        <w:tblW w:w="8870" w:type="dxa"/>
        <w:jc w:val="center"/>
        <w:tblLayout w:type="fixed"/>
        <w:tblCellMar>
          <w:top w:w="0" w:type="dxa"/>
          <w:left w:w="0" w:type="dxa"/>
          <w:bottom w:w="0" w:type="dxa"/>
          <w:right w:w="0" w:type="dxa"/>
        </w:tblCellMar>
      </w:tblPr>
      <w:tblGrid>
        <w:gridCol w:w="2975"/>
        <w:gridCol w:w="2496"/>
        <w:gridCol w:w="1859"/>
        <w:gridCol w:w="1540"/>
      </w:tblGrid>
      <w:tr w14:paraId="68866F6A">
        <w:tblPrEx>
          <w:tblCellMar>
            <w:top w:w="0" w:type="dxa"/>
            <w:left w:w="0" w:type="dxa"/>
            <w:bottom w:w="0" w:type="dxa"/>
            <w:right w:w="0" w:type="dxa"/>
          </w:tblCellMar>
        </w:tblPrEx>
        <w:trPr>
          <w:cantSplit/>
          <w:tblHeader/>
          <w:jc w:val="center"/>
        </w:trPr>
        <w:tc>
          <w:tcPr>
            <w:tcW w:w="2975" w:type="dxa"/>
            <w:tcBorders>
              <w:top w:val="single" w:color="000000" w:sz="12" w:space="0"/>
              <w:bottom w:val="single" w:color="000000" w:sz="6" w:space="0"/>
            </w:tcBorders>
            <w:vAlign w:val="center"/>
          </w:tcPr>
          <w:p w14:paraId="7D8C5F5A">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496" w:type="dxa"/>
            <w:tcBorders>
              <w:top w:val="single" w:color="000000" w:sz="12" w:space="0"/>
              <w:bottom w:val="single" w:color="000000" w:sz="6" w:space="0"/>
            </w:tcBorders>
            <w:vAlign w:val="center"/>
          </w:tcPr>
          <w:p w14:paraId="58A7B61B">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859" w:type="dxa"/>
            <w:tcBorders>
              <w:top w:val="single" w:color="000000" w:sz="12" w:space="0"/>
              <w:bottom w:val="single" w:color="000000" w:sz="6" w:space="0"/>
            </w:tcBorders>
            <w:vAlign w:val="center"/>
          </w:tcPr>
          <w:p w14:paraId="43C09D82">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1540" w:type="dxa"/>
            <w:tcBorders>
              <w:top w:val="single" w:color="000000" w:sz="12" w:space="0"/>
              <w:bottom w:val="single" w:color="000000" w:sz="6" w:space="0"/>
            </w:tcBorders>
            <w:vAlign w:val="center"/>
          </w:tcPr>
          <w:p w14:paraId="6E176E7E">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涉及回答数</w:t>
            </w:r>
          </w:p>
        </w:tc>
      </w:tr>
      <w:tr w14:paraId="71CBCE52">
        <w:tblPrEx>
          <w:tblCellMar>
            <w:top w:w="0" w:type="dxa"/>
            <w:left w:w="0" w:type="dxa"/>
            <w:bottom w:w="0" w:type="dxa"/>
            <w:right w:w="0" w:type="dxa"/>
          </w:tblCellMar>
        </w:tblPrEx>
        <w:trPr>
          <w:cantSplit/>
          <w:jc w:val="center"/>
        </w:trPr>
        <w:tc>
          <w:tcPr>
            <w:tcW w:w="2975" w:type="dxa"/>
            <w:vAlign w:val="center"/>
          </w:tcPr>
          <w:p w14:paraId="53541F8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思考更全面、多角度、更深入、逻辑更清晰</w:t>
            </w:r>
          </w:p>
        </w:tc>
        <w:tc>
          <w:tcPr>
            <w:tcW w:w="2496" w:type="dxa"/>
            <w:vAlign w:val="center"/>
          </w:tcPr>
          <w:p w14:paraId="7B98DC2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多角度分析、信息整合、深度加工</w:t>
            </w:r>
          </w:p>
        </w:tc>
        <w:tc>
          <w:tcPr>
            <w:tcW w:w="1859" w:type="dxa"/>
            <w:vAlign w:val="center"/>
          </w:tcPr>
          <w:p w14:paraId="0DB6D13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分析深化与多角度思考</w:t>
            </w:r>
          </w:p>
        </w:tc>
        <w:tc>
          <w:tcPr>
            <w:tcW w:w="1540" w:type="dxa"/>
            <w:vAlign w:val="center"/>
          </w:tcPr>
          <w:p w14:paraId="57C50C9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366</w:t>
            </w:r>
          </w:p>
        </w:tc>
      </w:tr>
      <w:tr w14:paraId="24A4DF7F">
        <w:tblPrEx>
          <w:tblCellMar>
            <w:top w:w="0" w:type="dxa"/>
            <w:left w:w="0" w:type="dxa"/>
            <w:bottom w:w="0" w:type="dxa"/>
            <w:right w:w="0" w:type="dxa"/>
          </w:tblCellMar>
        </w:tblPrEx>
        <w:trPr>
          <w:cantSplit/>
          <w:jc w:val="center"/>
        </w:trPr>
        <w:tc>
          <w:tcPr>
            <w:tcW w:w="2975" w:type="dxa"/>
            <w:vAlign w:val="center"/>
          </w:tcPr>
          <w:p w14:paraId="725A598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讨论、交流、倾听、互助、共同解决</w:t>
            </w:r>
          </w:p>
        </w:tc>
        <w:tc>
          <w:tcPr>
            <w:tcW w:w="2496" w:type="dxa"/>
            <w:vAlign w:val="center"/>
          </w:tcPr>
          <w:p w14:paraId="299B36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合作讨论、倾听回应、协商互助</w:t>
            </w:r>
          </w:p>
        </w:tc>
        <w:tc>
          <w:tcPr>
            <w:tcW w:w="1859" w:type="dxa"/>
            <w:vAlign w:val="center"/>
          </w:tcPr>
          <w:p w14:paraId="5C421BF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合作沟通与倾听共情</w:t>
            </w:r>
          </w:p>
        </w:tc>
        <w:tc>
          <w:tcPr>
            <w:tcW w:w="1540" w:type="dxa"/>
            <w:vAlign w:val="center"/>
          </w:tcPr>
          <w:p w14:paraId="5CEF191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244</w:t>
            </w:r>
          </w:p>
        </w:tc>
      </w:tr>
      <w:tr w14:paraId="45B65953">
        <w:tblPrEx>
          <w:tblCellMar>
            <w:top w:w="0" w:type="dxa"/>
            <w:left w:w="0" w:type="dxa"/>
            <w:bottom w:w="0" w:type="dxa"/>
            <w:right w:w="0" w:type="dxa"/>
          </w:tblCellMar>
        </w:tblPrEx>
        <w:trPr>
          <w:cantSplit/>
          <w:jc w:val="center"/>
        </w:trPr>
        <w:tc>
          <w:tcPr>
            <w:tcW w:w="2975" w:type="dxa"/>
            <w:vAlign w:val="center"/>
          </w:tcPr>
          <w:p w14:paraId="6DC4679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自己先想、独立解决、主动提问、求助</w:t>
            </w:r>
          </w:p>
        </w:tc>
        <w:tc>
          <w:tcPr>
            <w:tcW w:w="2496" w:type="dxa"/>
            <w:vAlign w:val="center"/>
          </w:tcPr>
          <w:p w14:paraId="78E941C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自主思考、主动探究、问题解决</w:t>
            </w:r>
          </w:p>
        </w:tc>
        <w:tc>
          <w:tcPr>
            <w:tcW w:w="1859" w:type="dxa"/>
            <w:vAlign w:val="center"/>
          </w:tcPr>
          <w:p w14:paraId="41C921F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学习主体性与独立解决</w:t>
            </w:r>
          </w:p>
        </w:tc>
        <w:tc>
          <w:tcPr>
            <w:tcW w:w="1540" w:type="dxa"/>
            <w:vAlign w:val="center"/>
          </w:tcPr>
          <w:p w14:paraId="4FB9AF5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172</w:t>
            </w:r>
          </w:p>
        </w:tc>
      </w:tr>
      <w:tr w14:paraId="180A096A">
        <w:tblPrEx>
          <w:tblCellMar>
            <w:top w:w="0" w:type="dxa"/>
            <w:left w:w="0" w:type="dxa"/>
            <w:bottom w:w="0" w:type="dxa"/>
            <w:right w:w="0" w:type="dxa"/>
          </w:tblCellMar>
        </w:tblPrEx>
        <w:trPr>
          <w:cantSplit/>
          <w:jc w:val="center"/>
        </w:trPr>
        <w:tc>
          <w:tcPr>
            <w:tcW w:w="2975" w:type="dxa"/>
            <w:vAlign w:val="center"/>
          </w:tcPr>
          <w:p w14:paraId="78186CB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更认真、有计划、专注、效率更高</w:t>
            </w:r>
          </w:p>
        </w:tc>
        <w:tc>
          <w:tcPr>
            <w:tcW w:w="2496" w:type="dxa"/>
            <w:vAlign w:val="center"/>
          </w:tcPr>
          <w:p w14:paraId="44EAB15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任务责任、时间管理、学习投入</w:t>
            </w:r>
          </w:p>
        </w:tc>
        <w:tc>
          <w:tcPr>
            <w:tcW w:w="1859" w:type="dxa"/>
            <w:vAlign w:val="center"/>
          </w:tcPr>
          <w:p w14:paraId="24681B0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责任担当与自我管理</w:t>
            </w:r>
          </w:p>
        </w:tc>
        <w:tc>
          <w:tcPr>
            <w:tcW w:w="1540" w:type="dxa"/>
            <w:vAlign w:val="center"/>
          </w:tcPr>
          <w:p w14:paraId="6ABE16C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83</w:t>
            </w:r>
          </w:p>
        </w:tc>
      </w:tr>
      <w:tr w14:paraId="280E796A">
        <w:tblPrEx>
          <w:tblCellMar>
            <w:top w:w="0" w:type="dxa"/>
            <w:left w:w="0" w:type="dxa"/>
            <w:bottom w:w="0" w:type="dxa"/>
            <w:right w:w="0" w:type="dxa"/>
          </w:tblCellMar>
        </w:tblPrEx>
        <w:trPr>
          <w:cantSplit/>
          <w:jc w:val="center"/>
        </w:trPr>
        <w:tc>
          <w:tcPr>
            <w:tcW w:w="2975" w:type="dxa"/>
            <w:vAlign w:val="center"/>
          </w:tcPr>
          <w:p w14:paraId="2BBA113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冷静、耐心、不轻易放弃、继续尝试</w:t>
            </w:r>
          </w:p>
        </w:tc>
        <w:tc>
          <w:tcPr>
            <w:tcW w:w="2496" w:type="dxa"/>
            <w:vAlign w:val="center"/>
          </w:tcPr>
          <w:p w14:paraId="0529908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情绪调适、困难坚持、学习韧性</w:t>
            </w:r>
          </w:p>
        </w:tc>
        <w:tc>
          <w:tcPr>
            <w:tcW w:w="1859" w:type="dxa"/>
            <w:vAlign w:val="center"/>
          </w:tcPr>
          <w:p w14:paraId="2A2F3DF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情绪调节与学习韧性</w:t>
            </w:r>
          </w:p>
        </w:tc>
        <w:tc>
          <w:tcPr>
            <w:tcW w:w="1540" w:type="dxa"/>
            <w:vAlign w:val="center"/>
          </w:tcPr>
          <w:p w14:paraId="33AC86B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51</w:t>
            </w:r>
          </w:p>
        </w:tc>
      </w:tr>
      <w:tr w14:paraId="62B466F5">
        <w:tblPrEx>
          <w:tblCellMar>
            <w:top w:w="0" w:type="dxa"/>
            <w:left w:w="0" w:type="dxa"/>
            <w:bottom w:w="0" w:type="dxa"/>
            <w:right w:w="0" w:type="dxa"/>
          </w:tblCellMar>
        </w:tblPrEx>
        <w:trPr>
          <w:cantSplit/>
          <w:jc w:val="center"/>
        </w:trPr>
        <w:tc>
          <w:tcPr>
            <w:tcW w:w="2975" w:type="dxa"/>
            <w:vAlign w:val="center"/>
          </w:tcPr>
          <w:p w14:paraId="0782AEB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多种解法、不同方法、新思路、迁移</w:t>
            </w:r>
          </w:p>
        </w:tc>
        <w:tc>
          <w:tcPr>
            <w:tcW w:w="2496" w:type="dxa"/>
            <w:vAlign w:val="center"/>
          </w:tcPr>
          <w:p w14:paraId="760A73E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多方案生成、方法变换、迁移应用</w:t>
            </w:r>
          </w:p>
        </w:tc>
        <w:tc>
          <w:tcPr>
            <w:tcW w:w="1859" w:type="dxa"/>
            <w:vAlign w:val="center"/>
          </w:tcPr>
          <w:p w14:paraId="38C1F73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迁移创新与多方案生成</w:t>
            </w:r>
          </w:p>
        </w:tc>
        <w:tc>
          <w:tcPr>
            <w:tcW w:w="1540" w:type="dxa"/>
            <w:vAlign w:val="center"/>
          </w:tcPr>
          <w:p w14:paraId="25E81F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40</w:t>
            </w:r>
          </w:p>
        </w:tc>
      </w:tr>
      <w:tr w14:paraId="61237A97">
        <w:tblPrEx>
          <w:tblCellMar>
            <w:top w:w="0" w:type="dxa"/>
            <w:left w:w="0" w:type="dxa"/>
            <w:bottom w:w="0" w:type="dxa"/>
            <w:right w:w="0" w:type="dxa"/>
          </w:tblCellMar>
        </w:tblPrEx>
        <w:trPr>
          <w:cantSplit/>
          <w:jc w:val="center"/>
        </w:trPr>
        <w:tc>
          <w:tcPr>
            <w:tcW w:w="2975" w:type="dxa"/>
            <w:vAlign w:val="center"/>
          </w:tcPr>
          <w:p w14:paraId="6C0F4F7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比较优缺点、找原因、反思、检查</w:t>
            </w:r>
          </w:p>
        </w:tc>
        <w:tc>
          <w:tcPr>
            <w:tcW w:w="2496" w:type="dxa"/>
            <w:vAlign w:val="center"/>
          </w:tcPr>
          <w:p w14:paraId="729552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比较判断、依据意识、自我反思</w:t>
            </w:r>
          </w:p>
        </w:tc>
        <w:tc>
          <w:tcPr>
            <w:tcW w:w="1859" w:type="dxa"/>
            <w:vAlign w:val="center"/>
          </w:tcPr>
          <w:p w14:paraId="6322489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评价判断与反思修正</w:t>
            </w:r>
          </w:p>
        </w:tc>
        <w:tc>
          <w:tcPr>
            <w:tcW w:w="1540" w:type="dxa"/>
            <w:vAlign w:val="center"/>
          </w:tcPr>
          <w:p w14:paraId="6371870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23</w:t>
            </w:r>
          </w:p>
        </w:tc>
      </w:tr>
      <w:tr w14:paraId="4681B0B0">
        <w:tblPrEx>
          <w:tblCellMar>
            <w:top w:w="0" w:type="dxa"/>
            <w:left w:w="0" w:type="dxa"/>
            <w:bottom w:w="0" w:type="dxa"/>
            <w:right w:w="0" w:type="dxa"/>
          </w:tblCellMar>
        </w:tblPrEx>
        <w:trPr>
          <w:cantSplit/>
          <w:jc w:val="center"/>
        </w:trPr>
        <w:tc>
          <w:tcPr>
            <w:tcW w:w="2975" w:type="dxa"/>
            <w:vAlign w:val="center"/>
          </w:tcPr>
          <w:p w14:paraId="3962492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表达更清楚、敢发言、能说出观点</w:t>
            </w:r>
          </w:p>
        </w:tc>
        <w:tc>
          <w:tcPr>
            <w:tcW w:w="2496" w:type="dxa"/>
            <w:vAlign w:val="center"/>
          </w:tcPr>
          <w:p w14:paraId="6607877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观点表达、成果呈现</w:t>
            </w:r>
          </w:p>
        </w:tc>
        <w:tc>
          <w:tcPr>
            <w:tcW w:w="1859" w:type="dxa"/>
            <w:vAlign w:val="center"/>
          </w:tcPr>
          <w:p w14:paraId="5E29E29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表达清晰与成果呈现</w:t>
            </w:r>
          </w:p>
        </w:tc>
        <w:tc>
          <w:tcPr>
            <w:tcW w:w="1540" w:type="dxa"/>
            <w:vAlign w:val="center"/>
          </w:tcPr>
          <w:p w14:paraId="08081BC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21</w:t>
            </w:r>
          </w:p>
        </w:tc>
      </w:tr>
      <w:tr w14:paraId="0E9059AB">
        <w:tblPrEx>
          <w:tblCellMar>
            <w:top w:w="0" w:type="dxa"/>
            <w:left w:w="0" w:type="dxa"/>
            <w:bottom w:w="0" w:type="dxa"/>
            <w:right w:w="0" w:type="dxa"/>
          </w:tblCellMar>
        </w:tblPrEx>
        <w:trPr>
          <w:cantSplit/>
          <w:jc w:val="center"/>
        </w:trPr>
        <w:tc>
          <w:tcPr>
            <w:tcW w:w="2975" w:type="dxa"/>
            <w:vAlign w:val="center"/>
          </w:tcPr>
          <w:p w14:paraId="3BB7D7A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听取不同意见、理解别人、不固执</w:t>
            </w:r>
          </w:p>
        </w:tc>
        <w:tc>
          <w:tcPr>
            <w:tcW w:w="2496" w:type="dxa"/>
            <w:vAlign w:val="center"/>
          </w:tcPr>
          <w:p w14:paraId="5C41705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接纳差异、换位理解、观点整合</w:t>
            </w:r>
          </w:p>
        </w:tc>
        <w:tc>
          <w:tcPr>
            <w:tcW w:w="1859" w:type="dxa"/>
            <w:vAlign w:val="center"/>
          </w:tcPr>
          <w:p w14:paraId="19CF95B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包容开放与接纳差异</w:t>
            </w:r>
          </w:p>
        </w:tc>
        <w:tc>
          <w:tcPr>
            <w:tcW w:w="1540" w:type="dxa"/>
            <w:vAlign w:val="center"/>
          </w:tcPr>
          <w:p w14:paraId="79E6D3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w:t>
            </w:r>
          </w:p>
        </w:tc>
      </w:tr>
      <w:tr w14:paraId="5E1AA6D2">
        <w:tblPrEx>
          <w:tblCellMar>
            <w:top w:w="0" w:type="dxa"/>
            <w:left w:w="0" w:type="dxa"/>
            <w:bottom w:w="0" w:type="dxa"/>
            <w:right w:w="0" w:type="dxa"/>
          </w:tblCellMar>
        </w:tblPrEx>
        <w:trPr>
          <w:cantSplit/>
          <w:jc w:val="center"/>
        </w:trPr>
        <w:tc>
          <w:tcPr>
            <w:tcW w:w="2975" w:type="dxa"/>
            <w:vAlign w:val="center"/>
          </w:tcPr>
          <w:p w14:paraId="7F16CF3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题目更难、压力仍在、拖延等</w:t>
            </w:r>
          </w:p>
        </w:tc>
        <w:tc>
          <w:tcPr>
            <w:tcW w:w="2496" w:type="dxa"/>
            <w:vAlign w:val="center"/>
          </w:tcPr>
          <w:p w14:paraId="6F1EF27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持续困难、负向体验</w:t>
            </w:r>
          </w:p>
        </w:tc>
        <w:tc>
          <w:tcPr>
            <w:tcW w:w="1859" w:type="dxa"/>
            <w:vAlign w:val="center"/>
          </w:tcPr>
          <w:p w14:paraId="626A662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任务难度或负向体验仍在</w:t>
            </w:r>
          </w:p>
        </w:tc>
        <w:tc>
          <w:tcPr>
            <w:tcW w:w="1540" w:type="dxa"/>
            <w:vAlign w:val="center"/>
          </w:tcPr>
          <w:p w14:paraId="38118C0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74</w:t>
            </w:r>
          </w:p>
        </w:tc>
      </w:tr>
      <w:tr w14:paraId="1CE58D86">
        <w:tblPrEx>
          <w:tblCellMar>
            <w:top w:w="0" w:type="dxa"/>
            <w:left w:w="0" w:type="dxa"/>
            <w:bottom w:w="0" w:type="dxa"/>
            <w:right w:w="0" w:type="dxa"/>
          </w:tblCellMar>
        </w:tblPrEx>
        <w:trPr>
          <w:cantSplit/>
          <w:jc w:val="center"/>
        </w:trPr>
        <w:tc>
          <w:tcPr>
            <w:tcW w:w="2975" w:type="dxa"/>
            <w:tcBorders>
              <w:bottom w:val="single" w:color="000000" w:sz="12" w:space="0"/>
            </w:tcBorders>
            <w:vAlign w:val="center"/>
          </w:tcPr>
          <w:p w14:paraId="2F5D003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无、没有、没变、不知道</w:t>
            </w:r>
          </w:p>
        </w:tc>
        <w:tc>
          <w:tcPr>
            <w:tcW w:w="2496" w:type="dxa"/>
            <w:tcBorders>
              <w:bottom w:val="single" w:color="000000" w:sz="12" w:space="0"/>
            </w:tcBorders>
            <w:vAlign w:val="center"/>
          </w:tcPr>
          <w:p w14:paraId="46A978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未提供具体变化信息</w:t>
            </w:r>
          </w:p>
        </w:tc>
        <w:tc>
          <w:tcPr>
            <w:tcW w:w="1859" w:type="dxa"/>
            <w:tcBorders>
              <w:bottom w:val="single" w:color="000000" w:sz="12" w:space="0"/>
            </w:tcBorders>
            <w:vAlign w:val="center"/>
          </w:tcPr>
          <w:p w14:paraId="355C962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未陈述具体变化</w:t>
            </w:r>
          </w:p>
        </w:tc>
        <w:tc>
          <w:tcPr>
            <w:tcW w:w="1540" w:type="dxa"/>
            <w:tcBorders>
              <w:bottom w:val="single" w:color="000000" w:sz="12" w:space="0"/>
            </w:tcBorders>
            <w:vAlign w:val="center"/>
          </w:tcPr>
          <w:p w14:paraId="545ACE3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429</w:t>
            </w:r>
          </w:p>
        </w:tc>
      </w:tr>
    </w:tbl>
    <w:p w14:paraId="74613E43">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DBADC41">
      <w:pPr>
        <w:keepNext/>
        <w:pageBreakBefore w:val="0"/>
        <w:overflowPunct w:val="0"/>
        <w:bidi w:val="0"/>
        <w:snapToGrid w:val="0"/>
        <w:spacing w:before="0" w:after="0" w:line="360" w:lineRule="auto"/>
        <w:ind w:firstLine="480" w:firstLineChars="200"/>
        <w:jc w:val="both"/>
        <w:textAlignment w:val="auto"/>
        <w:outlineLvl w:val="4"/>
        <w:rPr>
          <w:rFonts w:hint="eastAsia" w:ascii="宋体" w:hAnsi="宋体" w:eastAsia="宋体" w:cs="宋体"/>
          <w:sz w:val="24"/>
        </w:rPr>
      </w:pPr>
      <w:r>
        <w:rPr>
          <w:rFonts w:hint="eastAsia" w:ascii="宋体" w:hAnsi="宋体" w:eastAsia="宋体" w:cs="宋体"/>
          <w:b w:val="0"/>
          <w:sz w:val="24"/>
        </w:rPr>
        <w:t>3）前后测文本的主题对应</w:t>
      </w:r>
    </w:p>
    <w:p w14:paraId="35F6142C">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表3-67  学生前后测开放性文本主题对应表</w:t>
      </w:r>
    </w:p>
    <w:tbl>
      <w:tblPr>
        <w:tblStyle w:val="12"/>
        <w:tblW w:w="8519" w:type="dxa"/>
        <w:jc w:val="center"/>
        <w:tblLayout w:type="fixed"/>
        <w:tblCellMar>
          <w:top w:w="0" w:type="dxa"/>
          <w:left w:w="0" w:type="dxa"/>
          <w:bottom w:w="0" w:type="dxa"/>
          <w:right w:w="0" w:type="dxa"/>
        </w:tblCellMar>
      </w:tblPr>
      <w:tblGrid>
        <w:gridCol w:w="1864"/>
        <w:gridCol w:w="2611"/>
        <w:gridCol w:w="4044"/>
      </w:tblGrid>
      <w:tr w14:paraId="2579F645">
        <w:tblPrEx>
          <w:tblCellMar>
            <w:top w:w="0" w:type="dxa"/>
            <w:left w:w="0" w:type="dxa"/>
            <w:bottom w:w="0" w:type="dxa"/>
            <w:right w:w="0" w:type="dxa"/>
          </w:tblCellMar>
        </w:tblPrEx>
        <w:trPr>
          <w:cantSplit/>
          <w:tblHeader/>
          <w:jc w:val="center"/>
        </w:trPr>
        <w:tc>
          <w:tcPr>
            <w:tcW w:w="1864" w:type="dxa"/>
            <w:tcBorders>
              <w:top w:val="single" w:color="000000" w:sz="12" w:space="0"/>
              <w:bottom w:val="single" w:color="000000" w:sz="6" w:space="0"/>
            </w:tcBorders>
            <w:vAlign w:val="center"/>
          </w:tcPr>
          <w:p w14:paraId="15864494">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前测困难领域</w:t>
            </w:r>
          </w:p>
        </w:tc>
        <w:tc>
          <w:tcPr>
            <w:tcW w:w="2611" w:type="dxa"/>
            <w:tcBorders>
              <w:top w:val="single" w:color="000000" w:sz="12" w:space="0"/>
              <w:bottom w:val="single" w:color="000000" w:sz="6" w:space="0"/>
            </w:tcBorders>
            <w:vAlign w:val="center"/>
          </w:tcPr>
          <w:p w14:paraId="28EBC91D">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后测相关主题</w:t>
            </w:r>
          </w:p>
        </w:tc>
        <w:tc>
          <w:tcPr>
            <w:tcW w:w="4044" w:type="dxa"/>
            <w:tcBorders>
              <w:top w:val="single" w:color="000000" w:sz="12" w:space="0"/>
              <w:bottom w:val="single" w:color="000000" w:sz="6" w:space="0"/>
            </w:tcBorders>
            <w:vAlign w:val="center"/>
          </w:tcPr>
          <w:p w14:paraId="6E88A5F2">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对应关系</w:t>
            </w:r>
          </w:p>
        </w:tc>
      </w:tr>
      <w:tr w14:paraId="46E6CDE7">
        <w:tblPrEx>
          <w:tblCellMar>
            <w:top w:w="0" w:type="dxa"/>
            <w:left w:w="0" w:type="dxa"/>
            <w:bottom w:w="0" w:type="dxa"/>
            <w:right w:w="0" w:type="dxa"/>
          </w:tblCellMar>
        </w:tblPrEx>
        <w:trPr>
          <w:cantSplit/>
          <w:jc w:val="center"/>
        </w:trPr>
        <w:tc>
          <w:tcPr>
            <w:tcW w:w="1864" w:type="dxa"/>
            <w:vAlign w:val="center"/>
          </w:tcPr>
          <w:p w14:paraId="0B34D7D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复杂问题理解、思路生成困难</w:t>
            </w:r>
          </w:p>
        </w:tc>
        <w:tc>
          <w:tcPr>
            <w:tcW w:w="2611" w:type="dxa"/>
            <w:vAlign w:val="center"/>
          </w:tcPr>
          <w:p w14:paraId="5C377D5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分析深化、多角度思考、迁移创新、自主解决</w:t>
            </w:r>
          </w:p>
        </w:tc>
        <w:tc>
          <w:tcPr>
            <w:tcW w:w="4044" w:type="dxa"/>
            <w:vAlign w:val="center"/>
          </w:tcPr>
          <w:p w14:paraId="4F47FFF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从“不会、想不出”到“换角度、想多种方法、先自己思考”</w:t>
            </w:r>
          </w:p>
        </w:tc>
      </w:tr>
      <w:tr w14:paraId="182835F1">
        <w:tblPrEx>
          <w:tblCellMar>
            <w:top w:w="0" w:type="dxa"/>
            <w:left w:w="0" w:type="dxa"/>
            <w:bottom w:w="0" w:type="dxa"/>
            <w:right w:w="0" w:type="dxa"/>
          </w:tblCellMar>
        </w:tblPrEx>
        <w:trPr>
          <w:cantSplit/>
          <w:jc w:val="center"/>
        </w:trPr>
        <w:tc>
          <w:tcPr>
            <w:tcW w:w="1864" w:type="dxa"/>
            <w:vAlign w:val="center"/>
          </w:tcPr>
          <w:p w14:paraId="175BC72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学科知识与技能困难</w:t>
            </w:r>
          </w:p>
        </w:tc>
        <w:tc>
          <w:tcPr>
            <w:tcW w:w="2611" w:type="dxa"/>
            <w:vAlign w:val="center"/>
          </w:tcPr>
          <w:p w14:paraId="14E8FC6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知识联系、多角度分析、主动求助</w:t>
            </w:r>
          </w:p>
        </w:tc>
        <w:tc>
          <w:tcPr>
            <w:tcW w:w="4044" w:type="dxa"/>
            <w:vAlign w:val="center"/>
          </w:tcPr>
          <w:p w14:paraId="28B7B5B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从具体学科困难到“联系知识点”“主动请教”“总结思路”</w:t>
            </w:r>
          </w:p>
        </w:tc>
      </w:tr>
      <w:tr w14:paraId="176A2B53">
        <w:tblPrEx>
          <w:tblCellMar>
            <w:top w:w="0" w:type="dxa"/>
            <w:left w:w="0" w:type="dxa"/>
            <w:bottom w:w="0" w:type="dxa"/>
            <w:right w:w="0" w:type="dxa"/>
          </w:tblCellMar>
        </w:tblPrEx>
        <w:trPr>
          <w:cantSplit/>
          <w:jc w:val="center"/>
        </w:trPr>
        <w:tc>
          <w:tcPr>
            <w:tcW w:w="1864" w:type="dxa"/>
            <w:vAlign w:val="center"/>
          </w:tcPr>
          <w:p w14:paraId="2A5D812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作业任务与时间负担</w:t>
            </w:r>
          </w:p>
        </w:tc>
        <w:tc>
          <w:tcPr>
            <w:tcW w:w="2611" w:type="dxa"/>
            <w:vAlign w:val="center"/>
          </w:tcPr>
          <w:p w14:paraId="720B298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责任担当与自我管理</w:t>
            </w:r>
          </w:p>
        </w:tc>
        <w:tc>
          <w:tcPr>
            <w:tcW w:w="4044" w:type="dxa"/>
            <w:vAlign w:val="center"/>
          </w:tcPr>
          <w:p w14:paraId="0F88671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后测出现“更认真”“更有计划”“愿意投入时间”等过程性表达</w:t>
            </w:r>
          </w:p>
        </w:tc>
      </w:tr>
      <w:tr w14:paraId="100E7CF2">
        <w:tblPrEx>
          <w:tblCellMar>
            <w:top w:w="0" w:type="dxa"/>
            <w:left w:w="0" w:type="dxa"/>
            <w:bottom w:w="0" w:type="dxa"/>
            <w:right w:w="0" w:type="dxa"/>
          </w:tblCellMar>
        </w:tblPrEx>
        <w:trPr>
          <w:cantSplit/>
          <w:jc w:val="center"/>
        </w:trPr>
        <w:tc>
          <w:tcPr>
            <w:tcW w:w="1864" w:type="dxa"/>
            <w:vAlign w:val="center"/>
          </w:tcPr>
          <w:p w14:paraId="5DD448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考试评价与情绪压力</w:t>
            </w:r>
          </w:p>
        </w:tc>
        <w:tc>
          <w:tcPr>
            <w:tcW w:w="2611" w:type="dxa"/>
            <w:vAlign w:val="center"/>
          </w:tcPr>
          <w:p w14:paraId="6DE6A7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情绪调节与学习韧性</w:t>
            </w:r>
          </w:p>
        </w:tc>
        <w:tc>
          <w:tcPr>
            <w:tcW w:w="4044" w:type="dxa"/>
            <w:vAlign w:val="center"/>
          </w:tcPr>
          <w:p w14:paraId="2B3B4154">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后测出现“冷静”“耐心”“不轻易放弃”等情境化表达</w:t>
            </w:r>
          </w:p>
        </w:tc>
      </w:tr>
      <w:tr w14:paraId="6668B0D1">
        <w:tblPrEx>
          <w:tblCellMar>
            <w:top w:w="0" w:type="dxa"/>
            <w:left w:w="0" w:type="dxa"/>
            <w:bottom w:w="0" w:type="dxa"/>
            <w:right w:w="0" w:type="dxa"/>
          </w:tblCellMar>
        </w:tblPrEx>
        <w:trPr>
          <w:cantSplit/>
          <w:jc w:val="center"/>
        </w:trPr>
        <w:tc>
          <w:tcPr>
            <w:tcW w:w="1864" w:type="dxa"/>
            <w:tcBorders>
              <w:bottom w:val="single" w:color="000000" w:sz="12" w:space="0"/>
            </w:tcBorders>
            <w:vAlign w:val="center"/>
          </w:tcPr>
          <w:p w14:paraId="5769288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合作交流困难</w:t>
            </w:r>
          </w:p>
        </w:tc>
        <w:tc>
          <w:tcPr>
            <w:tcW w:w="2611" w:type="dxa"/>
            <w:tcBorders>
              <w:bottom w:val="single" w:color="000000" w:sz="12" w:space="0"/>
            </w:tcBorders>
            <w:vAlign w:val="center"/>
          </w:tcPr>
          <w:p w14:paraId="7201B24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合作沟通、倾听共情、包容开放</w:t>
            </w:r>
          </w:p>
        </w:tc>
        <w:tc>
          <w:tcPr>
            <w:tcW w:w="4044" w:type="dxa"/>
            <w:tcBorders>
              <w:bottom w:val="single" w:color="000000" w:sz="12" w:space="0"/>
            </w:tcBorders>
            <w:vAlign w:val="center"/>
          </w:tcPr>
          <w:p w14:paraId="56D9F89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后测出现“主动交流”“听取意见”“理解他人”“共同解决”等表达</w:t>
            </w:r>
          </w:p>
        </w:tc>
      </w:tr>
    </w:tbl>
    <w:p w14:paraId="397EAAE5">
      <w:pPr>
        <w:pageBreakBefore w:val="0"/>
        <w:overflowPunct w:val="0"/>
        <w:bidi w:val="0"/>
        <w:snapToGrid w:val="0"/>
        <w:spacing w:before="0" w:after="0" w:line="360" w:lineRule="auto"/>
        <w:ind w:firstLineChars="200"/>
        <w:jc w:val="both"/>
        <w:textAlignment w:val="auto"/>
        <w:rPr>
          <w:rFonts w:hint="eastAsia" w:ascii="宋体" w:hAnsi="宋体" w:eastAsia="宋体" w:cs="宋体"/>
          <w:b/>
          <w:bCs/>
          <w:sz w:val="24"/>
          <w:szCs w:val="32"/>
        </w:rPr>
      </w:pPr>
      <w:r>
        <w:rPr>
          <w:rFonts w:hint="eastAsia" w:ascii="宋体" w:hAnsi="宋体" w:eastAsia="宋体" w:cs="宋体"/>
          <w:b w:val="0"/>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p>
    <w:p w14:paraId="712C367E">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sz w:val="24"/>
          <w:lang w:val="en-US" w:eastAsia="zh-CN"/>
        </w:rPr>
      </w:pPr>
      <w:bookmarkStart w:id="105" w:name="_Toc18840"/>
      <w:r>
        <w:rPr>
          <w:rFonts w:hint="eastAsia" w:ascii="宋体" w:hAnsi="宋体" w:eastAsia="宋体" w:cs="宋体"/>
          <w:b/>
          <w:sz w:val="28"/>
        </w:rPr>
        <w:t>2.教师问卷前后测结果</w:t>
      </w:r>
      <w:r>
        <w:rPr>
          <w:rFonts w:hint="eastAsia" w:ascii="宋体" w:hAnsi="宋体" w:eastAsia="宋体" w:cs="宋体"/>
          <w:b/>
          <w:sz w:val="28"/>
          <w:lang w:val="en-US" w:eastAsia="zh-CN"/>
        </w:rPr>
        <w:t>分析</w:t>
      </w:r>
      <w:bookmarkEnd w:id="105"/>
    </w:p>
    <w:p w14:paraId="551369F1">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25CA162">
      <w:pPr>
        <w:keepNext/>
        <w:pageBreakBefore w:val="0"/>
        <w:overflowPunct w:val="0"/>
        <w:bidi w:val="0"/>
        <w:snapToGrid w:val="0"/>
        <w:spacing w:before="0" w:after="0" w:line="360" w:lineRule="auto"/>
        <w:ind w:firstLine="480" w:firstLineChars="200"/>
        <w:jc w:val="both"/>
        <w:textAlignment w:val="auto"/>
        <w:outlineLvl w:val="3"/>
        <w:rPr>
          <w:rFonts w:hint="eastAsia" w:ascii="宋体" w:hAnsi="宋体" w:eastAsia="宋体" w:cs="宋体"/>
          <w:b/>
          <w:sz w:val="24"/>
        </w:rPr>
      </w:pPr>
      <w:bookmarkStart w:id="106" w:name="_Toc19084"/>
      <w:r>
        <w:rPr>
          <w:rFonts w:hint="eastAsia" w:ascii="宋体" w:hAnsi="宋体" w:eastAsia="宋体" w:cs="宋体"/>
          <w:b w:val="0"/>
          <w:sz w:val="24"/>
        </w:rPr>
        <w:t>（1）数据来源与样本</w:t>
      </w:r>
      <w:bookmarkEnd w:id="106"/>
    </w:p>
    <w:p w14:paraId="41FE307A">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教师前测问卷共163份，后测共172份。匹配表包含</w:t>
      </w:r>
      <w:r>
        <w:rPr>
          <w:rFonts w:hint="eastAsia" w:ascii="宋体" w:hAnsi="宋体" w:eastAsia="宋体" w:cs="宋体"/>
          <w:b w:val="0"/>
          <w:sz w:val="24"/>
          <w:lang w:val="en-US" w:eastAsia="zh-CN"/>
        </w:rPr>
        <w:t>163</w:t>
      </w:r>
      <w:r>
        <w:rPr>
          <w:rFonts w:hint="eastAsia" w:ascii="宋体" w:hAnsi="宋体" w:eastAsia="宋体" w:cs="宋体"/>
          <w:b w:val="0"/>
          <w:sz w:val="24"/>
        </w:rPr>
        <w:t>组不重复的前后测对应记录因此，编号相同的</w:t>
      </w:r>
      <w:r>
        <w:rPr>
          <w:rFonts w:hint="eastAsia" w:ascii="宋体" w:hAnsi="宋体" w:eastAsia="宋体" w:cs="宋体"/>
          <w:b w:val="0"/>
          <w:sz w:val="24"/>
          <w:lang w:val="en-US" w:eastAsia="zh-CN"/>
        </w:rPr>
        <w:t>163</w:t>
      </w:r>
      <w:r>
        <w:rPr>
          <w:rFonts w:hint="eastAsia" w:ascii="宋体" w:hAnsi="宋体" w:eastAsia="宋体" w:cs="宋体"/>
          <w:b w:val="0"/>
          <w:sz w:val="24"/>
        </w:rPr>
        <w:t>组应视为待核实的对应记录，以下配对检验属于探索性分析。</w:t>
      </w:r>
    </w:p>
    <w:p w14:paraId="5B30B6CF">
      <w:pPr>
        <w:pStyle w:val="2"/>
        <w:keepNext/>
        <w:ind w:firstLine="0" w:firstLineChars="0"/>
        <w:outlineLvl w:val="3"/>
        <w:rPr>
          <w:rFonts w:hint="eastAsia" w:ascii="宋体" w:hAnsi="宋体" w:eastAsia="宋体" w:cs="宋体"/>
          <w:color w:val="auto"/>
        </w:rPr>
      </w:pPr>
      <w:bookmarkStart w:id="107" w:name="_Toc15768"/>
      <w:r>
        <w:rPr>
          <w:rFonts w:hint="eastAsia" w:ascii="宋体" w:hAnsi="宋体" w:eastAsia="宋体" w:cs="宋体"/>
          <w:b/>
          <w:color w:val="auto"/>
          <w:sz w:val="28"/>
        </w:rPr>
        <w:t>（1）教师背景分布</w:t>
      </w:r>
      <w:bookmarkEnd w:id="107"/>
    </w:p>
    <w:p w14:paraId="7572D6F7">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表3-68  纳入匹配表的教师背景分布（n＝163）</w:t>
      </w:r>
    </w:p>
    <w:tbl>
      <w:tblPr>
        <w:tblStyle w:val="12"/>
        <w:tblW w:w="9216" w:type="dxa"/>
        <w:tblInd w:w="0" w:type="dxa"/>
        <w:tblLayout w:type="fixed"/>
        <w:tblCellMar>
          <w:top w:w="0" w:type="dxa"/>
          <w:left w:w="108" w:type="dxa"/>
          <w:bottom w:w="0" w:type="dxa"/>
          <w:right w:w="108" w:type="dxa"/>
        </w:tblCellMar>
      </w:tblPr>
      <w:tblGrid>
        <w:gridCol w:w="2304"/>
        <w:gridCol w:w="2880"/>
        <w:gridCol w:w="1440"/>
        <w:gridCol w:w="2592"/>
      </w:tblGrid>
      <w:tr w14:paraId="678A891F">
        <w:tblPrEx>
          <w:tblCellMar>
            <w:top w:w="0" w:type="dxa"/>
            <w:left w:w="108" w:type="dxa"/>
            <w:bottom w:w="0" w:type="dxa"/>
            <w:right w:w="108" w:type="dxa"/>
          </w:tblCellMar>
        </w:tblPrEx>
        <w:trPr>
          <w:cantSplit/>
          <w:tblHeader/>
        </w:trPr>
        <w:tc>
          <w:tcPr>
            <w:tcW w:w="2304" w:type="dxa"/>
            <w:tcBorders>
              <w:top w:val="single" w:color="000000" w:sz="8" w:space="0"/>
              <w:bottom w:val="single" w:color="000000" w:sz="8" w:space="0"/>
            </w:tcBorders>
            <w:vAlign w:val="center"/>
          </w:tcPr>
          <w:p w14:paraId="5B2058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背景特征</w:t>
            </w:r>
          </w:p>
        </w:tc>
        <w:tc>
          <w:tcPr>
            <w:tcW w:w="2880" w:type="dxa"/>
            <w:tcBorders>
              <w:top w:val="single" w:color="000000" w:sz="8" w:space="0"/>
              <w:bottom w:val="single" w:color="000000" w:sz="8" w:space="0"/>
            </w:tcBorders>
            <w:vAlign w:val="center"/>
          </w:tcPr>
          <w:p w14:paraId="2A8809B4">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类别</w:t>
            </w:r>
          </w:p>
        </w:tc>
        <w:tc>
          <w:tcPr>
            <w:tcW w:w="1440" w:type="dxa"/>
            <w:tcBorders>
              <w:top w:val="single" w:color="000000" w:sz="8" w:space="0"/>
              <w:bottom w:val="single" w:color="000000" w:sz="8" w:space="0"/>
            </w:tcBorders>
            <w:vAlign w:val="center"/>
          </w:tcPr>
          <w:p w14:paraId="56AA239D">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人数</w:t>
            </w:r>
          </w:p>
        </w:tc>
        <w:tc>
          <w:tcPr>
            <w:tcW w:w="2592" w:type="dxa"/>
            <w:tcBorders>
              <w:top w:val="single" w:color="000000" w:sz="8" w:space="0"/>
              <w:bottom w:val="single" w:color="000000" w:sz="8" w:space="0"/>
            </w:tcBorders>
            <w:vAlign w:val="center"/>
          </w:tcPr>
          <w:p w14:paraId="7FE34CC9">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比例（%）</w:t>
            </w:r>
          </w:p>
        </w:tc>
      </w:tr>
      <w:tr w14:paraId="4944F5CA">
        <w:tblPrEx>
          <w:tblCellMar>
            <w:top w:w="0" w:type="dxa"/>
            <w:left w:w="108" w:type="dxa"/>
            <w:bottom w:w="0" w:type="dxa"/>
            <w:right w:w="108" w:type="dxa"/>
          </w:tblCellMar>
        </w:tblPrEx>
        <w:trPr>
          <w:cantSplit/>
        </w:trPr>
        <w:tc>
          <w:tcPr>
            <w:tcW w:w="2304" w:type="dxa"/>
            <w:vAlign w:val="center"/>
          </w:tcPr>
          <w:p w14:paraId="611C179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192F6DF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3年以下</w:t>
            </w:r>
          </w:p>
        </w:tc>
        <w:tc>
          <w:tcPr>
            <w:tcW w:w="1440" w:type="dxa"/>
            <w:vAlign w:val="center"/>
          </w:tcPr>
          <w:p w14:paraId="114B110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29</w:t>
            </w:r>
          </w:p>
        </w:tc>
        <w:tc>
          <w:tcPr>
            <w:tcW w:w="2592" w:type="dxa"/>
            <w:vAlign w:val="center"/>
          </w:tcPr>
          <w:p w14:paraId="027A6E3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17.79</w:t>
            </w:r>
          </w:p>
        </w:tc>
      </w:tr>
      <w:tr w14:paraId="3AB2D449">
        <w:tblPrEx>
          <w:tblCellMar>
            <w:top w:w="0" w:type="dxa"/>
            <w:left w:w="108" w:type="dxa"/>
            <w:bottom w:w="0" w:type="dxa"/>
            <w:right w:w="108" w:type="dxa"/>
          </w:tblCellMar>
        </w:tblPrEx>
        <w:trPr>
          <w:cantSplit/>
        </w:trPr>
        <w:tc>
          <w:tcPr>
            <w:tcW w:w="2304" w:type="dxa"/>
            <w:vAlign w:val="center"/>
          </w:tcPr>
          <w:p w14:paraId="074F582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0346EED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3-5年</w:t>
            </w:r>
          </w:p>
        </w:tc>
        <w:tc>
          <w:tcPr>
            <w:tcW w:w="1440" w:type="dxa"/>
            <w:vAlign w:val="center"/>
          </w:tcPr>
          <w:p w14:paraId="2EC4B78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33</w:t>
            </w:r>
          </w:p>
        </w:tc>
        <w:tc>
          <w:tcPr>
            <w:tcW w:w="2592" w:type="dxa"/>
            <w:vAlign w:val="center"/>
          </w:tcPr>
          <w:p w14:paraId="7975518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20.25</w:t>
            </w:r>
          </w:p>
        </w:tc>
      </w:tr>
      <w:tr w14:paraId="6ED3754D">
        <w:tblPrEx>
          <w:tblCellMar>
            <w:top w:w="0" w:type="dxa"/>
            <w:left w:w="108" w:type="dxa"/>
            <w:bottom w:w="0" w:type="dxa"/>
            <w:right w:w="108" w:type="dxa"/>
          </w:tblCellMar>
        </w:tblPrEx>
        <w:trPr>
          <w:cantSplit/>
        </w:trPr>
        <w:tc>
          <w:tcPr>
            <w:tcW w:w="2304" w:type="dxa"/>
            <w:vAlign w:val="center"/>
          </w:tcPr>
          <w:p w14:paraId="7538E5D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2F74DD0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6-10年</w:t>
            </w:r>
          </w:p>
        </w:tc>
        <w:tc>
          <w:tcPr>
            <w:tcW w:w="1440" w:type="dxa"/>
            <w:vAlign w:val="center"/>
          </w:tcPr>
          <w:p w14:paraId="494B364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29</w:t>
            </w:r>
          </w:p>
        </w:tc>
        <w:tc>
          <w:tcPr>
            <w:tcW w:w="2592" w:type="dxa"/>
            <w:vAlign w:val="center"/>
          </w:tcPr>
          <w:p w14:paraId="37417CF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17.79</w:t>
            </w:r>
          </w:p>
        </w:tc>
      </w:tr>
      <w:tr w14:paraId="73AA2649">
        <w:tblPrEx>
          <w:tblCellMar>
            <w:top w:w="0" w:type="dxa"/>
            <w:left w:w="108" w:type="dxa"/>
            <w:bottom w:w="0" w:type="dxa"/>
            <w:right w:w="108" w:type="dxa"/>
          </w:tblCellMar>
        </w:tblPrEx>
        <w:trPr>
          <w:cantSplit/>
        </w:trPr>
        <w:tc>
          <w:tcPr>
            <w:tcW w:w="2304" w:type="dxa"/>
            <w:vAlign w:val="center"/>
          </w:tcPr>
          <w:p w14:paraId="034D3B5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教龄</w:t>
            </w:r>
          </w:p>
        </w:tc>
        <w:tc>
          <w:tcPr>
            <w:tcW w:w="2880" w:type="dxa"/>
            <w:vAlign w:val="center"/>
          </w:tcPr>
          <w:p w14:paraId="03CEB95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10年以上</w:t>
            </w:r>
          </w:p>
        </w:tc>
        <w:tc>
          <w:tcPr>
            <w:tcW w:w="1440" w:type="dxa"/>
            <w:vAlign w:val="center"/>
          </w:tcPr>
          <w:p w14:paraId="1B0AF20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72</w:t>
            </w:r>
          </w:p>
        </w:tc>
        <w:tc>
          <w:tcPr>
            <w:tcW w:w="2592" w:type="dxa"/>
            <w:vAlign w:val="center"/>
          </w:tcPr>
          <w:p w14:paraId="798E39BC">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44.17</w:t>
            </w:r>
          </w:p>
        </w:tc>
      </w:tr>
      <w:tr w14:paraId="498A503F">
        <w:tblPrEx>
          <w:tblCellMar>
            <w:top w:w="0" w:type="dxa"/>
            <w:left w:w="108" w:type="dxa"/>
            <w:bottom w:w="0" w:type="dxa"/>
            <w:right w:w="108" w:type="dxa"/>
          </w:tblCellMar>
        </w:tblPrEx>
        <w:trPr>
          <w:cantSplit/>
        </w:trPr>
        <w:tc>
          <w:tcPr>
            <w:tcW w:w="2304" w:type="dxa"/>
            <w:vAlign w:val="center"/>
          </w:tcPr>
          <w:p w14:paraId="3EE4615B">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11A7CF7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初级</w:t>
            </w:r>
          </w:p>
        </w:tc>
        <w:tc>
          <w:tcPr>
            <w:tcW w:w="1440" w:type="dxa"/>
            <w:vAlign w:val="center"/>
          </w:tcPr>
          <w:p w14:paraId="3E1CDB2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63</w:t>
            </w:r>
          </w:p>
        </w:tc>
        <w:tc>
          <w:tcPr>
            <w:tcW w:w="2592" w:type="dxa"/>
            <w:vAlign w:val="center"/>
          </w:tcPr>
          <w:p w14:paraId="46B42B1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38.65</w:t>
            </w:r>
          </w:p>
        </w:tc>
      </w:tr>
      <w:tr w14:paraId="3A4AADCE">
        <w:tblPrEx>
          <w:tblCellMar>
            <w:top w:w="0" w:type="dxa"/>
            <w:left w:w="108" w:type="dxa"/>
            <w:bottom w:w="0" w:type="dxa"/>
            <w:right w:w="108" w:type="dxa"/>
          </w:tblCellMar>
        </w:tblPrEx>
        <w:trPr>
          <w:cantSplit/>
        </w:trPr>
        <w:tc>
          <w:tcPr>
            <w:tcW w:w="2304" w:type="dxa"/>
            <w:vAlign w:val="center"/>
          </w:tcPr>
          <w:p w14:paraId="2768FEA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04595EB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中级</w:t>
            </w:r>
          </w:p>
        </w:tc>
        <w:tc>
          <w:tcPr>
            <w:tcW w:w="1440" w:type="dxa"/>
            <w:vAlign w:val="center"/>
          </w:tcPr>
          <w:p w14:paraId="136000E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75</w:t>
            </w:r>
          </w:p>
        </w:tc>
        <w:tc>
          <w:tcPr>
            <w:tcW w:w="2592" w:type="dxa"/>
            <w:vAlign w:val="center"/>
          </w:tcPr>
          <w:p w14:paraId="043AAA1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46.01</w:t>
            </w:r>
          </w:p>
        </w:tc>
      </w:tr>
      <w:tr w14:paraId="462EB106">
        <w:tblPrEx>
          <w:tblCellMar>
            <w:top w:w="0" w:type="dxa"/>
            <w:left w:w="108" w:type="dxa"/>
            <w:bottom w:w="0" w:type="dxa"/>
            <w:right w:w="108" w:type="dxa"/>
          </w:tblCellMar>
        </w:tblPrEx>
        <w:trPr>
          <w:cantSplit/>
        </w:trPr>
        <w:tc>
          <w:tcPr>
            <w:tcW w:w="2304" w:type="dxa"/>
            <w:vAlign w:val="center"/>
          </w:tcPr>
          <w:p w14:paraId="4616F63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职称</w:t>
            </w:r>
          </w:p>
        </w:tc>
        <w:tc>
          <w:tcPr>
            <w:tcW w:w="2880" w:type="dxa"/>
            <w:vAlign w:val="center"/>
          </w:tcPr>
          <w:p w14:paraId="4E71DBC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高级及以上</w:t>
            </w:r>
          </w:p>
        </w:tc>
        <w:tc>
          <w:tcPr>
            <w:tcW w:w="1440" w:type="dxa"/>
            <w:vAlign w:val="center"/>
          </w:tcPr>
          <w:p w14:paraId="00DF0C3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25</w:t>
            </w:r>
          </w:p>
        </w:tc>
        <w:tc>
          <w:tcPr>
            <w:tcW w:w="2592" w:type="dxa"/>
            <w:vAlign w:val="center"/>
          </w:tcPr>
          <w:p w14:paraId="05942D0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15.34</w:t>
            </w:r>
          </w:p>
        </w:tc>
      </w:tr>
      <w:tr w14:paraId="1FCE9845">
        <w:tblPrEx>
          <w:tblCellMar>
            <w:top w:w="0" w:type="dxa"/>
            <w:left w:w="108" w:type="dxa"/>
            <w:bottom w:w="0" w:type="dxa"/>
            <w:right w:w="108" w:type="dxa"/>
          </w:tblCellMar>
        </w:tblPrEx>
        <w:trPr>
          <w:cantSplit/>
        </w:trPr>
        <w:tc>
          <w:tcPr>
            <w:tcW w:w="2304" w:type="dxa"/>
            <w:vAlign w:val="center"/>
          </w:tcPr>
          <w:p w14:paraId="3A0F6B2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学段</w:t>
            </w:r>
          </w:p>
        </w:tc>
        <w:tc>
          <w:tcPr>
            <w:tcW w:w="2880" w:type="dxa"/>
            <w:vAlign w:val="center"/>
          </w:tcPr>
          <w:p w14:paraId="62C0BD2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初中</w:t>
            </w:r>
          </w:p>
        </w:tc>
        <w:tc>
          <w:tcPr>
            <w:tcW w:w="1440" w:type="dxa"/>
            <w:vAlign w:val="center"/>
          </w:tcPr>
          <w:p w14:paraId="42CD5FE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114</w:t>
            </w:r>
          </w:p>
        </w:tc>
        <w:tc>
          <w:tcPr>
            <w:tcW w:w="2592" w:type="dxa"/>
            <w:vAlign w:val="center"/>
          </w:tcPr>
          <w:p w14:paraId="4268ABF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69.94</w:t>
            </w:r>
          </w:p>
        </w:tc>
      </w:tr>
      <w:tr w14:paraId="03023AEE">
        <w:tblPrEx>
          <w:tblCellMar>
            <w:top w:w="0" w:type="dxa"/>
            <w:left w:w="108" w:type="dxa"/>
            <w:bottom w:w="0" w:type="dxa"/>
            <w:right w:w="108" w:type="dxa"/>
          </w:tblCellMar>
        </w:tblPrEx>
        <w:trPr>
          <w:cantSplit/>
        </w:trPr>
        <w:tc>
          <w:tcPr>
            <w:tcW w:w="2304" w:type="dxa"/>
            <w:vAlign w:val="center"/>
          </w:tcPr>
          <w:p w14:paraId="2D88D2D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学段</w:t>
            </w:r>
          </w:p>
        </w:tc>
        <w:tc>
          <w:tcPr>
            <w:tcW w:w="2880" w:type="dxa"/>
            <w:vAlign w:val="center"/>
          </w:tcPr>
          <w:p w14:paraId="6CF3899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高中</w:t>
            </w:r>
          </w:p>
        </w:tc>
        <w:tc>
          <w:tcPr>
            <w:tcW w:w="1440" w:type="dxa"/>
            <w:vAlign w:val="center"/>
          </w:tcPr>
          <w:p w14:paraId="5F1D139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49</w:t>
            </w:r>
          </w:p>
        </w:tc>
        <w:tc>
          <w:tcPr>
            <w:tcW w:w="2592" w:type="dxa"/>
            <w:vAlign w:val="center"/>
          </w:tcPr>
          <w:p w14:paraId="1F0CDF1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30.06</w:t>
            </w:r>
          </w:p>
        </w:tc>
      </w:tr>
      <w:tr w14:paraId="714DFEC1">
        <w:tblPrEx>
          <w:tblCellMar>
            <w:top w:w="0" w:type="dxa"/>
            <w:left w:w="108" w:type="dxa"/>
            <w:bottom w:w="0" w:type="dxa"/>
            <w:right w:w="108" w:type="dxa"/>
          </w:tblCellMar>
        </w:tblPrEx>
        <w:trPr>
          <w:cantSplit/>
        </w:trPr>
        <w:tc>
          <w:tcPr>
            <w:tcW w:w="2304" w:type="dxa"/>
            <w:vAlign w:val="center"/>
          </w:tcPr>
          <w:p w14:paraId="11FF968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前测培训经历</w:t>
            </w:r>
          </w:p>
        </w:tc>
        <w:tc>
          <w:tcPr>
            <w:tcW w:w="2880" w:type="dxa"/>
            <w:vAlign w:val="center"/>
          </w:tcPr>
          <w:p w14:paraId="0AFCC8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是</w:t>
            </w:r>
          </w:p>
        </w:tc>
        <w:tc>
          <w:tcPr>
            <w:tcW w:w="1440" w:type="dxa"/>
            <w:vAlign w:val="center"/>
          </w:tcPr>
          <w:p w14:paraId="1DA14E4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130</w:t>
            </w:r>
          </w:p>
        </w:tc>
        <w:tc>
          <w:tcPr>
            <w:tcW w:w="2592" w:type="dxa"/>
            <w:vAlign w:val="center"/>
          </w:tcPr>
          <w:p w14:paraId="39E70ED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79.75</w:t>
            </w:r>
          </w:p>
        </w:tc>
      </w:tr>
      <w:tr w14:paraId="18D52812">
        <w:tblPrEx>
          <w:tblCellMar>
            <w:top w:w="0" w:type="dxa"/>
            <w:left w:w="108" w:type="dxa"/>
            <w:bottom w:w="0" w:type="dxa"/>
            <w:right w:w="108" w:type="dxa"/>
          </w:tblCellMar>
        </w:tblPrEx>
        <w:trPr>
          <w:cantSplit/>
        </w:trPr>
        <w:tc>
          <w:tcPr>
            <w:tcW w:w="2304" w:type="dxa"/>
            <w:tcBorders>
              <w:bottom w:val="single" w:color="000000" w:sz="8" w:space="0"/>
            </w:tcBorders>
            <w:vAlign w:val="center"/>
          </w:tcPr>
          <w:p w14:paraId="4CE0F26C">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前测培训经历</w:t>
            </w:r>
          </w:p>
        </w:tc>
        <w:tc>
          <w:tcPr>
            <w:tcW w:w="2880" w:type="dxa"/>
            <w:tcBorders>
              <w:bottom w:val="single" w:color="000000" w:sz="8" w:space="0"/>
            </w:tcBorders>
            <w:vAlign w:val="center"/>
          </w:tcPr>
          <w:p w14:paraId="7C9B0E5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否</w:t>
            </w:r>
          </w:p>
        </w:tc>
        <w:tc>
          <w:tcPr>
            <w:tcW w:w="1440" w:type="dxa"/>
            <w:tcBorders>
              <w:bottom w:val="single" w:color="000000" w:sz="8" w:space="0"/>
            </w:tcBorders>
            <w:vAlign w:val="center"/>
          </w:tcPr>
          <w:p w14:paraId="6B0C152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33</w:t>
            </w:r>
          </w:p>
        </w:tc>
        <w:tc>
          <w:tcPr>
            <w:tcW w:w="2592" w:type="dxa"/>
            <w:tcBorders>
              <w:bottom w:val="single" w:color="000000" w:sz="8" w:space="0"/>
            </w:tcBorders>
            <w:vAlign w:val="center"/>
          </w:tcPr>
          <w:p w14:paraId="259C564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20.25</w:t>
            </w:r>
          </w:p>
        </w:tc>
      </w:tr>
    </w:tbl>
    <w:p w14:paraId="459D6A27">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样本中，教龄10年以上教师72人（44.17%），中级职称教师75人（46.01%）；初中教师114人（69.94%），高中教师49人（30.06%）。前测已有相关培训经历者130人（79.75%）。参与教师覆盖不同职业发展阶段，既有具有较丰富教学经验的教师，也有处于专业成长阶段的青年教师，为考察相关教学设计在不同教师群体中的实践应用提供了基础。多数教师在研究实施前已接触相关培训或教研活动，为课题进一步从理念理解走向课堂实施创造了有利条件。</w:t>
      </w:r>
    </w:p>
    <w:p w14:paraId="43731852">
      <w:pPr>
        <w:pStyle w:val="2"/>
        <w:keepNext/>
        <w:ind w:firstLine="0" w:firstLineChars="0"/>
        <w:outlineLvl w:val="3"/>
        <w:rPr>
          <w:rFonts w:hint="eastAsia" w:ascii="宋体" w:hAnsi="宋体" w:eastAsia="宋体" w:cs="宋体"/>
          <w:color w:val="auto"/>
        </w:rPr>
      </w:pPr>
      <w:bookmarkStart w:id="108" w:name="_Toc23596"/>
      <w:r>
        <w:rPr>
          <w:rFonts w:hint="eastAsia" w:ascii="宋体" w:hAnsi="宋体" w:eastAsia="宋体" w:cs="宋体"/>
          <w:b/>
          <w:color w:val="auto"/>
          <w:sz w:val="28"/>
        </w:rPr>
        <w:t>（2）学科分布与维度计分</w:t>
      </w:r>
      <w:bookmarkEnd w:id="108"/>
    </w:p>
    <w:p w14:paraId="479D2297">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表3-69  纳入匹配表的教师学科分布（n＝163）</w:t>
      </w:r>
    </w:p>
    <w:tbl>
      <w:tblPr>
        <w:tblStyle w:val="12"/>
        <w:tblW w:w="9216" w:type="dxa"/>
        <w:tblInd w:w="0" w:type="dxa"/>
        <w:tblLayout w:type="fixed"/>
        <w:tblCellMar>
          <w:top w:w="0" w:type="dxa"/>
          <w:left w:w="108" w:type="dxa"/>
          <w:bottom w:w="0" w:type="dxa"/>
          <w:right w:w="108" w:type="dxa"/>
        </w:tblCellMar>
      </w:tblPr>
      <w:tblGrid>
        <w:gridCol w:w="4608"/>
        <w:gridCol w:w="2016"/>
        <w:gridCol w:w="2592"/>
      </w:tblGrid>
      <w:tr w14:paraId="3CE98B25">
        <w:tblPrEx>
          <w:tblCellMar>
            <w:top w:w="0" w:type="dxa"/>
            <w:left w:w="108" w:type="dxa"/>
            <w:bottom w:w="0" w:type="dxa"/>
            <w:right w:w="108" w:type="dxa"/>
          </w:tblCellMar>
        </w:tblPrEx>
        <w:trPr>
          <w:cantSplit/>
          <w:tblHeader/>
        </w:trPr>
        <w:tc>
          <w:tcPr>
            <w:tcW w:w="4608" w:type="dxa"/>
            <w:tcBorders>
              <w:top w:val="single" w:color="000000" w:sz="8" w:space="0"/>
              <w:bottom w:val="single" w:color="000000" w:sz="8" w:space="0"/>
            </w:tcBorders>
            <w:vAlign w:val="center"/>
          </w:tcPr>
          <w:p w14:paraId="2A9A8BA4">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学科</w:t>
            </w:r>
          </w:p>
        </w:tc>
        <w:tc>
          <w:tcPr>
            <w:tcW w:w="2016" w:type="dxa"/>
            <w:tcBorders>
              <w:top w:val="single" w:color="000000" w:sz="8" w:space="0"/>
              <w:bottom w:val="single" w:color="000000" w:sz="8" w:space="0"/>
            </w:tcBorders>
            <w:vAlign w:val="center"/>
          </w:tcPr>
          <w:p w14:paraId="50B6555D">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人数</w:t>
            </w:r>
          </w:p>
        </w:tc>
        <w:tc>
          <w:tcPr>
            <w:tcW w:w="2592" w:type="dxa"/>
            <w:tcBorders>
              <w:top w:val="single" w:color="000000" w:sz="8" w:space="0"/>
              <w:bottom w:val="single" w:color="000000" w:sz="8" w:space="0"/>
            </w:tcBorders>
            <w:vAlign w:val="center"/>
          </w:tcPr>
          <w:p w14:paraId="2FD8D9A7">
            <w:pPr>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比例（%）</w:t>
            </w:r>
          </w:p>
        </w:tc>
      </w:tr>
      <w:tr w14:paraId="6F8BEDA4">
        <w:tblPrEx>
          <w:tblCellMar>
            <w:top w:w="0" w:type="dxa"/>
            <w:left w:w="108" w:type="dxa"/>
            <w:bottom w:w="0" w:type="dxa"/>
            <w:right w:w="108" w:type="dxa"/>
          </w:tblCellMar>
        </w:tblPrEx>
        <w:trPr>
          <w:cantSplit/>
        </w:trPr>
        <w:tc>
          <w:tcPr>
            <w:tcW w:w="4608" w:type="dxa"/>
            <w:vAlign w:val="center"/>
          </w:tcPr>
          <w:p w14:paraId="3CC57BF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语文</w:t>
            </w:r>
          </w:p>
        </w:tc>
        <w:tc>
          <w:tcPr>
            <w:tcW w:w="2016" w:type="dxa"/>
            <w:vAlign w:val="center"/>
          </w:tcPr>
          <w:p w14:paraId="74CD89F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36</w:t>
            </w:r>
          </w:p>
        </w:tc>
        <w:tc>
          <w:tcPr>
            <w:tcW w:w="2592" w:type="dxa"/>
            <w:vAlign w:val="center"/>
          </w:tcPr>
          <w:p w14:paraId="293B71A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22.09</w:t>
            </w:r>
          </w:p>
        </w:tc>
      </w:tr>
      <w:tr w14:paraId="66D14D35">
        <w:tblPrEx>
          <w:tblCellMar>
            <w:top w:w="0" w:type="dxa"/>
            <w:left w:w="108" w:type="dxa"/>
            <w:bottom w:w="0" w:type="dxa"/>
            <w:right w:w="108" w:type="dxa"/>
          </w:tblCellMar>
        </w:tblPrEx>
        <w:trPr>
          <w:cantSplit/>
        </w:trPr>
        <w:tc>
          <w:tcPr>
            <w:tcW w:w="4608" w:type="dxa"/>
            <w:vAlign w:val="center"/>
          </w:tcPr>
          <w:p w14:paraId="3075C97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英语</w:t>
            </w:r>
          </w:p>
        </w:tc>
        <w:tc>
          <w:tcPr>
            <w:tcW w:w="2016" w:type="dxa"/>
            <w:vAlign w:val="center"/>
          </w:tcPr>
          <w:p w14:paraId="70B3003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22</w:t>
            </w:r>
          </w:p>
        </w:tc>
        <w:tc>
          <w:tcPr>
            <w:tcW w:w="2592" w:type="dxa"/>
            <w:vAlign w:val="center"/>
          </w:tcPr>
          <w:p w14:paraId="1AC439C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13.50</w:t>
            </w:r>
          </w:p>
        </w:tc>
      </w:tr>
      <w:tr w14:paraId="3F9D0689">
        <w:tblPrEx>
          <w:tblCellMar>
            <w:top w:w="0" w:type="dxa"/>
            <w:left w:w="108" w:type="dxa"/>
            <w:bottom w:w="0" w:type="dxa"/>
            <w:right w:w="108" w:type="dxa"/>
          </w:tblCellMar>
        </w:tblPrEx>
        <w:trPr>
          <w:cantSplit/>
        </w:trPr>
        <w:tc>
          <w:tcPr>
            <w:tcW w:w="4608" w:type="dxa"/>
            <w:vAlign w:val="center"/>
          </w:tcPr>
          <w:p w14:paraId="6EF86B4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体育与健康</w:t>
            </w:r>
          </w:p>
        </w:tc>
        <w:tc>
          <w:tcPr>
            <w:tcW w:w="2016" w:type="dxa"/>
            <w:vAlign w:val="center"/>
          </w:tcPr>
          <w:p w14:paraId="381FA15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19</w:t>
            </w:r>
          </w:p>
        </w:tc>
        <w:tc>
          <w:tcPr>
            <w:tcW w:w="2592" w:type="dxa"/>
            <w:vAlign w:val="center"/>
          </w:tcPr>
          <w:p w14:paraId="3C6A62F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11.66</w:t>
            </w:r>
          </w:p>
        </w:tc>
      </w:tr>
      <w:tr w14:paraId="4E939189">
        <w:tblPrEx>
          <w:tblCellMar>
            <w:top w:w="0" w:type="dxa"/>
            <w:left w:w="108" w:type="dxa"/>
            <w:bottom w:w="0" w:type="dxa"/>
            <w:right w:w="108" w:type="dxa"/>
          </w:tblCellMar>
        </w:tblPrEx>
        <w:trPr>
          <w:cantSplit/>
        </w:trPr>
        <w:tc>
          <w:tcPr>
            <w:tcW w:w="4608" w:type="dxa"/>
            <w:vAlign w:val="center"/>
          </w:tcPr>
          <w:p w14:paraId="5770A89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数学</w:t>
            </w:r>
          </w:p>
        </w:tc>
        <w:tc>
          <w:tcPr>
            <w:tcW w:w="2016" w:type="dxa"/>
            <w:vAlign w:val="center"/>
          </w:tcPr>
          <w:p w14:paraId="0560B2C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15</w:t>
            </w:r>
          </w:p>
        </w:tc>
        <w:tc>
          <w:tcPr>
            <w:tcW w:w="2592" w:type="dxa"/>
            <w:vAlign w:val="center"/>
          </w:tcPr>
          <w:p w14:paraId="7740558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9.20</w:t>
            </w:r>
          </w:p>
        </w:tc>
      </w:tr>
      <w:tr w14:paraId="3080D48B">
        <w:tblPrEx>
          <w:tblCellMar>
            <w:top w:w="0" w:type="dxa"/>
            <w:left w:w="108" w:type="dxa"/>
            <w:bottom w:w="0" w:type="dxa"/>
            <w:right w:w="108" w:type="dxa"/>
          </w:tblCellMar>
        </w:tblPrEx>
        <w:trPr>
          <w:cantSplit/>
        </w:trPr>
        <w:tc>
          <w:tcPr>
            <w:tcW w:w="4608" w:type="dxa"/>
            <w:vAlign w:val="center"/>
          </w:tcPr>
          <w:p w14:paraId="3E91B82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物理</w:t>
            </w:r>
          </w:p>
        </w:tc>
        <w:tc>
          <w:tcPr>
            <w:tcW w:w="2016" w:type="dxa"/>
            <w:vAlign w:val="center"/>
          </w:tcPr>
          <w:p w14:paraId="6430234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14</w:t>
            </w:r>
          </w:p>
        </w:tc>
        <w:tc>
          <w:tcPr>
            <w:tcW w:w="2592" w:type="dxa"/>
            <w:vAlign w:val="center"/>
          </w:tcPr>
          <w:p w14:paraId="4AFEF86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8.59</w:t>
            </w:r>
          </w:p>
        </w:tc>
      </w:tr>
      <w:tr w14:paraId="7A527BCE">
        <w:tblPrEx>
          <w:tblCellMar>
            <w:top w:w="0" w:type="dxa"/>
            <w:left w:w="108" w:type="dxa"/>
            <w:bottom w:w="0" w:type="dxa"/>
            <w:right w:w="108" w:type="dxa"/>
          </w:tblCellMar>
        </w:tblPrEx>
        <w:trPr>
          <w:cantSplit/>
        </w:trPr>
        <w:tc>
          <w:tcPr>
            <w:tcW w:w="4608" w:type="dxa"/>
            <w:vAlign w:val="center"/>
          </w:tcPr>
          <w:p w14:paraId="22A66DC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道法/思政</w:t>
            </w:r>
          </w:p>
        </w:tc>
        <w:tc>
          <w:tcPr>
            <w:tcW w:w="2016" w:type="dxa"/>
            <w:vAlign w:val="center"/>
          </w:tcPr>
          <w:p w14:paraId="50CC6AA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13</w:t>
            </w:r>
          </w:p>
        </w:tc>
        <w:tc>
          <w:tcPr>
            <w:tcW w:w="2592" w:type="dxa"/>
            <w:vAlign w:val="center"/>
          </w:tcPr>
          <w:p w14:paraId="034C622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7.98</w:t>
            </w:r>
          </w:p>
        </w:tc>
      </w:tr>
      <w:tr w14:paraId="477BDAAF">
        <w:tblPrEx>
          <w:tblCellMar>
            <w:top w:w="0" w:type="dxa"/>
            <w:left w:w="108" w:type="dxa"/>
            <w:bottom w:w="0" w:type="dxa"/>
            <w:right w:w="108" w:type="dxa"/>
          </w:tblCellMar>
        </w:tblPrEx>
        <w:trPr>
          <w:cantSplit/>
        </w:trPr>
        <w:tc>
          <w:tcPr>
            <w:tcW w:w="4608" w:type="dxa"/>
            <w:vAlign w:val="center"/>
          </w:tcPr>
          <w:p w14:paraId="78B0E0F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艺术</w:t>
            </w:r>
          </w:p>
        </w:tc>
        <w:tc>
          <w:tcPr>
            <w:tcW w:w="2016" w:type="dxa"/>
            <w:vAlign w:val="center"/>
          </w:tcPr>
          <w:p w14:paraId="4A962F3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11</w:t>
            </w:r>
          </w:p>
        </w:tc>
        <w:tc>
          <w:tcPr>
            <w:tcW w:w="2592" w:type="dxa"/>
            <w:vAlign w:val="center"/>
          </w:tcPr>
          <w:p w14:paraId="78FA2DA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6.75</w:t>
            </w:r>
          </w:p>
        </w:tc>
      </w:tr>
      <w:tr w14:paraId="6BF5BA20">
        <w:tblPrEx>
          <w:tblCellMar>
            <w:top w:w="0" w:type="dxa"/>
            <w:left w:w="108" w:type="dxa"/>
            <w:bottom w:w="0" w:type="dxa"/>
            <w:right w:w="108" w:type="dxa"/>
          </w:tblCellMar>
        </w:tblPrEx>
        <w:trPr>
          <w:cantSplit/>
        </w:trPr>
        <w:tc>
          <w:tcPr>
            <w:tcW w:w="4608" w:type="dxa"/>
            <w:vAlign w:val="center"/>
          </w:tcPr>
          <w:p w14:paraId="13DAAD2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化学</w:t>
            </w:r>
          </w:p>
        </w:tc>
        <w:tc>
          <w:tcPr>
            <w:tcW w:w="2016" w:type="dxa"/>
            <w:vAlign w:val="center"/>
          </w:tcPr>
          <w:p w14:paraId="12A8260B">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w:t>
            </w:r>
          </w:p>
        </w:tc>
        <w:tc>
          <w:tcPr>
            <w:tcW w:w="2592" w:type="dxa"/>
            <w:vAlign w:val="center"/>
          </w:tcPr>
          <w:p w14:paraId="5DE77C4F">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6.13</w:t>
            </w:r>
          </w:p>
        </w:tc>
      </w:tr>
      <w:tr w14:paraId="5CC9BD9B">
        <w:tblPrEx>
          <w:tblCellMar>
            <w:top w:w="0" w:type="dxa"/>
            <w:left w:w="108" w:type="dxa"/>
            <w:bottom w:w="0" w:type="dxa"/>
            <w:right w:w="108" w:type="dxa"/>
          </w:tblCellMar>
        </w:tblPrEx>
        <w:trPr>
          <w:cantSplit/>
        </w:trPr>
        <w:tc>
          <w:tcPr>
            <w:tcW w:w="4608" w:type="dxa"/>
            <w:vAlign w:val="center"/>
          </w:tcPr>
          <w:p w14:paraId="5A43D16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历史</w:t>
            </w:r>
          </w:p>
        </w:tc>
        <w:tc>
          <w:tcPr>
            <w:tcW w:w="2016" w:type="dxa"/>
            <w:vAlign w:val="center"/>
          </w:tcPr>
          <w:p w14:paraId="692ADAD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9</w:t>
            </w:r>
          </w:p>
        </w:tc>
        <w:tc>
          <w:tcPr>
            <w:tcW w:w="2592" w:type="dxa"/>
            <w:vAlign w:val="center"/>
          </w:tcPr>
          <w:p w14:paraId="4BEAE5FD">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5.52</w:t>
            </w:r>
          </w:p>
        </w:tc>
      </w:tr>
      <w:tr w14:paraId="327C437C">
        <w:tblPrEx>
          <w:tblCellMar>
            <w:top w:w="0" w:type="dxa"/>
            <w:left w:w="108" w:type="dxa"/>
            <w:bottom w:w="0" w:type="dxa"/>
            <w:right w:w="108" w:type="dxa"/>
          </w:tblCellMar>
        </w:tblPrEx>
        <w:trPr>
          <w:cantSplit/>
        </w:trPr>
        <w:tc>
          <w:tcPr>
            <w:tcW w:w="4608" w:type="dxa"/>
            <w:vAlign w:val="center"/>
          </w:tcPr>
          <w:p w14:paraId="6AF9BE1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地理</w:t>
            </w:r>
          </w:p>
        </w:tc>
        <w:tc>
          <w:tcPr>
            <w:tcW w:w="2016" w:type="dxa"/>
            <w:vAlign w:val="center"/>
          </w:tcPr>
          <w:p w14:paraId="2FE68E77">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6</w:t>
            </w:r>
          </w:p>
        </w:tc>
        <w:tc>
          <w:tcPr>
            <w:tcW w:w="2592" w:type="dxa"/>
            <w:vAlign w:val="center"/>
          </w:tcPr>
          <w:p w14:paraId="7DE0029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3.68</w:t>
            </w:r>
          </w:p>
        </w:tc>
      </w:tr>
      <w:tr w14:paraId="374B08DC">
        <w:tblPrEx>
          <w:tblCellMar>
            <w:top w:w="0" w:type="dxa"/>
            <w:left w:w="108" w:type="dxa"/>
            <w:bottom w:w="0" w:type="dxa"/>
            <w:right w:w="108" w:type="dxa"/>
          </w:tblCellMar>
        </w:tblPrEx>
        <w:trPr>
          <w:cantSplit/>
        </w:trPr>
        <w:tc>
          <w:tcPr>
            <w:tcW w:w="4608" w:type="dxa"/>
            <w:vAlign w:val="center"/>
          </w:tcPr>
          <w:p w14:paraId="6D59BCE3">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其他</w:t>
            </w:r>
          </w:p>
        </w:tc>
        <w:tc>
          <w:tcPr>
            <w:tcW w:w="2016" w:type="dxa"/>
            <w:vAlign w:val="center"/>
          </w:tcPr>
          <w:p w14:paraId="6C8FB37E">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4</w:t>
            </w:r>
          </w:p>
        </w:tc>
        <w:tc>
          <w:tcPr>
            <w:tcW w:w="2592" w:type="dxa"/>
            <w:vAlign w:val="center"/>
          </w:tcPr>
          <w:p w14:paraId="5DB024F8">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2.45</w:t>
            </w:r>
          </w:p>
        </w:tc>
      </w:tr>
      <w:tr w14:paraId="341C5E88">
        <w:tblPrEx>
          <w:tblCellMar>
            <w:top w:w="0" w:type="dxa"/>
            <w:left w:w="108" w:type="dxa"/>
            <w:bottom w:w="0" w:type="dxa"/>
            <w:right w:w="108" w:type="dxa"/>
          </w:tblCellMar>
        </w:tblPrEx>
        <w:trPr>
          <w:cantSplit/>
        </w:trPr>
        <w:tc>
          <w:tcPr>
            <w:tcW w:w="4608" w:type="dxa"/>
            <w:vAlign w:val="center"/>
          </w:tcPr>
          <w:p w14:paraId="14BF25C5">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心理</w:t>
            </w:r>
          </w:p>
        </w:tc>
        <w:tc>
          <w:tcPr>
            <w:tcW w:w="2016" w:type="dxa"/>
            <w:vAlign w:val="center"/>
          </w:tcPr>
          <w:p w14:paraId="2AB1B7C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2</w:t>
            </w:r>
          </w:p>
        </w:tc>
        <w:tc>
          <w:tcPr>
            <w:tcW w:w="2592" w:type="dxa"/>
            <w:vAlign w:val="center"/>
          </w:tcPr>
          <w:p w14:paraId="40BCA2F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1.23</w:t>
            </w:r>
          </w:p>
        </w:tc>
      </w:tr>
      <w:tr w14:paraId="706BEB6E">
        <w:tblPrEx>
          <w:tblCellMar>
            <w:top w:w="0" w:type="dxa"/>
            <w:left w:w="108" w:type="dxa"/>
            <w:bottom w:w="0" w:type="dxa"/>
            <w:right w:w="108" w:type="dxa"/>
          </w:tblCellMar>
        </w:tblPrEx>
        <w:trPr>
          <w:cantSplit/>
        </w:trPr>
        <w:tc>
          <w:tcPr>
            <w:tcW w:w="4608" w:type="dxa"/>
            <w:vAlign w:val="center"/>
          </w:tcPr>
          <w:p w14:paraId="27839CC2">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科学</w:t>
            </w:r>
          </w:p>
        </w:tc>
        <w:tc>
          <w:tcPr>
            <w:tcW w:w="2016" w:type="dxa"/>
            <w:vAlign w:val="center"/>
          </w:tcPr>
          <w:p w14:paraId="1D37CCE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w:t>
            </w:r>
          </w:p>
        </w:tc>
        <w:tc>
          <w:tcPr>
            <w:tcW w:w="2592" w:type="dxa"/>
            <w:vAlign w:val="center"/>
          </w:tcPr>
          <w:p w14:paraId="7A88C2A0">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0.61</w:t>
            </w:r>
          </w:p>
        </w:tc>
      </w:tr>
      <w:tr w14:paraId="3115BAB7">
        <w:tblPrEx>
          <w:tblCellMar>
            <w:top w:w="0" w:type="dxa"/>
            <w:left w:w="108" w:type="dxa"/>
            <w:bottom w:w="0" w:type="dxa"/>
            <w:right w:w="108" w:type="dxa"/>
          </w:tblCellMar>
        </w:tblPrEx>
        <w:trPr>
          <w:cantSplit/>
        </w:trPr>
        <w:tc>
          <w:tcPr>
            <w:tcW w:w="4608" w:type="dxa"/>
            <w:vAlign w:val="center"/>
          </w:tcPr>
          <w:p w14:paraId="411DB6FA">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生物学</w:t>
            </w:r>
          </w:p>
        </w:tc>
        <w:tc>
          <w:tcPr>
            <w:tcW w:w="2016" w:type="dxa"/>
            <w:vAlign w:val="center"/>
          </w:tcPr>
          <w:p w14:paraId="61B8C416">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w:t>
            </w:r>
          </w:p>
        </w:tc>
        <w:tc>
          <w:tcPr>
            <w:tcW w:w="2592" w:type="dxa"/>
            <w:vAlign w:val="center"/>
          </w:tcPr>
          <w:p w14:paraId="7040C51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0.61</w:t>
            </w:r>
          </w:p>
        </w:tc>
      </w:tr>
      <w:tr w14:paraId="7F8E740D">
        <w:tblPrEx>
          <w:tblCellMar>
            <w:top w:w="0" w:type="dxa"/>
            <w:left w:w="108" w:type="dxa"/>
            <w:bottom w:w="0" w:type="dxa"/>
            <w:right w:w="108" w:type="dxa"/>
          </w:tblCellMar>
        </w:tblPrEx>
        <w:trPr>
          <w:cantSplit/>
        </w:trPr>
        <w:tc>
          <w:tcPr>
            <w:tcW w:w="4608" w:type="dxa"/>
            <w:tcBorders>
              <w:bottom w:val="single" w:color="000000" w:sz="8" w:space="0"/>
            </w:tcBorders>
            <w:vAlign w:val="center"/>
          </w:tcPr>
          <w:p w14:paraId="5CE35C34">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合计</w:t>
            </w:r>
          </w:p>
        </w:tc>
        <w:tc>
          <w:tcPr>
            <w:tcW w:w="2016" w:type="dxa"/>
            <w:tcBorders>
              <w:bottom w:val="single" w:color="000000" w:sz="8" w:space="0"/>
            </w:tcBorders>
            <w:vAlign w:val="center"/>
          </w:tcPr>
          <w:p w14:paraId="05D68E81">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163</w:t>
            </w:r>
          </w:p>
        </w:tc>
        <w:tc>
          <w:tcPr>
            <w:tcW w:w="2592" w:type="dxa"/>
            <w:tcBorders>
              <w:bottom w:val="single" w:color="000000" w:sz="8" w:space="0"/>
            </w:tcBorders>
            <w:vAlign w:val="center"/>
          </w:tcPr>
          <w:p w14:paraId="406DBF99">
            <w:pPr>
              <w:spacing w:before="0" w:after="0"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100.00</w:t>
            </w:r>
          </w:p>
        </w:tc>
      </w:tr>
    </w:tbl>
    <w:p w14:paraId="65C7F347">
      <w:pPr>
        <w:spacing w:line="240" w:lineRule="auto"/>
        <w:ind w:firstLine="0"/>
        <w:jc w:val="left"/>
        <w:rPr>
          <w:rFonts w:hint="eastAsia" w:ascii="宋体" w:hAnsi="宋体" w:eastAsia="宋体" w:cs="宋体"/>
          <w:color w:val="auto"/>
        </w:rPr>
      </w:pPr>
      <w:r>
        <w:rPr>
          <w:rFonts w:hint="eastAsia" w:ascii="宋体" w:hAnsi="宋体" w:eastAsia="宋体" w:cs="宋体"/>
          <w:b w:val="0"/>
          <w:color w:val="auto"/>
          <w:sz w:val="21"/>
        </w:rPr>
        <w:t>注：学科名称保留原始分类；各项百分比独立四舍五入，分项相加可能与100%存在微小差异。</w:t>
      </w:r>
    </w:p>
    <w:p w14:paraId="4976A821">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样本包含13类具名学科及“其他”类别，其中语文36人（22.09%）、英语22人（13.50%）、体育与健康19人（11.66%）、数学15人（9.20%）。多学科参与为课题考察高阶能力培育在不同学科任务中的应用提供了实践基础，有助于从多种教学情境理解其实施价值。不过，各学科人数不均衡，本次主要分析教师整体变化，不据此推断各学科具有同等成效。</w:t>
      </w:r>
    </w:p>
    <w:p w14:paraId="51C2AFFA">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为保证前后测可比，本次仅保留两次问卷共有的22个题项，分别构成认知与价值认同（7题）、课堂教学实践（6题）、教学自我效能（3题）和现实开展阻碍（6题）四个维度。后测新增的理解变化、培训应用与总体能力提升等题项作为补充材料单独分析，不纳入共同维度的配对计分，前后问卷原始总分也不直接比较。</w:t>
      </w:r>
    </w:p>
    <w:p w14:paraId="38117D14">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各题按照“完全不符合”至“完全符合”依次赋值1—5分，以所属题项平均分作为维度得分。163组记录的共同题项均无缺失。前三个维度分数越高，表示相关自评越积极；现实开展阻碍分数越高，表示困难感受越强，因此该维度得分下降为有利变化。部分题项及引导语在后测中有所调整，结果解释需考虑其可比性。</w:t>
      </w:r>
    </w:p>
    <w:p w14:paraId="659B223C">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统计采用双侧配对t检验，报告前后测均值、标准差、后测减前测的平均差值及其95%置信区间，并对四个维度的检验采用Holm法校正，显著性水平为0.05。统一差值方向后，前三个维度的正值表示提高，现实开展阻碍的负值表示困难感受减轻。分析依据所提供的163组对应关系进行，配对检验以对应关系成立、不同教师的差值相互独立为前提。</w:t>
      </w:r>
    </w:p>
    <w:p w14:paraId="25014E15">
      <w:pPr>
        <w:pStyle w:val="3"/>
        <w:keepNext/>
        <w:ind w:firstLine="0" w:firstLineChars="0"/>
        <w:outlineLvl w:val="3"/>
        <w:rPr>
          <w:rFonts w:hint="eastAsia" w:ascii="宋体" w:hAnsi="宋体" w:eastAsia="宋体" w:cs="宋体"/>
          <w:color w:val="auto"/>
        </w:rPr>
      </w:pPr>
      <w:bookmarkStart w:id="109" w:name="_Toc19701"/>
      <w:r>
        <w:rPr>
          <w:rFonts w:hint="eastAsia" w:ascii="宋体" w:hAnsi="宋体" w:eastAsia="宋体" w:cs="宋体"/>
          <w:b/>
          <w:color w:val="auto"/>
          <w:sz w:val="28"/>
          <w:lang w:eastAsia="zh-CN"/>
        </w:rPr>
        <w:t>（</w:t>
      </w:r>
      <w:r>
        <w:rPr>
          <w:rFonts w:hint="eastAsia" w:ascii="宋体" w:hAnsi="宋体" w:eastAsia="宋体" w:cs="宋体"/>
          <w:b/>
          <w:color w:val="auto"/>
          <w:sz w:val="28"/>
          <w:lang w:val="en-US" w:eastAsia="zh-CN"/>
        </w:rPr>
        <w:t>3）</w:t>
      </w:r>
      <w:r>
        <w:rPr>
          <w:rFonts w:hint="eastAsia" w:ascii="宋体" w:hAnsi="宋体" w:eastAsia="宋体" w:cs="宋体"/>
          <w:b/>
          <w:color w:val="auto"/>
          <w:sz w:val="28"/>
        </w:rPr>
        <w:t>总体与各维度比较</w:t>
      </w:r>
      <w:bookmarkEnd w:id="109"/>
    </w:p>
    <w:p w14:paraId="199BBDEF">
      <w:pPr>
        <w:pStyle w:val="4"/>
        <w:keepNext/>
        <w:spacing w:before="280" w:after="280"/>
        <w:ind w:firstLine="0" w:firstLineChars="0"/>
        <w:outlineLvl w:val="4"/>
        <w:rPr>
          <w:rFonts w:hint="eastAsia" w:ascii="宋体" w:hAnsi="宋体" w:eastAsia="宋体" w:cs="宋体"/>
          <w:color w:val="auto"/>
          <w:lang w:val="en-US" w:eastAsia="zh-CN"/>
        </w:rPr>
      </w:pPr>
      <w:r>
        <w:rPr>
          <w:rFonts w:hint="eastAsia" w:ascii="宋体" w:hAnsi="宋体" w:eastAsia="宋体" w:cs="宋体"/>
          <w:b/>
          <w:color w:val="auto"/>
          <w:sz w:val="28"/>
        </w:rPr>
        <w:t>1</w:t>
      </w:r>
      <w:r>
        <w:rPr>
          <w:rFonts w:hint="eastAsia" w:ascii="宋体" w:hAnsi="宋体" w:eastAsia="宋体" w:cs="宋体"/>
          <w:b/>
          <w:color w:val="auto"/>
          <w:sz w:val="28"/>
          <w:lang w:eastAsia="zh-CN"/>
        </w:rPr>
        <w:t>）</w:t>
      </w:r>
      <w:r>
        <w:rPr>
          <w:rFonts w:hint="eastAsia" w:ascii="宋体" w:hAnsi="宋体" w:eastAsia="宋体" w:cs="宋体"/>
          <w:b/>
          <w:color w:val="auto"/>
          <w:sz w:val="28"/>
        </w:rPr>
        <w:t>总体情况</w:t>
      </w:r>
      <w:r>
        <w:rPr>
          <w:rFonts w:hint="eastAsia" w:ascii="宋体" w:hAnsi="宋体" w:eastAsia="宋体" w:cs="宋体"/>
          <w:b/>
          <w:color w:val="auto"/>
          <w:sz w:val="28"/>
          <w:lang w:val="en-US" w:eastAsia="zh-CN"/>
        </w:rPr>
        <w:t>比较分析</w:t>
      </w:r>
    </w:p>
    <w:p w14:paraId="0AD98919">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鉴于认知、实践、自我效能与现实阻碍的含义和方向不同，不直接比较原文件的总分。为回应总体变化的分析需要，补充构建共同题项综合指标：前三个维度共16题按原方向计分，6道阻碍题按“6－原分数”反向计分，再对22题取平均。该指标为本次分析构建的探索性综合值，尚未经单独结构验证，不称为已验证的教师能力总量表。</w:t>
      </w:r>
    </w:p>
    <w:p w14:paraId="6BE0E802">
      <w:pPr>
        <w:keepNext/>
        <w:spacing w:line="240" w:lineRule="auto"/>
        <w:ind w:firstLine="0"/>
        <w:jc w:val="center"/>
        <w:rPr>
          <w:rFonts w:hint="eastAsia" w:ascii="宋体" w:hAnsi="宋体" w:eastAsia="宋体" w:cs="宋体"/>
          <w:color w:val="auto"/>
        </w:rPr>
      </w:pPr>
      <w:r>
        <w:rPr>
          <w:rFonts w:hint="eastAsia" w:ascii="宋体" w:hAnsi="宋体" w:eastAsia="宋体" w:cs="宋体"/>
          <w:b w:val="0"/>
          <w:color w:val="auto"/>
          <w:sz w:val="21"/>
        </w:rPr>
        <w:t>表3-70  共同题项综合指标前后测比较（n＝163）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031EED0E">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07423D9A">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测量</w:t>
            </w:r>
          </w:p>
        </w:tc>
        <w:tc>
          <w:tcPr>
            <w:tcW w:w="935" w:type="dxa"/>
            <w:tcBorders>
              <w:top w:val="single" w:color="000000" w:sz="8" w:space="0"/>
              <w:bottom w:val="single" w:color="000000" w:sz="8" w:space="0"/>
            </w:tcBorders>
            <w:vAlign w:val="center"/>
          </w:tcPr>
          <w:p w14:paraId="41B3729A">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M</w:t>
            </w:r>
          </w:p>
        </w:tc>
        <w:tc>
          <w:tcPr>
            <w:tcW w:w="937" w:type="dxa"/>
            <w:tcBorders>
              <w:top w:val="single" w:color="000000" w:sz="8" w:space="0"/>
              <w:bottom w:val="single" w:color="000000" w:sz="8" w:space="0"/>
            </w:tcBorders>
            <w:vAlign w:val="center"/>
          </w:tcPr>
          <w:p w14:paraId="3DF75EA5">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SD</w:t>
            </w:r>
          </w:p>
        </w:tc>
        <w:tc>
          <w:tcPr>
            <w:tcW w:w="1151" w:type="dxa"/>
            <w:tcBorders>
              <w:top w:val="single" w:color="000000" w:sz="8" w:space="0"/>
              <w:bottom w:val="single" w:color="000000" w:sz="8" w:space="0"/>
            </w:tcBorders>
            <w:vAlign w:val="center"/>
          </w:tcPr>
          <w:p w14:paraId="3AB07405">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均值差</w:t>
            </w:r>
          </w:p>
        </w:tc>
        <w:tc>
          <w:tcPr>
            <w:tcW w:w="2563" w:type="dxa"/>
            <w:tcBorders>
              <w:top w:val="single" w:color="000000" w:sz="8" w:space="0"/>
              <w:bottom w:val="single" w:color="000000" w:sz="8" w:space="0"/>
            </w:tcBorders>
            <w:vAlign w:val="center"/>
          </w:tcPr>
          <w:p w14:paraId="1709B50E">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95%CI</w:t>
            </w:r>
          </w:p>
        </w:tc>
        <w:tc>
          <w:tcPr>
            <w:tcW w:w="1153" w:type="dxa"/>
            <w:tcBorders>
              <w:top w:val="single" w:color="000000" w:sz="8" w:space="0"/>
              <w:bottom w:val="single" w:color="000000" w:sz="8" w:space="0"/>
            </w:tcBorders>
            <w:vAlign w:val="center"/>
          </w:tcPr>
          <w:p w14:paraId="36C57836">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t</w:t>
            </w:r>
          </w:p>
        </w:tc>
        <w:tc>
          <w:tcPr>
            <w:tcW w:w="1152" w:type="dxa"/>
            <w:tcBorders>
              <w:top w:val="single" w:color="000000" w:sz="8" w:space="0"/>
              <w:bottom w:val="single" w:color="000000" w:sz="8" w:space="0"/>
            </w:tcBorders>
            <w:vAlign w:val="center"/>
          </w:tcPr>
          <w:p w14:paraId="0AEA2A2E">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b/>
                <w:color w:val="auto"/>
                <w:sz w:val="21"/>
              </w:rPr>
              <w:t>p</w:t>
            </w:r>
          </w:p>
        </w:tc>
      </w:tr>
      <w:tr w14:paraId="44C3FEC2">
        <w:tblPrEx>
          <w:tblCellMar>
            <w:top w:w="0" w:type="dxa"/>
            <w:left w:w="108" w:type="dxa"/>
            <w:bottom w:w="0" w:type="dxa"/>
            <w:right w:w="108" w:type="dxa"/>
          </w:tblCellMar>
        </w:tblPrEx>
        <w:trPr>
          <w:cantSplit/>
        </w:trPr>
        <w:tc>
          <w:tcPr>
            <w:tcW w:w="893" w:type="dxa"/>
            <w:vAlign w:val="center"/>
          </w:tcPr>
          <w:p w14:paraId="336C9AE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前测</w:t>
            </w:r>
          </w:p>
        </w:tc>
        <w:tc>
          <w:tcPr>
            <w:tcW w:w="935" w:type="dxa"/>
            <w:vAlign w:val="center"/>
          </w:tcPr>
          <w:p w14:paraId="79A03308">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3.748</w:t>
            </w:r>
          </w:p>
        </w:tc>
        <w:tc>
          <w:tcPr>
            <w:tcW w:w="937" w:type="dxa"/>
            <w:vAlign w:val="center"/>
          </w:tcPr>
          <w:p w14:paraId="20CB129B">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0.479</w:t>
            </w:r>
          </w:p>
        </w:tc>
        <w:tc>
          <w:tcPr>
            <w:tcW w:w="1151" w:type="dxa"/>
            <w:vAlign w:val="center"/>
          </w:tcPr>
          <w:p w14:paraId="57ACC1DC">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0.962</w:t>
            </w:r>
          </w:p>
        </w:tc>
        <w:tc>
          <w:tcPr>
            <w:tcW w:w="2563" w:type="dxa"/>
            <w:vAlign w:val="center"/>
          </w:tcPr>
          <w:p w14:paraId="0D818AE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0.861～1.064</w:t>
            </w:r>
          </w:p>
        </w:tc>
        <w:tc>
          <w:tcPr>
            <w:tcW w:w="1153" w:type="dxa"/>
            <w:vAlign w:val="center"/>
          </w:tcPr>
          <w:p w14:paraId="0C876023">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18.660</w:t>
            </w:r>
          </w:p>
        </w:tc>
        <w:tc>
          <w:tcPr>
            <w:tcW w:w="1152" w:type="dxa"/>
            <w:vAlign w:val="center"/>
          </w:tcPr>
          <w:p w14:paraId="75379542">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＜0.001</w:t>
            </w:r>
          </w:p>
        </w:tc>
      </w:tr>
      <w:tr w14:paraId="28DCEEEB">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2A49C10F">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后测</w:t>
            </w:r>
          </w:p>
        </w:tc>
        <w:tc>
          <w:tcPr>
            <w:tcW w:w="935" w:type="dxa"/>
            <w:tcBorders>
              <w:bottom w:val="single" w:color="000000" w:sz="8" w:space="0"/>
            </w:tcBorders>
            <w:vAlign w:val="center"/>
          </w:tcPr>
          <w:p w14:paraId="5CDA541F">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4.710</w:t>
            </w:r>
          </w:p>
        </w:tc>
        <w:tc>
          <w:tcPr>
            <w:tcW w:w="937" w:type="dxa"/>
            <w:tcBorders>
              <w:bottom w:val="single" w:color="000000" w:sz="8" w:space="0"/>
            </w:tcBorders>
            <w:vAlign w:val="center"/>
          </w:tcPr>
          <w:p w14:paraId="750F3A84">
            <w:pPr>
              <w:keepNext/>
              <w:spacing w:before="0" w:after="0" w:line="240" w:lineRule="auto"/>
              <w:ind w:firstLine="0"/>
              <w:jc w:val="center"/>
              <w:rPr>
                <w:rFonts w:hint="eastAsia" w:ascii="宋体" w:hAnsi="宋体" w:eastAsia="宋体" w:cs="宋体"/>
                <w:color w:val="auto"/>
              </w:rPr>
            </w:pPr>
            <w:r>
              <w:rPr>
                <w:rFonts w:hint="eastAsia" w:ascii="宋体" w:hAnsi="宋体" w:eastAsia="宋体" w:cs="宋体"/>
                <w:color w:val="auto"/>
                <w:sz w:val="21"/>
              </w:rPr>
              <w:t>0.470</w:t>
            </w:r>
          </w:p>
        </w:tc>
        <w:tc>
          <w:tcPr>
            <w:tcW w:w="1151" w:type="dxa"/>
            <w:tcBorders>
              <w:bottom w:val="single" w:color="000000" w:sz="8" w:space="0"/>
            </w:tcBorders>
            <w:vAlign w:val="center"/>
          </w:tcPr>
          <w:p w14:paraId="5985671C">
            <w:pPr>
              <w:keepNext/>
              <w:spacing w:before="0" w:after="0" w:line="240" w:lineRule="auto"/>
              <w:ind w:firstLine="0"/>
              <w:jc w:val="center"/>
              <w:rPr>
                <w:rFonts w:hint="eastAsia" w:ascii="宋体" w:hAnsi="宋体" w:eastAsia="宋体" w:cs="宋体"/>
                <w:color w:val="auto"/>
              </w:rPr>
            </w:pPr>
          </w:p>
        </w:tc>
        <w:tc>
          <w:tcPr>
            <w:tcW w:w="2563" w:type="dxa"/>
            <w:tcBorders>
              <w:bottom w:val="single" w:color="000000" w:sz="8" w:space="0"/>
            </w:tcBorders>
            <w:vAlign w:val="center"/>
          </w:tcPr>
          <w:p w14:paraId="754CC588">
            <w:pPr>
              <w:keepNext/>
              <w:spacing w:before="0" w:after="0" w:line="240" w:lineRule="auto"/>
              <w:ind w:firstLine="0"/>
              <w:jc w:val="center"/>
              <w:rPr>
                <w:rFonts w:hint="eastAsia" w:ascii="宋体" w:hAnsi="宋体" w:eastAsia="宋体" w:cs="宋体"/>
                <w:color w:val="auto"/>
              </w:rPr>
            </w:pPr>
          </w:p>
        </w:tc>
        <w:tc>
          <w:tcPr>
            <w:tcW w:w="1153" w:type="dxa"/>
            <w:tcBorders>
              <w:bottom w:val="single" w:color="000000" w:sz="8" w:space="0"/>
            </w:tcBorders>
            <w:vAlign w:val="center"/>
          </w:tcPr>
          <w:p w14:paraId="54A74FF5">
            <w:pPr>
              <w:keepNext/>
              <w:spacing w:before="0" w:after="0" w:line="240" w:lineRule="auto"/>
              <w:ind w:firstLine="0"/>
              <w:jc w:val="center"/>
              <w:rPr>
                <w:rFonts w:hint="eastAsia" w:ascii="宋体" w:hAnsi="宋体" w:eastAsia="宋体" w:cs="宋体"/>
                <w:color w:val="auto"/>
              </w:rPr>
            </w:pPr>
          </w:p>
        </w:tc>
        <w:tc>
          <w:tcPr>
            <w:tcW w:w="1152" w:type="dxa"/>
            <w:tcBorders>
              <w:bottom w:val="single" w:color="000000" w:sz="8" w:space="0"/>
            </w:tcBorders>
            <w:vAlign w:val="center"/>
          </w:tcPr>
          <w:p w14:paraId="06BDD553">
            <w:pPr>
              <w:keepNext/>
              <w:spacing w:before="0" w:after="0" w:line="240" w:lineRule="auto"/>
              <w:ind w:firstLine="0"/>
              <w:jc w:val="center"/>
              <w:rPr>
                <w:rFonts w:hint="eastAsia" w:ascii="宋体" w:hAnsi="宋体" w:eastAsia="宋体" w:cs="宋体"/>
                <w:color w:val="auto"/>
              </w:rPr>
            </w:pPr>
          </w:p>
        </w:tc>
      </w:tr>
    </w:tbl>
    <w:p w14:paraId="4357F962">
      <w:pPr>
        <w:spacing w:before="120" w:after="0" w:line="240" w:lineRule="auto"/>
        <w:ind w:firstLine="0"/>
        <w:jc w:val="left"/>
        <w:rPr>
          <w:rFonts w:hint="eastAsia" w:ascii="宋体" w:hAnsi="宋体" w:eastAsia="宋体" w:cs="宋体"/>
          <w:color w:val="auto"/>
        </w:rPr>
      </w:pPr>
      <w:r>
        <w:rPr>
          <w:rFonts w:hint="eastAsia" w:ascii="宋体" w:hAnsi="宋体" w:eastAsia="宋体" w:cs="宋体"/>
          <w:b w:val="0"/>
          <w:color w:val="auto"/>
          <w:sz w:val="21"/>
        </w:rPr>
        <w:t>注：均值差为后测减前测；df＝162；配对差SD＝0.658；dz＝1.462。本项为探索性补充指标，p值未纳入四维Holm校正。</w:t>
      </w:r>
    </w:p>
    <w:p w14:paraId="4DF84268">
      <w:pPr>
        <w:spacing w:before="0" w:after="0" w:line="360" w:lineRule="auto"/>
        <w:ind w:firstLine="480"/>
        <w:jc w:val="both"/>
        <w:rPr>
          <w:rFonts w:hint="eastAsia" w:ascii="宋体" w:hAnsi="宋体" w:eastAsia="宋体" w:cs="宋体"/>
          <w:color w:val="auto"/>
        </w:rPr>
      </w:pPr>
      <w:r>
        <w:rPr>
          <w:rFonts w:hint="eastAsia" w:ascii="宋体" w:hAnsi="宋体" w:eastAsia="宋体" w:cs="宋体"/>
          <w:b w:val="0"/>
          <w:color w:val="auto"/>
          <w:sz w:val="24"/>
        </w:rPr>
        <w:t>综合指标由3.748升至4.710，平均增加0.962分，95%CI为0.861～1.064，t（162）＝18.660，p＜0.001，dz＝1.462。综合指标的提高，反映教师在正向评价与阻碍感受两个方面呈现整体改善，为课题教师支持与课堂实践的协同推进提供补充依据。该指标包含不同性质的内容，其价值在于概括共同题项的总体变化；具体成效应由以下各维度分别说明，不将其解释为单一教师能力的增量。</w:t>
      </w:r>
    </w:p>
    <w:p w14:paraId="57B2F419">
      <w:pPr>
        <w:pStyle w:val="4"/>
        <w:keepNext/>
        <w:spacing w:before="280" w:after="280"/>
        <w:ind w:firstLine="0" w:firstLineChars="0"/>
        <w:outlineLvl w:val="3"/>
        <w:rPr>
          <w:rFonts w:hint="eastAsia" w:ascii="宋体" w:hAnsi="宋体" w:eastAsia="宋体" w:cs="宋体"/>
          <w:color w:val="auto"/>
          <w:lang w:val="en-US" w:eastAsia="zh-CN"/>
        </w:rPr>
      </w:pPr>
      <w:bookmarkStart w:id="110" w:name="_Toc14846"/>
      <w:r>
        <w:rPr>
          <w:rFonts w:hint="eastAsia" w:ascii="宋体" w:hAnsi="宋体" w:eastAsia="宋体" w:cs="宋体"/>
          <w:b/>
          <w:color w:val="auto"/>
          <w:sz w:val="28"/>
          <w:lang w:eastAsia="zh-CN"/>
        </w:rPr>
        <w:t>（</w:t>
      </w:r>
      <w:r>
        <w:rPr>
          <w:rFonts w:hint="eastAsia" w:ascii="宋体" w:hAnsi="宋体" w:eastAsia="宋体" w:cs="宋体"/>
          <w:b/>
          <w:color w:val="auto"/>
          <w:sz w:val="28"/>
          <w:lang w:val="en-US" w:eastAsia="zh-CN"/>
        </w:rPr>
        <w:t>2）各维度比较分析</w:t>
      </w:r>
      <w:bookmarkEnd w:id="110"/>
    </w:p>
    <w:p w14:paraId="1EA44E13">
      <w:pPr>
        <w:pStyle w:val="4"/>
        <w:keepNext/>
        <w:spacing w:before="280" w:after="280"/>
        <w:ind w:firstLine="0" w:firstLineChars="0"/>
        <w:outlineLvl w:val="4"/>
        <w:rPr>
          <w:rFonts w:hint="eastAsia" w:ascii="宋体" w:hAnsi="宋体" w:eastAsia="宋体" w:cs="宋体"/>
          <w:color w:val="auto"/>
        </w:rPr>
      </w:pPr>
      <w:r>
        <w:rPr>
          <w:rFonts w:hint="eastAsia" w:ascii="宋体" w:hAnsi="宋体" w:eastAsia="宋体" w:cs="宋体"/>
          <w:b/>
          <w:color w:val="auto"/>
          <w:sz w:val="28"/>
          <w:lang w:val="en-US" w:eastAsia="zh-CN"/>
        </w:rPr>
        <w:t>1）</w:t>
      </w:r>
      <w:r>
        <w:rPr>
          <w:rFonts w:hint="eastAsia" w:ascii="宋体" w:hAnsi="宋体" w:eastAsia="宋体" w:cs="宋体"/>
          <w:b/>
          <w:color w:val="auto"/>
          <w:sz w:val="28"/>
        </w:rPr>
        <w:t>认知与价值认同</w:t>
      </w:r>
    </w:p>
    <w:p w14:paraId="10F1685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表3-71  认知与价值认同前后测比较（n＝163）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EFF2E5D">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60471E6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23D4A169">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58FB0B1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6CCCAF7C">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04121A5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5D7C33E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772BD66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58645103">
        <w:tblPrEx>
          <w:tblCellMar>
            <w:top w:w="0" w:type="dxa"/>
            <w:left w:w="108" w:type="dxa"/>
            <w:bottom w:w="0" w:type="dxa"/>
            <w:right w:w="108" w:type="dxa"/>
          </w:tblCellMar>
        </w:tblPrEx>
        <w:trPr>
          <w:cantSplit/>
        </w:trPr>
        <w:tc>
          <w:tcPr>
            <w:tcW w:w="893" w:type="dxa"/>
            <w:vAlign w:val="center"/>
          </w:tcPr>
          <w:p w14:paraId="1264924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25C7E05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4.351</w:t>
            </w:r>
          </w:p>
        </w:tc>
        <w:tc>
          <w:tcPr>
            <w:tcW w:w="937" w:type="dxa"/>
            <w:vAlign w:val="center"/>
          </w:tcPr>
          <w:p w14:paraId="116E243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0.745</w:t>
            </w:r>
          </w:p>
        </w:tc>
        <w:tc>
          <w:tcPr>
            <w:tcW w:w="1151" w:type="dxa"/>
            <w:vAlign w:val="center"/>
          </w:tcPr>
          <w:p w14:paraId="1D697DB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0.414</w:t>
            </w:r>
          </w:p>
        </w:tc>
        <w:tc>
          <w:tcPr>
            <w:tcW w:w="2563" w:type="dxa"/>
            <w:vAlign w:val="center"/>
          </w:tcPr>
          <w:p w14:paraId="10D86F7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0.235～0.593</w:t>
            </w:r>
          </w:p>
        </w:tc>
        <w:tc>
          <w:tcPr>
            <w:tcW w:w="1153" w:type="dxa"/>
            <w:vAlign w:val="center"/>
          </w:tcPr>
          <w:p w14:paraId="1453681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4.559</w:t>
            </w:r>
          </w:p>
        </w:tc>
        <w:tc>
          <w:tcPr>
            <w:tcW w:w="1152" w:type="dxa"/>
            <w:vAlign w:val="center"/>
          </w:tcPr>
          <w:p w14:paraId="06D75C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5C2F7FE0">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3B3FD20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26BD923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4.764</w:t>
            </w:r>
          </w:p>
        </w:tc>
        <w:tc>
          <w:tcPr>
            <w:tcW w:w="937" w:type="dxa"/>
            <w:tcBorders>
              <w:bottom w:val="single" w:color="000000" w:sz="8" w:space="0"/>
            </w:tcBorders>
            <w:vAlign w:val="center"/>
          </w:tcPr>
          <w:p w14:paraId="69DE959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0.865</w:t>
            </w:r>
          </w:p>
        </w:tc>
        <w:tc>
          <w:tcPr>
            <w:tcW w:w="1151" w:type="dxa"/>
            <w:tcBorders>
              <w:bottom w:val="single" w:color="000000" w:sz="8" w:space="0"/>
            </w:tcBorders>
            <w:vAlign w:val="center"/>
          </w:tcPr>
          <w:p w14:paraId="79140B19">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1E8AB4B1">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5113BEC">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5D097EDA">
            <w:pPr>
              <w:keepNext/>
              <w:spacing w:before="0" w:after="0" w:line="240" w:lineRule="auto"/>
              <w:ind w:firstLine="0"/>
              <w:jc w:val="center"/>
              <w:rPr>
                <w:rFonts w:hint="eastAsia" w:ascii="宋体" w:hAnsi="宋体" w:eastAsia="宋体" w:cs="宋体"/>
              </w:rPr>
            </w:pPr>
          </w:p>
        </w:tc>
      </w:tr>
    </w:tbl>
    <w:p w14:paraId="2B40AA8D">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注：均值差为后测减前测；df＝162；配对差SD＝1.158；dz＝0.357。Holm校正后p＜0.001。</w:t>
      </w:r>
    </w:p>
    <w:p w14:paraId="37BAFD6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认知与价值认同均值由4.351升至4.764，平均增加0.414分，95%CI为0.235～0.593，t（162）＝4.559，Holm校正后p＜0.001，dz＝0.357。认知与价值认同在较高前测基础上进一步提高，为课题通过理论学习与课堂实践相结合深化教师理解提供了支持。教师对高阶能力内涵、学科育人价值及教学方式调整的自评更加积极，与后测90.18%的教师认可“理解更加清晰”的结果相呼应。这为将高阶能力目标持续融入备课、任务设计和课堂评价提供了较好的认知基础。</w:t>
      </w:r>
    </w:p>
    <w:p w14:paraId="48E99B96">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2）</w:t>
      </w:r>
      <w:r>
        <w:rPr>
          <w:rFonts w:hint="eastAsia" w:ascii="宋体" w:hAnsi="宋体" w:eastAsia="宋体" w:cs="宋体"/>
          <w:b/>
          <w:sz w:val="28"/>
        </w:rPr>
        <w:t>课堂教学实践</w:t>
      </w:r>
    </w:p>
    <w:p w14:paraId="6FE3E02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表3-72  课堂教学实践前后测比较（n＝163）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190E398C">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7A383A6">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7501020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0C80B84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14B86CA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4607B9B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0A5757B5">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5D72EEC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B041468">
        <w:tblPrEx>
          <w:tblCellMar>
            <w:top w:w="0" w:type="dxa"/>
            <w:left w:w="108" w:type="dxa"/>
            <w:bottom w:w="0" w:type="dxa"/>
            <w:right w:w="108" w:type="dxa"/>
          </w:tblCellMar>
        </w:tblPrEx>
        <w:trPr>
          <w:cantSplit/>
        </w:trPr>
        <w:tc>
          <w:tcPr>
            <w:tcW w:w="893" w:type="dxa"/>
            <w:vAlign w:val="center"/>
          </w:tcPr>
          <w:p w14:paraId="5AAA2BF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4FF598A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4.260</w:t>
            </w:r>
          </w:p>
        </w:tc>
        <w:tc>
          <w:tcPr>
            <w:tcW w:w="937" w:type="dxa"/>
            <w:vAlign w:val="center"/>
          </w:tcPr>
          <w:p w14:paraId="434D66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0.676</w:t>
            </w:r>
          </w:p>
        </w:tc>
        <w:tc>
          <w:tcPr>
            <w:tcW w:w="1151" w:type="dxa"/>
            <w:vAlign w:val="center"/>
          </w:tcPr>
          <w:p w14:paraId="12891C9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0.622</w:t>
            </w:r>
          </w:p>
        </w:tc>
        <w:tc>
          <w:tcPr>
            <w:tcW w:w="2563" w:type="dxa"/>
            <w:vAlign w:val="center"/>
          </w:tcPr>
          <w:p w14:paraId="0DD8447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0.483～0.760</w:t>
            </w:r>
          </w:p>
        </w:tc>
        <w:tc>
          <w:tcPr>
            <w:tcW w:w="1153" w:type="dxa"/>
            <w:vAlign w:val="center"/>
          </w:tcPr>
          <w:p w14:paraId="207B9F0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8.868</w:t>
            </w:r>
          </w:p>
        </w:tc>
        <w:tc>
          <w:tcPr>
            <w:tcW w:w="1152" w:type="dxa"/>
            <w:vAlign w:val="center"/>
          </w:tcPr>
          <w:p w14:paraId="312E390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104E336A">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164DAC3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3521F34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4.881</w:t>
            </w:r>
          </w:p>
        </w:tc>
        <w:tc>
          <w:tcPr>
            <w:tcW w:w="937" w:type="dxa"/>
            <w:tcBorders>
              <w:bottom w:val="single" w:color="000000" w:sz="8" w:space="0"/>
            </w:tcBorders>
            <w:vAlign w:val="center"/>
          </w:tcPr>
          <w:p w14:paraId="12EAE40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0.524</w:t>
            </w:r>
          </w:p>
        </w:tc>
        <w:tc>
          <w:tcPr>
            <w:tcW w:w="1151" w:type="dxa"/>
            <w:tcBorders>
              <w:bottom w:val="single" w:color="000000" w:sz="8" w:space="0"/>
            </w:tcBorders>
            <w:vAlign w:val="center"/>
          </w:tcPr>
          <w:p w14:paraId="7F846182">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4B45021D">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3E3F60A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4EBFBAFB">
            <w:pPr>
              <w:keepNext/>
              <w:spacing w:before="0" w:after="0" w:line="240" w:lineRule="auto"/>
              <w:ind w:firstLine="0"/>
              <w:jc w:val="center"/>
              <w:rPr>
                <w:rFonts w:hint="eastAsia" w:ascii="宋体" w:hAnsi="宋体" w:eastAsia="宋体" w:cs="宋体"/>
              </w:rPr>
            </w:pPr>
          </w:p>
        </w:tc>
      </w:tr>
    </w:tbl>
    <w:p w14:paraId="69782B06">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注：均值差为后测减前测；df＝162；配对差SD＝0.895；dz＝0.695。Holm校正后p＜0.001。</w:t>
      </w:r>
    </w:p>
    <w:p w14:paraId="6210C95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教学实践均值由4.260升至4.881，平均增加0.622分，95%CI为0.483～0.760，t（162）＝8.868，Holm校正后p＜0.001，dz＝0.695。课堂实践得分的提高，是课题论证中关于教学行动变化的直接自报证据。共同题项涉及任务设计、探究组织、真实情境、开放性提问和自主研讨时间，与课题五环教学设计的实施要求相契合。后测98.77%的教师认可已将培训方法用于课堂，94.48%认可高阶活动频率提高，开放性回答也具体提到问题链与过程反馈，三类材料相互呼应，支持研修成果逐步转化为课堂做法的判断。</w:t>
      </w:r>
    </w:p>
    <w:p w14:paraId="4FAB13EA">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3）</w:t>
      </w:r>
      <w:r>
        <w:rPr>
          <w:rFonts w:hint="eastAsia" w:ascii="宋体" w:hAnsi="宋体" w:eastAsia="宋体" w:cs="宋体"/>
          <w:b/>
          <w:sz w:val="28"/>
        </w:rPr>
        <w:t>教学自我效能</w:t>
      </w:r>
    </w:p>
    <w:p w14:paraId="25A43265">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表3-73  教学自我效能前后测比较（n＝163）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40D941C9">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547A6C8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07D85493">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6F4D4D7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345F9A41">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24FA56A8">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92A2BE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2DBD5A5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4013B344">
        <w:tblPrEx>
          <w:tblCellMar>
            <w:top w:w="0" w:type="dxa"/>
            <w:left w:w="108" w:type="dxa"/>
            <w:bottom w:w="0" w:type="dxa"/>
            <w:right w:w="108" w:type="dxa"/>
          </w:tblCellMar>
        </w:tblPrEx>
        <w:trPr>
          <w:cantSplit/>
        </w:trPr>
        <w:tc>
          <w:tcPr>
            <w:tcW w:w="893" w:type="dxa"/>
            <w:vAlign w:val="center"/>
          </w:tcPr>
          <w:p w14:paraId="70E0F1C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3BB7EF9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4.090</w:t>
            </w:r>
          </w:p>
        </w:tc>
        <w:tc>
          <w:tcPr>
            <w:tcW w:w="937" w:type="dxa"/>
            <w:vAlign w:val="center"/>
          </w:tcPr>
          <w:p w14:paraId="2389A53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0.699</w:t>
            </w:r>
          </w:p>
        </w:tc>
        <w:tc>
          <w:tcPr>
            <w:tcW w:w="1151" w:type="dxa"/>
            <w:vAlign w:val="center"/>
          </w:tcPr>
          <w:p w14:paraId="51C8EA6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0.663</w:t>
            </w:r>
          </w:p>
        </w:tc>
        <w:tc>
          <w:tcPr>
            <w:tcW w:w="2563" w:type="dxa"/>
            <w:vAlign w:val="center"/>
          </w:tcPr>
          <w:p w14:paraId="4371D07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0.502～0.823</w:t>
            </w:r>
          </w:p>
        </w:tc>
        <w:tc>
          <w:tcPr>
            <w:tcW w:w="1153" w:type="dxa"/>
            <w:vAlign w:val="center"/>
          </w:tcPr>
          <w:p w14:paraId="1244EC5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8.168</w:t>
            </w:r>
          </w:p>
        </w:tc>
        <w:tc>
          <w:tcPr>
            <w:tcW w:w="1152" w:type="dxa"/>
            <w:vAlign w:val="center"/>
          </w:tcPr>
          <w:p w14:paraId="2D32110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4234172D">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03C84B5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369E153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4.753</w:t>
            </w:r>
          </w:p>
        </w:tc>
        <w:tc>
          <w:tcPr>
            <w:tcW w:w="937" w:type="dxa"/>
            <w:tcBorders>
              <w:bottom w:val="single" w:color="000000" w:sz="8" w:space="0"/>
            </w:tcBorders>
            <w:vAlign w:val="center"/>
          </w:tcPr>
          <w:p w14:paraId="4EBA18D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0.720</w:t>
            </w:r>
          </w:p>
        </w:tc>
        <w:tc>
          <w:tcPr>
            <w:tcW w:w="1151" w:type="dxa"/>
            <w:tcBorders>
              <w:bottom w:val="single" w:color="000000" w:sz="8" w:space="0"/>
            </w:tcBorders>
            <w:vAlign w:val="center"/>
          </w:tcPr>
          <w:p w14:paraId="2DF14F40">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2DC7B677">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00F12CB0">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BBD8AA2">
            <w:pPr>
              <w:keepNext/>
              <w:spacing w:before="0" w:after="0" w:line="240" w:lineRule="auto"/>
              <w:ind w:firstLine="0"/>
              <w:jc w:val="center"/>
              <w:rPr>
                <w:rFonts w:hint="eastAsia" w:ascii="宋体" w:hAnsi="宋体" w:eastAsia="宋体" w:cs="宋体"/>
              </w:rPr>
            </w:pPr>
          </w:p>
        </w:tc>
      </w:tr>
    </w:tbl>
    <w:p w14:paraId="4321D191">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注：均值差为后测减前测；df＝162；配对差SD＝1.036；dz＝0.640。Holm校正后p＜0.001。</w:t>
      </w:r>
    </w:p>
    <w:p w14:paraId="0C254F7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学自我效能均值由4.090升至4.753，平均增加0.663分，95%CI为0.502～0.823，t（162）＝8.168，Holm校正后p＜0.001，dz＝0.640。教学自我效能的提高表明，教师对设计高阶任务、开展教学点拨和识别学生高阶表现的信心有所增强，为课题所重视的教师循证调节提供了积极条件。高阶能力培育需要教师根据学生的表达与作品及时调整支持方式，该维度的变化与这一专业要求相契合。结合后测95.09%的教师认可自身课堂教学能力有所提升，可以看到教师对阶段实践的获得感较为积极，也为后续持续改进提供动力。</w:t>
      </w:r>
    </w:p>
    <w:p w14:paraId="446E81A8">
      <w:pPr>
        <w:pStyle w:val="4"/>
        <w:keepNext/>
        <w:spacing w:before="280" w:after="280"/>
        <w:ind w:firstLine="0" w:firstLineChars="0"/>
        <w:outlineLvl w:val="4"/>
        <w:rPr>
          <w:rFonts w:hint="eastAsia" w:ascii="宋体" w:hAnsi="宋体" w:eastAsia="宋体" w:cs="宋体"/>
        </w:rPr>
      </w:pPr>
      <w:r>
        <w:rPr>
          <w:rFonts w:hint="eastAsia" w:ascii="宋体" w:hAnsi="宋体" w:eastAsia="宋体" w:cs="宋体"/>
          <w:b/>
          <w:sz w:val="28"/>
          <w:lang w:val="en-US" w:eastAsia="zh-CN"/>
        </w:rPr>
        <w:t>4）</w:t>
      </w:r>
      <w:r>
        <w:rPr>
          <w:rFonts w:hint="eastAsia" w:ascii="宋体" w:hAnsi="宋体" w:eastAsia="宋体" w:cs="宋体"/>
          <w:b/>
          <w:sz w:val="28"/>
        </w:rPr>
        <w:t>现实开展阻碍</w:t>
      </w:r>
    </w:p>
    <w:p w14:paraId="5D189A27">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表3-74  现实开展阻碍前后测比较（n＝163）</w:t>
      </w:r>
    </w:p>
    <w:tbl>
      <w:tblPr>
        <w:tblStyle w:val="12"/>
        <w:tblW w:w="8784" w:type="dxa"/>
        <w:tblInd w:w="0" w:type="dxa"/>
        <w:tblLayout w:type="fixed"/>
        <w:tblCellMar>
          <w:top w:w="0" w:type="dxa"/>
          <w:left w:w="108" w:type="dxa"/>
          <w:bottom w:w="0" w:type="dxa"/>
          <w:right w:w="108" w:type="dxa"/>
        </w:tblCellMar>
      </w:tblPr>
      <w:tblGrid>
        <w:gridCol w:w="893"/>
        <w:gridCol w:w="935"/>
        <w:gridCol w:w="937"/>
        <w:gridCol w:w="1151"/>
        <w:gridCol w:w="2563"/>
        <w:gridCol w:w="1153"/>
        <w:gridCol w:w="1152"/>
      </w:tblGrid>
      <w:tr w14:paraId="6C1E86CB">
        <w:tblPrEx>
          <w:tblCellMar>
            <w:top w:w="0" w:type="dxa"/>
            <w:left w:w="108" w:type="dxa"/>
            <w:bottom w:w="0" w:type="dxa"/>
            <w:right w:w="108" w:type="dxa"/>
          </w:tblCellMar>
        </w:tblPrEx>
        <w:trPr>
          <w:cantSplit/>
          <w:tblHeader/>
        </w:trPr>
        <w:tc>
          <w:tcPr>
            <w:tcW w:w="893" w:type="dxa"/>
            <w:tcBorders>
              <w:top w:val="single" w:color="000000" w:sz="8" w:space="0"/>
              <w:bottom w:val="single" w:color="000000" w:sz="8" w:space="0"/>
            </w:tcBorders>
            <w:vAlign w:val="center"/>
          </w:tcPr>
          <w:p w14:paraId="330C55B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测量</w:t>
            </w:r>
          </w:p>
        </w:tc>
        <w:tc>
          <w:tcPr>
            <w:tcW w:w="935" w:type="dxa"/>
            <w:tcBorders>
              <w:top w:val="single" w:color="000000" w:sz="8" w:space="0"/>
              <w:bottom w:val="single" w:color="000000" w:sz="8" w:space="0"/>
            </w:tcBorders>
            <w:vAlign w:val="center"/>
          </w:tcPr>
          <w:p w14:paraId="4F68DE8F">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937" w:type="dxa"/>
            <w:tcBorders>
              <w:top w:val="single" w:color="000000" w:sz="8" w:space="0"/>
              <w:bottom w:val="single" w:color="000000" w:sz="8" w:space="0"/>
            </w:tcBorders>
            <w:vAlign w:val="center"/>
          </w:tcPr>
          <w:p w14:paraId="4FA7AE2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1" w:type="dxa"/>
            <w:tcBorders>
              <w:top w:val="single" w:color="000000" w:sz="8" w:space="0"/>
              <w:bottom w:val="single" w:color="000000" w:sz="8" w:space="0"/>
            </w:tcBorders>
            <w:vAlign w:val="center"/>
          </w:tcPr>
          <w:p w14:paraId="70E1EFB2">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均值差</w:t>
            </w:r>
          </w:p>
        </w:tc>
        <w:tc>
          <w:tcPr>
            <w:tcW w:w="2563" w:type="dxa"/>
            <w:tcBorders>
              <w:top w:val="single" w:color="000000" w:sz="8" w:space="0"/>
              <w:bottom w:val="single" w:color="000000" w:sz="8" w:space="0"/>
            </w:tcBorders>
            <w:vAlign w:val="center"/>
          </w:tcPr>
          <w:p w14:paraId="783CBB5D">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95%CI</w:t>
            </w:r>
          </w:p>
        </w:tc>
        <w:tc>
          <w:tcPr>
            <w:tcW w:w="1153" w:type="dxa"/>
            <w:tcBorders>
              <w:top w:val="single" w:color="000000" w:sz="8" w:space="0"/>
              <w:bottom w:val="single" w:color="000000" w:sz="8" w:space="0"/>
            </w:tcBorders>
            <w:vAlign w:val="center"/>
          </w:tcPr>
          <w:p w14:paraId="1AF8B97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t</w:t>
            </w:r>
          </w:p>
        </w:tc>
        <w:tc>
          <w:tcPr>
            <w:tcW w:w="1152" w:type="dxa"/>
            <w:tcBorders>
              <w:top w:val="single" w:color="000000" w:sz="8" w:space="0"/>
              <w:bottom w:val="single" w:color="000000" w:sz="8" w:space="0"/>
            </w:tcBorders>
            <w:vAlign w:val="center"/>
          </w:tcPr>
          <w:p w14:paraId="48F0FED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p</w:t>
            </w:r>
          </w:p>
        </w:tc>
      </w:tr>
      <w:tr w14:paraId="11A12FB6">
        <w:tblPrEx>
          <w:tblCellMar>
            <w:top w:w="0" w:type="dxa"/>
            <w:left w:w="108" w:type="dxa"/>
            <w:bottom w:w="0" w:type="dxa"/>
            <w:right w:w="108" w:type="dxa"/>
          </w:tblCellMar>
        </w:tblPrEx>
        <w:trPr>
          <w:cantSplit/>
        </w:trPr>
        <w:tc>
          <w:tcPr>
            <w:tcW w:w="893" w:type="dxa"/>
            <w:vAlign w:val="center"/>
          </w:tcPr>
          <w:p w14:paraId="51A57D8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前测</w:t>
            </w:r>
          </w:p>
        </w:tc>
        <w:tc>
          <w:tcPr>
            <w:tcW w:w="935" w:type="dxa"/>
            <w:vAlign w:val="center"/>
          </w:tcPr>
          <w:p w14:paraId="51BB8BD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3.639</w:t>
            </w:r>
          </w:p>
        </w:tc>
        <w:tc>
          <w:tcPr>
            <w:tcW w:w="937" w:type="dxa"/>
            <w:vAlign w:val="center"/>
          </w:tcPr>
          <w:p w14:paraId="5E5C04C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0.952</w:t>
            </w:r>
          </w:p>
        </w:tc>
        <w:tc>
          <w:tcPr>
            <w:tcW w:w="1151" w:type="dxa"/>
            <w:vAlign w:val="center"/>
          </w:tcPr>
          <w:p w14:paraId="230EBC4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-2.093</w:t>
            </w:r>
          </w:p>
        </w:tc>
        <w:tc>
          <w:tcPr>
            <w:tcW w:w="2563" w:type="dxa"/>
            <w:vAlign w:val="center"/>
          </w:tcPr>
          <w:p w14:paraId="215F14E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-2.269～-1.917</w:t>
            </w:r>
          </w:p>
        </w:tc>
        <w:tc>
          <w:tcPr>
            <w:tcW w:w="1153" w:type="dxa"/>
            <w:vAlign w:val="center"/>
          </w:tcPr>
          <w:p w14:paraId="3FC0C5E9">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-23.448</w:t>
            </w:r>
          </w:p>
        </w:tc>
        <w:tc>
          <w:tcPr>
            <w:tcW w:w="1152" w:type="dxa"/>
            <w:vAlign w:val="center"/>
          </w:tcPr>
          <w:p w14:paraId="3BFED8F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＜0.001</w:t>
            </w:r>
          </w:p>
        </w:tc>
      </w:tr>
      <w:tr w14:paraId="3F487F28">
        <w:tblPrEx>
          <w:tblCellMar>
            <w:top w:w="0" w:type="dxa"/>
            <w:left w:w="108" w:type="dxa"/>
            <w:bottom w:w="0" w:type="dxa"/>
            <w:right w:w="108" w:type="dxa"/>
          </w:tblCellMar>
        </w:tblPrEx>
        <w:trPr>
          <w:cantSplit/>
        </w:trPr>
        <w:tc>
          <w:tcPr>
            <w:tcW w:w="893" w:type="dxa"/>
            <w:tcBorders>
              <w:bottom w:val="single" w:color="000000" w:sz="8" w:space="0"/>
            </w:tcBorders>
            <w:vAlign w:val="center"/>
          </w:tcPr>
          <w:p w14:paraId="3CD3D6D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后测</w:t>
            </w:r>
          </w:p>
        </w:tc>
        <w:tc>
          <w:tcPr>
            <w:tcW w:w="935" w:type="dxa"/>
            <w:tcBorders>
              <w:bottom w:val="single" w:color="000000" w:sz="8" w:space="0"/>
            </w:tcBorders>
            <w:vAlign w:val="center"/>
          </w:tcPr>
          <w:p w14:paraId="75DB693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1.546</w:t>
            </w:r>
          </w:p>
        </w:tc>
        <w:tc>
          <w:tcPr>
            <w:tcW w:w="937" w:type="dxa"/>
            <w:tcBorders>
              <w:bottom w:val="single" w:color="000000" w:sz="8" w:space="0"/>
            </w:tcBorders>
            <w:vAlign w:val="center"/>
          </w:tcPr>
          <w:p w14:paraId="4059E411">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0.623</w:t>
            </w:r>
          </w:p>
        </w:tc>
        <w:tc>
          <w:tcPr>
            <w:tcW w:w="1151" w:type="dxa"/>
            <w:tcBorders>
              <w:bottom w:val="single" w:color="000000" w:sz="8" w:space="0"/>
            </w:tcBorders>
            <w:vAlign w:val="center"/>
          </w:tcPr>
          <w:p w14:paraId="5C3635B9">
            <w:pPr>
              <w:keepNext/>
              <w:spacing w:before="0" w:after="0" w:line="240" w:lineRule="auto"/>
              <w:ind w:firstLine="0"/>
              <w:jc w:val="center"/>
              <w:rPr>
                <w:rFonts w:hint="eastAsia" w:ascii="宋体" w:hAnsi="宋体" w:eastAsia="宋体" w:cs="宋体"/>
              </w:rPr>
            </w:pPr>
          </w:p>
        </w:tc>
        <w:tc>
          <w:tcPr>
            <w:tcW w:w="2563" w:type="dxa"/>
            <w:tcBorders>
              <w:bottom w:val="single" w:color="000000" w:sz="8" w:space="0"/>
            </w:tcBorders>
            <w:vAlign w:val="center"/>
          </w:tcPr>
          <w:p w14:paraId="23F999B2">
            <w:pPr>
              <w:keepNext/>
              <w:spacing w:before="0" w:after="0" w:line="240" w:lineRule="auto"/>
              <w:ind w:firstLine="0"/>
              <w:jc w:val="center"/>
              <w:rPr>
                <w:rFonts w:hint="eastAsia" w:ascii="宋体" w:hAnsi="宋体" w:eastAsia="宋体" w:cs="宋体"/>
              </w:rPr>
            </w:pPr>
          </w:p>
        </w:tc>
        <w:tc>
          <w:tcPr>
            <w:tcW w:w="1153" w:type="dxa"/>
            <w:tcBorders>
              <w:bottom w:val="single" w:color="000000" w:sz="8" w:space="0"/>
            </w:tcBorders>
            <w:vAlign w:val="center"/>
          </w:tcPr>
          <w:p w14:paraId="7AF4F3B8">
            <w:pPr>
              <w:keepNext/>
              <w:spacing w:before="0" w:after="0" w:line="240" w:lineRule="auto"/>
              <w:ind w:firstLine="0"/>
              <w:jc w:val="center"/>
              <w:rPr>
                <w:rFonts w:hint="eastAsia" w:ascii="宋体" w:hAnsi="宋体" w:eastAsia="宋体" w:cs="宋体"/>
              </w:rPr>
            </w:pPr>
          </w:p>
        </w:tc>
        <w:tc>
          <w:tcPr>
            <w:tcW w:w="1152" w:type="dxa"/>
            <w:tcBorders>
              <w:bottom w:val="single" w:color="000000" w:sz="8" w:space="0"/>
            </w:tcBorders>
            <w:vAlign w:val="center"/>
          </w:tcPr>
          <w:p w14:paraId="71017A03">
            <w:pPr>
              <w:keepNext/>
              <w:spacing w:before="0" w:after="0" w:line="240" w:lineRule="auto"/>
              <w:ind w:firstLine="0"/>
              <w:jc w:val="center"/>
              <w:rPr>
                <w:rFonts w:hint="eastAsia" w:ascii="宋体" w:hAnsi="宋体" w:eastAsia="宋体" w:cs="宋体"/>
              </w:rPr>
            </w:pPr>
          </w:p>
        </w:tc>
      </w:tr>
    </w:tbl>
    <w:p w14:paraId="622F0399">
      <w:pPr>
        <w:spacing w:before="120" w:after="0" w:line="240" w:lineRule="auto"/>
        <w:ind w:firstLine="0"/>
        <w:jc w:val="left"/>
        <w:rPr>
          <w:rFonts w:hint="eastAsia" w:ascii="宋体" w:hAnsi="宋体" w:eastAsia="宋体" w:cs="宋体"/>
        </w:rPr>
      </w:pPr>
      <w:r>
        <w:rPr>
          <w:rFonts w:hint="eastAsia" w:ascii="宋体" w:hAnsi="宋体" w:eastAsia="宋体" w:cs="宋体"/>
          <w:b w:val="0"/>
          <w:sz w:val="21"/>
        </w:rPr>
        <w:t>注：均值差为后测减前测；df＝162；配对差SD＝1.140；dz＝-1.837。Holm校正后p＜0.001。</w:t>
      </w:r>
    </w:p>
    <w:p w14:paraId="6DF1DCF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现实开展阻碍均值由3.639降至1.546，平均下降2.093分，95%CI为－2.269～－1.917，t（162）＝－23.448，Holm校正后p＜0.001，dz＝－1.837。负向差值表示教师对现实阻碍表述的认同下降。对课题实施而言，这一结果支持教师主观实施困难有所减轻的判断，为相关教学做法持续推进提供了积极线索。它与课堂实践及自我效能的提高形成呼应，表明教师在更加积极地开展教学尝试的同时，对实施可行性的感受也有所改善。开放性回答仍保留课时、分层与评价方面的困难，因此更适宜将成效概括为实施阻碍感受减轻、实践条件的主观评价改善，而非客观问题已经消除。后测阻碍题引导语与前测存在差异，仍需结合这一可比性限制解释下降幅度。</w:t>
      </w:r>
    </w:p>
    <w:p w14:paraId="073100DC">
      <w:pPr>
        <w:pStyle w:val="3"/>
        <w:keepNext/>
        <w:ind w:firstLine="0" w:firstLineChars="0"/>
        <w:outlineLvl w:val="3"/>
        <w:rPr>
          <w:rFonts w:hint="eastAsia" w:ascii="宋体" w:hAnsi="宋体" w:eastAsia="宋体" w:cs="宋体"/>
        </w:rPr>
      </w:pPr>
      <w:bookmarkStart w:id="111" w:name="_Toc1515"/>
      <w:r>
        <w:rPr>
          <w:rFonts w:hint="eastAsia" w:ascii="宋体" w:hAnsi="宋体" w:eastAsia="宋体" w:cs="宋体"/>
          <w:b/>
          <w:sz w:val="28"/>
          <w:lang w:eastAsia="zh-CN"/>
        </w:rPr>
        <w:t>（</w:t>
      </w:r>
      <w:r>
        <w:rPr>
          <w:rFonts w:hint="eastAsia" w:ascii="宋体" w:hAnsi="宋体" w:eastAsia="宋体" w:cs="宋体"/>
          <w:b/>
          <w:sz w:val="28"/>
          <w:lang w:val="en-US" w:eastAsia="zh-CN"/>
        </w:rPr>
        <w:t>3）</w:t>
      </w:r>
      <w:r>
        <w:rPr>
          <w:rFonts w:hint="eastAsia" w:ascii="宋体" w:hAnsi="宋体" w:eastAsia="宋体" w:cs="宋体"/>
          <w:b/>
          <w:sz w:val="28"/>
        </w:rPr>
        <w:t>后测新增题目的补充分析</w:t>
      </w:r>
      <w:bookmarkEnd w:id="111"/>
    </w:p>
    <w:p w14:paraId="7DB8F19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以下分析限定于纳入比较的163份后测记录，积极选择指“符合”或“完全符合”。新增题目反映教师对阶段学习和实践的主观感受，因无相同题目的前测基线，仅作描述性补充，不进行前后测配对检验。</w:t>
      </w:r>
    </w:p>
    <w:p w14:paraId="130225A9">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表3-75  后测新增评分题的描述性结果</w:t>
      </w:r>
    </w:p>
    <w:tbl>
      <w:tblPr>
        <w:tblStyle w:val="12"/>
        <w:tblW w:w="9504" w:type="dxa"/>
        <w:tblInd w:w="0" w:type="dxa"/>
        <w:tblLayout w:type="fixed"/>
        <w:tblCellMar>
          <w:top w:w="0" w:type="dxa"/>
          <w:left w:w="108" w:type="dxa"/>
          <w:bottom w:w="0" w:type="dxa"/>
          <w:right w:w="108" w:type="dxa"/>
        </w:tblCellMar>
      </w:tblPr>
      <w:tblGrid>
        <w:gridCol w:w="5039"/>
        <w:gridCol w:w="1009"/>
        <w:gridCol w:w="1007"/>
        <w:gridCol w:w="1152"/>
        <w:gridCol w:w="1297"/>
      </w:tblGrid>
      <w:tr w14:paraId="7B4DB53B">
        <w:tblPrEx>
          <w:tblCellMar>
            <w:top w:w="0" w:type="dxa"/>
            <w:left w:w="108" w:type="dxa"/>
            <w:bottom w:w="0" w:type="dxa"/>
            <w:right w:w="108" w:type="dxa"/>
          </w:tblCellMar>
        </w:tblPrEx>
        <w:trPr>
          <w:cantSplit/>
          <w:tblHeader/>
        </w:trPr>
        <w:tc>
          <w:tcPr>
            <w:tcW w:w="5039" w:type="dxa"/>
            <w:tcBorders>
              <w:top w:val="single" w:color="000000" w:sz="8" w:space="0"/>
              <w:bottom w:val="single" w:color="000000" w:sz="8" w:space="0"/>
            </w:tcBorders>
            <w:vAlign w:val="center"/>
          </w:tcPr>
          <w:p w14:paraId="26592EC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题项</w:t>
            </w:r>
          </w:p>
        </w:tc>
        <w:tc>
          <w:tcPr>
            <w:tcW w:w="1009" w:type="dxa"/>
            <w:tcBorders>
              <w:top w:val="single" w:color="000000" w:sz="8" w:space="0"/>
              <w:bottom w:val="single" w:color="000000" w:sz="8" w:space="0"/>
            </w:tcBorders>
            <w:vAlign w:val="center"/>
          </w:tcPr>
          <w:p w14:paraId="05F38AE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M</w:t>
            </w:r>
          </w:p>
        </w:tc>
        <w:tc>
          <w:tcPr>
            <w:tcW w:w="1007" w:type="dxa"/>
            <w:tcBorders>
              <w:top w:val="single" w:color="000000" w:sz="8" w:space="0"/>
              <w:bottom w:val="single" w:color="000000" w:sz="8" w:space="0"/>
            </w:tcBorders>
            <w:vAlign w:val="center"/>
          </w:tcPr>
          <w:p w14:paraId="68C6474A">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SD</w:t>
            </w:r>
          </w:p>
        </w:tc>
        <w:tc>
          <w:tcPr>
            <w:tcW w:w="1152" w:type="dxa"/>
            <w:tcBorders>
              <w:top w:val="single" w:color="000000" w:sz="8" w:space="0"/>
              <w:bottom w:val="single" w:color="000000" w:sz="8" w:space="0"/>
            </w:tcBorders>
            <w:vAlign w:val="center"/>
          </w:tcPr>
          <w:p w14:paraId="7D410E20">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积极人数</w:t>
            </w:r>
          </w:p>
        </w:tc>
        <w:tc>
          <w:tcPr>
            <w:tcW w:w="1297" w:type="dxa"/>
            <w:tcBorders>
              <w:top w:val="single" w:color="000000" w:sz="8" w:space="0"/>
              <w:bottom w:val="single" w:color="000000" w:sz="8" w:space="0"/>
            </w:tcBorders>
            <w:vAlign w:val="center"/>
          </w:tcPr>
          <w:p w14:paraId="435B0E8B">
            <w:pPr>
              <w:keepNext/>
              <w:spacing w:before="0" w:after="0" w:line="240" w:lineRule="auto"/>
              <w:ind w:firstLine="0"/>
              <w:jc w:val="center"/>
              <w:rPr>
                <w:rFonts w:hint="eastAsia" w:ascii="宋体" w:hAnsi="宋体" w:eastAsia="宋体" w:cs="宋体"/>
              </w:rPr>
            </w:pPr>
            <w:r>
              <w:rPr>
                <w:rFonts w:hint="eastAsia" w:ascii="宋体" w:hAnsi="宋体" w:eastAsia="宋体" w:cs="宋体"/>
                <w:b/>
                <w:sz w:val="21"/>
              </w:rPr>
              <w:t>比例（%）</w:t>
            </w:r>
          </w:p>
        </w:tc>
      </w:tr>
      <w:tr w14:paraId="6781D0F7">
        <w:tblPrEx>
          <w:tblCellMar>
            <w:top w:w="0" w:type="dxa"/>
            <w:left w:w="108" w:type="dxa"/>
            <w:bottom w:w="0" w:type="dxa"/>
            <w:right w:w="108" w:type="dxa"/>
          </w:tblCellMar>
        </w:tblPrEx>
        <w:trPr>
          <w:cantSplit/>
        </w:trPr>
        <w:tc>
          <w:tcPr>
            <w:tcW w:w="5039" w:type="dxa"/>
            <w:vAlign w:val="center"/>
          </w:tcPr>
          <w:p w14:paraId="2D895766">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我对什么是高阶能力的理解更加清晰了</w:t>
            </w:r>
          </w:p>
        </w:tc>
        <w:tc>
          <w:tcPr>
            <w:tcW w:w="1009" w:type="dxa"/>
            <w:vAlign w:val="center"/>
          </w:tcPr>
          <w:p w14:paraId="12A40304">
            <w:pPr>
              <w:spacing w:before="0" w:after="0" w:line="240" w:lineRule="auto"/>
              <w:ind w:firstLine="0"/>
              <w:jc w:val="center"/>
              <w:rPr>
                <w:rFonts w:hint="eastAsia" w:ascii="宋体" w:hAnsi="宋体" w:eastAsia="宋体" w:cs="宋体"/>
              </w:rPr>
            </w:pPr>
            <w:r>
              <w:rPr>
                <w:rFonts w:hint="eastAsia" w:ascii="宋体" w:hAnsi="宋体" w:eastAsia="宋体" w:cs="宋体"/>
                <w:sz w:val="21"/>
              </w:rPr>
              <w:t>4.718</w:t>
            </w:r>
          </w:p>
        </w:tc>
        <w:tc>
          <w:tcPr>
            <w:tcW w:w="1007" w:type="dxa"/>
            <w:vAlign w:val="center"/>
          </w:tcPr>
          <w:p w14:paraId="5FF1CF58">
            <w:pPr>
              <w:spacing w:before="0" w:after="0" w:line="240" w:lineRule="auto"/>
              <w:ind w:firstLine="0"/>
              <w:jc w:val="center"/>
              <w:rPr>
                <w:rFonts w:hint="eastAsia" w:ascii="宋体" w:hAnsi="宋体" w:eastAsia="宋体" w:cs="宋体"/>
              </w:rPr>
            </w:pPr>
            <w:r>
              <w:rPr>
                <w:rFonts w:hint="eastAsia" w:ascii="宋体" w:hAnsi="宋体" w:eastAsia="宋体" w:cs="宋体"/>
                <w:sz w:val="21"/>
              </w:rPr>
              <w:t>0.906</w:t>
            </w:r>
          </w:p>
        </w:tc>
        <w:tc>
          <w:tcPr>
            <w:tcW w:w="1152" w:type="dxa"/>
            <w:vAlign w:val="center"/>
          </w:tcPr>
          <w:p w14:paraId="4C589A5B">
            <w:pPr>
              <w:spacing w:before="0" w:after="0" w:line="240" w:lineRule="auto"/>
              <w:ind w:firstLine="0"/>
              <w:jc w:val="center"/>
              <w:rPr>
                <w:rFonts w:hint="eastAsia" w:ascii="宋体" w:hAnsi="宋体" w:eastAsia="宋体" w:cs="宋体"/>
              </w:rPr>
            </w:pPr>
            <w:r>
              <w:rPr>
                <w:rFonts w:hint="eastAsia" w:ascii="宋体" w:hAnsi="宋体" w:eastAsia="宋体" w:cs="宋体"/>
                <w:sz w:val="21"/>
              </w:rPr>
              <w:t>147</w:t>
            </w:r>
          </w:p>
        </w:tc>
        <w:tc>
          <w:tcPr>
            <w:tcW w:w="1297" w:type="dxa"/>
            <w:vAlign w:val="center"/>
          </w:tcPr>
          <w:p w14:paraId="507FF1FE">
            <w:pPr>
              <w:spacing w:before="0" w:after="0" w:line="240" w:lineRule="auto"/>
              <w:ind w:firstLine="0"/>
              <w:jc w:val="center"/>
              <w:rPr>
                <w:rFonts w:hint="eastAsia" w:ascii="宋体" w:hAnsi="宋体" w:eastAsia="宋体" w:cs="宋体"/>
              </w:rPr>
            </w:pPr>
            <w:r>
              <w:rPr>
                <w:rFonts w:hint="eastAsia" w:ascii="宋体" w:hAnsi="宋体" w:eastAsia="宋体" w:cs="宋体"/>
                <w:sz w:val="21"/>
              </w:rPr>
              <w:t>90.18</w:t>
            </w:r>
          </w:p>
        </w:tc>
      </w:tr>
      <w:tr w14:paraId="454B58E6">
        <w:tblPrEx>
          <w:tblCellMar>
            <w:top w:w="0" w:type="dxa"/>
            <w:left w:w="108" w:type="dxa"/>
            <w:bottom w:w="0" w:type="dxa"/>
            <w:right w:w="108" w:type="dxa"/>
          </w:tblCellMar>
        </w:tblPrEx>
        <w:trPr>
          <w:cantSplit/>
        </w:trPr>
        <w:tc>
          <w:tcPr>
            <w:tcW w:w="5039" w:type="dxa"/>
            <w:vAlign w:val="center"/>
          </w:tcPr>
          <w:p w14:paraId="73D5BA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我认为高阶能力培育与学科教学质量提升并不矛盾，可以协同推进</w:t>
            </w:r>
          </w:p>
        </w:tc>
        <w:tc>
          <w:tcPr>
            <w:tcW w:w="1009" w:type="dxa"/>
            <w:vAlign w:val="center"/>
          </w:tcPr>
          <w:p w14:paraId="19A69661">
            <w:pPr>
              <w:spacing w:before="0" w:after="0" w:line="240" w:lineRule="auto"/>
              <w:ind w:firstLine="0"/>
              <w:jc w:val="center"/>
              <w:rPr>
                <w:rFonts w:hint="eastAsia" w:ascii="宋体" w:hAnsi="宋体" w:eastAsia="宋体" w:cs="宋体"/>
              </w:rPr>
            </w:pPr>
            <w:r>
              <w:rPr>
                <w:rFonts w:hint="eastAsia" w:ascii="宋体" w:hAnsi="宋体" w:eastAsia="宋体" w:cs="宋体"/>
                <w:sz w:val="21"/>
              </w:rPr>
              <w:t>4.748</w:t>
            </w:r>
          </w:p>
        </w:tc>
        <w:tc>
          <w:tcPr>
            <w:tcW w:w="1007" w:type="dxa"/>
            <w:vAlign w:val="center"/>
          </w:tcPr>
          <w:p w14:paraId="691AB089">
            <w:pPr>
              <w:spacing w:before="0" w:after="0" w:line="240" w:lineRule="auto"/>
              <w:ind w:firstLine="0"/>
              <w:jc w:val="center"/>
              <w:rPr>
                <w:rFonts w:hint="eastAsia" w:ascii="宋体" w:hAnsi="宋体" w:eastAsia="宋体" w:cs="宋体"/>
              </w:rPr>
            </w:pPr>
            <w:r>
              <w:rPr>
                <w:rFonts w:hint="eastAsia" w:ascii="宋体" w:hAnsi="宋体" w:eastAsia="宋体" w:cs="宋体"/>
                <w:sz w:val="21"/>
              </w:rPr>
              <w:t>0.891</w:t>
            </w:r>
          </w:p>
        </w:tc>
        <w:tc>
          <w:tcPr>
            <w:tcW w:w="1152" w:type="dxa"/>
            <w:vAlign w:val="center"/>
          </w:tcPr>
          <w:p w14:paraId="538877A8">
            <w:pPr>
              <w:spacing w:before="0" w:after="0" w:line="240" w:lineRule="auto"/>
              <w:ind w:firstLine="0"/>
              <w:jc w:val="center"/>
              <w:rPr>
                <w:rFonts w:hint="eastAsia" w:ascii="宋体" w:hAnsi="宋体" w:eastAsia="宋体" w:cs="宋体"/>
              </w:rPr>
            </w:pPr>
            <w:r>
              <w:rPr>
                <w:rFonts w:hint="eastAsia" w:ascii="宋体" w:hAnsi="宋体" w:eastAsia="宋体" w:cs="宋体"/>
                <w:sz w:val="21"/>
              </w:rPr>
              <w:t>150</w:t>
            </w:r>
          </w:p>
        </w:tc>
        <w:tc>
          <w:tcPr>
            <w:tcW w:w="1297" w:type="dxa"/>
            <w:vAlign w:val="center"/>
          </w:tcPr>
          <w:p w14:paraId="012A8D94">
            <w:pPr>
              <w:spacing w:before="0" w:after="0" w:line="240" w:lineRule="auto"/>
              <w:ind w:firstLine="0"/>
              <w:jc w:val="center"/>
              <w:rPr>
                <w:rFonts w:hint="eastAsia" w:ascii="宋体" w:hAnsi="宋体" w:eastAsia="宋体" w:cs="宋体"/>
              </w:rPr>
            </w:pPr>
            <w:r>
              <w:rPr>
                <w:rFonts w:hint="eastAsia" w:ascii="宋体" w:hAnsi="宋体" w:eastAsia="宋体" w:cs="宋体"/>
                <w:sz w:val="21"/>
              </w:rPr>
              <w:t>92.02</w:t>
            </w:r>
          </w:p>
        </w:tc>
      </w:tr>
      <w:tr w14:paraId="49A6926B">
        <w:tblPrEx>
          <w:tblCellMar>
            <w:top w:w="0" w:type="dxa"/>
            <w:left w:w="108" w:type="dxa"/>
            <w:bottom w:w="0" w:type="dxa"/>
            <w:right w:w="108" w:type="dxa"/>
          </w:tblCellMar>
        </w:tblPrEx>
        <w:trPr>
          <w:cantSplit/>
        </w:trPr>
        <w:tc>
          <w:tcPr>
            <w:tcW w:w="5039" w:type="dxa"/>
            <w:vAlign w:val="center"/>
          </w:tcPr>
          <w:p w14:paraId="4B0572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本阶段教学中，我已把培训中学到的某些方法实际用到课堂上</w:t>
            </w:r>
          </w:p>
        </w:tc>
        <w:tc>
          <w:tcPr>
            <w:tcW w:w="1009" w:type="dxa"/>
            <w:vAlign w:val="center"/>
          </w:tcPr>
          <w:p w14:paraId="11822696">
            <w:pPr>
              <w:spacing w:before="0" w:after="0" w:line="240" w:lineRule="auto"/>
              <w:ind w:firstLine="0"/>
              <w:jc w:val="center"/>
              <w:rPr>
                <w:rFonts w:hint="eastAsia" w:ascii="宋体" w:hAnsi="宋体" w:eastAsia="宋体" w:cs="宋体"/>
              </w:rPr>
            </w:pPr>
            <w:r>
              <w:rPr>
                <w:rFonts w:hint="eastAsia" w:ascii="宋体" w:hAnsi="宋体" w:eastAsia="宋体" w:cs="宋体"/>
                <w:sz w:val="21"/>
              </w:rPr>
              <w:t>4.963</w:t>
            </w:r>
          </w:p>
        </w:tc>
        <w:tc>
          <w:tcPr>
            <w:tcW w:w="1007" w:type="dxa"/>
            <w:vAlign w:val="center"/>
          </w:tcPr>
          <w:p w14:paraId="3C6CAA28">
            <w:pPr>
              <w:spacing w:before="0" w:after="0" w:line="240" w:lineRule="auto"/>
              <w:ind w:firstLine="0"/>
              <w:jc w:val="center"/>
              <w:rPr>
                <w:rFonts w:hint="eastAsia" w:ascii="宋体" w:hAnsi="宋体" w:eastAsia="宋体" w:cs="宋体"/>
              </w:rPr>
            </w:pPr>
            <w:r>
              <w:rPr>
                <w:rFonts w:hint="eastAsia" w:ascii="宋体" w:hAnsi="宋体" w:eastAsia="宋体" w:cs="宋体"/>
                <w:sz w:val="21"/>
              </w:rPr>
              <w:t>0.349</w:t>
            </w:r>
          </w:p>
        </w:tc>
        <w:tc>
          <w:tcPr>
            <w:tcW w:w="1152" w:type="dxa"/>
            <w:vAlign w:val="center"/>
          </w:tcPr>
          <w:p w14:paraId="5369E9B0">
            <w:pPr>
              <w:spacing w:before="0" w:after="0" w:line="240" w:lineRule="auto"/>
              <w:ind w:firstLine="0"/>
              <w:jc w:val="center"/>
              <w:rPr>
                <w:rFonts w:hint="eastAsia" w:ascii="宋体" w:hAnsi="宋体" w:eastAsia="宋体" w:cs="宋体"/>
              </w:rPr>
            </w:pPr>
            <w:r>
              <w:rPr>
                <w:rFonts w:hint="eastAsia" w:ascii="宋体" w:hAnsi="宋体" w:eastAsia="宋体" w:cs="宋体"/>
                <w:sz w:val="21"/>
              </w:rPr>
              <w:t>161</w:t>
            </w:r>
          </w:p>
        </w:tc>
        <w:tc>
          <w:tcPr>
            <w:tcW w:w="1297" w:type="dxa"/>
            <w:vAlign w:val="center"/>
          </w:tcPr>
          <w:p w14:paraId="3BDF9FC9">
            <w:pPr>
              <w:spacing w:before="0" w:after="0" w:line="240" w:lineRule="auto"/>
              <w:ind w:firstLine="0"/>
              <w:jc w:val="center"/>
              <w:rPr>
                <w:rFonts w:hint="eastAsia" w:ascii="宋体" w:hAnsi="宋体" w:eastAsia="宋体" w:cs="宋体"/>
              </w:rPr>
            </w:pPr>
            <w:r>
              <w:rPr>
                <w:rFonts w:hint="eastAsia" w:ascii="宋体" w:hAnsi="宋体" w:eastAsia="宋体" w:cs="宋体"/>
                <w:sz w:val="21"/>
              </w:rPr>
              <w:t>98.77</w:t>
            </w:r>
          </w:p>
        </w:tc>
      </w:tr>
      <w:tr w14:paraId="532ADF45">
        <w:tblPrEx>
          <w:tblCellMar>
            <w:top w:w="0" w:type="dxa"/>
            <w:left w:w="108" w:type="dxa"/>
            <w:bottom w:w="0" w:type="dxa"/>
            <w:right w:w="108" w:type="dxa"/>
          </w:tblCellMar>
        </w:tblPrEx>
        <w:trPr>
          <w:cantSplit/>
        </w:trPr>
        <w:tc>
          <w:tcPr>
            <w:tcW w:w="5039" w:type="dxa"/>
            <w:vAlign w:val="center"/>
          </w:tcPr>
          <w:p w14:paraId="11CD95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相比前期，我在课堂上开展高阶活动的频率有所提高</w:t>
            </w:r>
          </w:p>
        </w:tc>
        <w:tc>
          <w:tcPr>
            <w:tcW w:w="1009" w:type="dxa"/>
            <w:vAlign w:val="center"/>
          </w:tcPr>
          <w:p w14:paraId="4F02607A">
            <w:pPr>
              <w:spacing w:before="0" w:after="0" w:line="240" w:lineRule="auto"/>
              <w:ind w:firstLine="0"/>
              <w:jc w:val="center"/>
              <w:rPr>
                <w:rFonts w:hint="eastAsia" w:ascii="宋体" w:hAnsi="宋体" w:eastAsia="宋体" w:cs="宋体"/>
              </w:rPr>
            </w:pPr>
            <w:r>
              <w:rPr>
                <w:rFonts w:hint="eastAsia" w:ascii="宋体" w:hAnsi="宋体" w:eastAsia="宋体" w:cs="宋体"/>
                <w:sz w:val="21"/>
              </w:rPr>
              <w:t>4.822</w:t>
            </w:r>
          </w:p>
        </w:tc>
        <w:tc>
          <w:tcPr>
            <w:tcW w:w="1007" w:type="dxa"/>
            <w:vAlign w:val="center"/>
          </w:tcPr>
          <w:p w14:paraId="6B17E5CA">
            <w:pPr>
              <w:spacing w:before="0" w:after="0" w:line="240" w:lineRule="auto"/>
              <w:ind w:firstLine="0"/>
              <w:jc w:val="center"/>
              <w:rPr>
                <w:rFonts w:hint="eastAsia" w:ascii="宋体" w:hAnsi="宋体" w:eastAsia="宋体" w:cs="宋体"/>
              </w:rPr>
            </w:pPr>
            <w:r>
              <w:rPr>
                <w:rFonts w:hint="eastAsia" w:ascii="宋体" w:hAnsi="宋体" w:eastAsia="宋体" w:cs="宋体"/>
                <w:sz w:val="21"/>
              </w:rPr>
              <w:t>0.769</w:t>
            </w:r>
          </w:p>
        </w:tc>
        <w:tc>
          <w:tcPr>
            <w:tcW w:w="1152" w:type="dxa"/>
            <w:vAlign w:val="center"/>
          </w:tcPr>
          <w:p w14:paraId="686EE7B4">
            <w:pPr>
              <w:spacing w:before="0" w:after="0" w:line="240" w:lineRule="auto"/>
              <w:ind w:firstLine="0"/>
              <w:jc w:val="center"/>
              <w:rPr>
                <w:rFonts w:hint="eastAsia" w:ascii="宋体" w:hAnsi="宋体" w:eastAsia="宋体" w:cs="宋体"/>
              </w:rPr>
            </w:pPr>
            <w:r>
              <w:rPr>
                <w:rFonts w:hint="eastAsia" w:ascii="宋体" w:hAnsi="宋体" w:eastAsia="宋体" w:cs="宋体"/>
                <w:sz w:val="21"/>
              </w:rPr>
              <w:t>154</w:t>
            </w:r>
          </w:p>
        </w:tc>
        <w:tc>
          <w:tcPr>
            <w:tcW w:w="1297" w:type="dxa"/>
            <w:vAlign w:val="center"/>
          </w:tcPr>
          <w:p w14:paraId="76281671">
            <w:pPr>
              <w:spacing w:before="0" w:after="0" w:line="240" w:lineRule="auto"/>
              <w:ind w:firstLine="0"/>
              <w:jc w:val="center"/>
              <w:rPr>
                <w:rFonts w:hint="eastAsia" w:ascii="宋体" w:hAnsi="宋体" w:eastAsia="宋体" w:cs="宋体"/>
              </w:rPr>
            </w:pPr>
            <w:r>
              <w:rPr>
                <w:rFonts w:hint="eastAsia" w:ascii="宋体" w:hAnsi="宋体" w:eastAsia="宋体" w:cs="宋体"/>
                <w:sz w:val="21"/>
              </w:rPr>
              <w:t>94.48</w:t>
            </w:r>
          </w:p>
        </w:tc>
      </w:tr>
      <w:tr w14:paraId="3FCD9FEE">
        <w:tblPrEx>
          <w:tblCellMar>
            <w:top w:w="0" w:type="dxa"/>
            <w:left w:w="108" w:type="dxa"/>
            <w:bottom w:w="0" w:type="dxa"/>
            <w:right w:w="108" w:type="dxa"/>
          </w:tblCellMar>
        </w:tblPrEx>
        <w:trPr>
          <w:cantSplit/>
        </w:trPr>
        <w:tc>
          <w:tcPr>
            <w:tcW w:w="5039" w:type="dxa"/>
            <w:tcBorders>
              <w:bottom w:val="single" w:color="000000" w:sz="8" w:space="0"/>
            </w:tcBorders>
            <w:vAlign w:val="center"/>
          </w:tcPr>
          <w:p w14:paraId="58CEF82B">
            <w:pPr>
              <w:keepNext/>
              <w:spacing w:before="0" w:after="0" w:line="240" w:lineRule="auto"/>
              <w:ind w:firstLine="0"/>
              <w:jc w:val="center"/>
              <w:rPr>
                <w:rFonts w:hint="eastAsia" w:ascii="宋体" w:hAnsi="宋体" w:eastAsia="宋体" w:cs="宋体"/>
              </w:rPr>
            </w:pPr>
            <w:r>
              <w:rPr>
                <w:rFonts w:hint="eastAsia" w:ascii="宋体" w:hAnsi="宋体" w:eastAsia="宋体" w:cs="宋体"/>
                <w:b w:val="0"/>
                <w:sz w:val="21"/>
              </w:rPr>
              <w:t>总体而言，本阶段我的高阶能力课堂教学能力相比之前有所提升</w:t>
            </w:r>
          </w:p>
        </w:tc>
        <w:tc>
          <w:tcPr>
            <w:tcW w:w="1009" w:type="dxa"/>
            <w:tcBorders>
              <w:bottom w:val="single" w:color="000000" w:sz="8" w:space="0"/>
            </w:tcBorders>
            <w:vAlign w:val="center"/>
          </w:tcPr>
          <w:p w14:paraId="48E05C1C">
            <w:pPr>
              <w:spacing w:before="0" w:after="0" w:line="240" w:lineRule="auto"/>
              <w:ind w:firstLine="0"/>
              <w:jc w:val="center"/>
              <w:rPr>
                <w:rFonts w:hint="eastAsia" w:ascii="宋体" w:hAnsi="宋体" w:eastAsia="宋体" w:cs="宋体"/>
              </w:rPr>
            </w:pPr>
            <w:r>
              <w:rPr>
                <w:rFonts w:hint="eastAsia" w:ascii="宋体" w:hAnsi="宋体" w:eastAsia="宋体" w:cs="宋体"/>
                <w:sz w:val="21"/>
              </w:rPr>
              <w:t>4.693</w:t>
            </w:r>
          </w:p>
        </w:tc>
        <w:tc>
          <w:tcPr>
            <w:tcW w:w="1007" w:type="dxa"/>
            <w:tcBorders>
              <w:bottom w:val="single" w:color="000000" w:sz="8" w:space="0"/>
            </w:tcBorders>
            <w:vAlign w:val="center"/>
          </w:tcPr>
          <w:p w14:paraId="35AA7109">
            <w:pPr>
              <w:spacing w:before="0" w:after="0" w:line="240" w:lineRule="auto"/>
              <w:ind w:firstLine="0"/>
              <w:jc w:val="center"/>
              <w:rPr>
                <w:rFonts w:hint="eastAsia" w:ascii="宋体" w:hAnsi="宋体" w:eastAsia="宋体" w:cs="宋体"/>
              </w:rPr>
            </w:pPr>
            <w:r>
              <w:rPr>
                <w:rFonts w:hint="eastAsia" w:ascii="宋体" w:hAnsi="宋体" w:eastAsia="宋体" w:cs="宋体"/>
                <w:sz w:val="21"/>
              </w:rPr>
              <w:t>0.697</w:t>
            </w:r>
          </w:p>
        </w:tc>
        <w:tc>
          <w:tcPr>
            <w:tcW w:w="1152" w:type="dxa"/>
            <w:tcBorders>
              <w:bottom w:val="single" w:color="000000" w:sz="8" w:space="0"/>
            </w:tcBorders>
            <w:vAlign w:val="center"/>
          </w:tcPr>
          <w:p w14:paraId="07EB44F4">
            <w:pPr>
              <w:spacing w:before="0" w:after="0" w:line="240" w:lineRule="auto"/>
              <w:ind w:firstLine="0"/>
              <w:jc w:val="center"/>
              <w:rPr>
                <w:rFonts w:hint="eastAsia" w:ascii="宋体" w:hAnsi="宋体" w:eastAsia="宋体" w:cs="宋体"/>
              </w:rPr>
            </w:pPr>
            <w:r>
              <w:rPr>
                <w:rFonts w:hint="eastAsia" w:ascii="宋体" w:hAnsi="宋体" w:eastAsia="宋体" w:cs="宋体"/>
                <w:sz w:val="21"/>
              </w:rPr>
              <w:t>155</w:t>
            </w:r>
          </w:p>
        </w:tc>
        <w:tc>
          <w:tcPr>
            <w:tcW w:w="1297" w:type="dxa"/>
            <w:tcBorders>
              <w:bottom w:val="single" w:color="000000" w:sz="8" w:space="0"/>
            </w:tcBorders>
            <w:vAlign w:val="center"/>
          </w:tcPr>
          <w:p w14:paraId="1E155AF2">
            <w:pPr>
              <w:spacing w:before="0" w:after="0" w:line="240" w:lineRule="auto"/>
              <w:ind w:firstLine="0"/>
              <w:jc w:val="center"/>
              <w:rPr>
                <w:rFonts w:hint="eastAsia" w:ascii="宋体" w:hAnsi="宋体" w:eastAsia="宋体" w:cs="宋体"/>
              </w:rPr>
            </w:pPr>
            <w:r>
              <w:rPr>
                <w:rFonts w:hint="eastAsia" w:ascii="宋体" w:hAnsi="宋体" w:eastAsia="宋体" w:cs="宋体"/>
                <w:sz w:val="21"/>
              </w:rPr>
              <w:t>95.09</w:t>
            </w:r>
          </w:p>
        </w:tc>
      </w:tr>
    </w:tbl>
    <w:p w14:paraId="22EB49A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161位教师（98.77%）认可已将培训中的某些方法用于课堂，154位（94.48%）认可高阶活动频率提高，与课堂教学实践维度的变化方向相呼应。147位（90.18%）认可自身理解更加清晰，155位（95.09%）认可课堂教学能力有所提升，分别为认知与自我效能的变化提供补充线索。新增题目是后测回顾性评价，不能代替相同题项的前后测检验；方法应用题均值为4.963分，接近上限，亦提示回答明显集中于高分。</w:t>
      </w:r>
    </w:p>
    <w:p w14:paraId="2C5AE8B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在163位教师中，146位对培训或教研活动表示“满意”或“很满意”，占89.57%；121位认为培训“有较大帮助”或“帮助很大”，占74.23%。这些结果可作为培训接受度和主观实用性的补充证据，不直接作为学生学习成效的证明。</w:t>
      </w:r>
    </w:p>
    <w:p w14:paraId="62F67DF9">
      <w:pPr>
        <w:keepNext/>
        <w:pageBreakBefore w:val="0"/>
        <w:overflowPunct w:val="0"/>
        <w:bidi w:val="0"/>
        <w:snapToGrid w:val="0"/>
        <w:spacing w:before="0" w:after="0" w:line="360" w:lineRule="auto"/>
        <w:ind w:firstLine="480" w:firstLineChars="0"/>
        <w:jc w:val="both"/>
        <w:textAlignment w:val="auto"/>
        <w:outlineLvl w:val="3"/>
        <w:rPr>
          <w:rFonts w:hint="eastAsia" w:ascii="宋体" w:hAnsi="宋体" w:eastAsia="宋体" w:cs="宋体"/>
          <w:b/>
          <w:sz w:val="24"/>
        </w:rPr>
      </w:pPr>
      <w:bookmarkStart w:id="112" w:name="_Toc13690"/>
      <w:r>
        <w:rPr>
          <w:rFonts w:hint="eastAsia" w:ascii="宋体" w:hAnsi="宋体" w:eastAsia="宋体" w:cs="宋体"/>
          <w:b w:val="0"/>
          <w:sz w:val="24"/>
          <w:lang w:eastAsia="zh-CN"/>
        </w:rPr>
        <w:t>（</w:t>
      </w:r>
      <w:r>
        <w:rPr>
          <w:rFonts w:hint="eastAsia" w:ascii="宋体" w:hAnsi="宋体" w:eastAsia="宋体" w:cs="宋体"/>
          <w:b w:val="0"/>
          <w:sz w:val="24"/>
          <w:lang w:val="en-US" w:eastAsia="zh-CN"/>
        </w:rPr>
        <w:t>4）</w:t>
      </w:r>
      <w:r>
        <w:rPr>
          <w:rFonts w:hint="eastAsia" w:ascii="宋体" w:hAnsi="宋体" w:eastAsia="宋体" w:cs="宋体"/>
          <w:b w:val="0"/>
          <w:sz w:val="24"/>
        </w:rPr>
        <w:t>教师开放性回答的质性分析</w:t>
      </w:r>
      <w:bookmarkEnd w:id="112"/>
    </w:p>
    <w:p w14:paraId="18200F45">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1）编码对象与方法</w:t>
      </w:r>
    </w:p>
    <w:p w14:paraId="702665F7">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5EB0FA2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FEEEB7E">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后测开放题的提问结构不完全相同，前测主要询问想法、顾虑和建议，后测同时包含实践感受、困难与建议。因此，本研究只对前后文本进行主题对应和内容归纳，不直接用主题频次的增减解释教师发生了何种程度的变化，以避免将题目结构差异误判为研究成效。</w:t>
      </w:r>
    </w:p>
    <w:p w14:paraId="1C46D23F">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2）前测文本编码</w:t>
      </w:r>
    </w:p>
    <w:p w14:paraId="6D12D10B">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20CB8A9D">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表3-76  教师前测开放性回答三级编码表</w:t>
      </w:r>
    </w:p>
    <w:tbl>
      <w:tblPr>
        <w:tblStyle w:val="12"/>
        <w:tblW w:w="10694" w:type="dxa"/>
        <w:jc w:val="center"/>
        <w:tblLayout w:type="fixed"/>
        <w:tblCellMar>
          <w:top w:w="0" w:type="dxa"/>
          <w:left w:w="0" w:type="dxa"/>
          <w:bottom w:w="0" w:type="dxa"/>
          <w:right w:w="0" w:type="dxa"/>
        </w:tblCellMar>
      </w:tblPr>
      <w:tblGrid>
        <w:gridCol w:w="2483"/>
        <w:gridCol w:w="2495"/>
        <w:gridCol w:w="2010"/>
        <w:gridCol w:w="706"/>
        <w:gridCol w:w="3000"/>
      </w:tblGrid>
      <w:tr w14:paraId="4A4E4EE8">
        <w:tblPrEx>
          <w:tblCellMar>
            <w:top w:w="0" w:type="dxa"/>
            <w:left w:w="0" w:type="dxa"/>
            <w:bottom w:w="0" w:type="dxa"/>
            <w:right w:w="0" w:type="dxa"/>
          </w:tblCellMar>
        </w:tblPrEx>
        <w:trPr>
          <w:cantSplit/>
          <w:tblHeader/>
          <w:jc w:val="center"/>
        </w:trPr>
        <w:tc>
          <w:tcPr>
            <w:tcW w:w="2483" w:type="dxa"/>
            <w:tcBorders>
              <w:top w:val="single" w:color="000000" w:sz="12" w:space="0"/>
              <w:bottom w:val="single" w:color="000000" w:sz="6" w:space="0"/>
            </w:tcBorders>
            <w:shd w:val="clear" w:color="auto" w:fill="FFFFFF"/>
            <w:vAlign w:val="center"/>
          </w:tcPr>
          <w:p w14:paraId="5F17DCD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2495" w:type="dxa"/>
            <w:tcBorders>
              <w:top w:val="single" w:color="000000" w:sz="12" w:space="0"/>
              <w:bottom w:val="single" w:color="000000" w:sz="6" w:space="0"/>
            </w:tcBorders>
            <w:shd w:val="clear" w:color="auto" w:fill="FFFFFF"/>
            <w:vAlign w:val="center"/>
          </w:tcPr>
          <w:p w14:paraId="708A390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2010" w:type="dxa"/>
            <w:tcBorders>
              <w:top w:val="single" w:color="000000" w:sz="12" w:space="0"/>
              <w:bottom w:val="single" w:color="000000" w:sz="6" w:space="0"/>
            </w:tcBorders>
            <w:shd w:val="clear" w:color="auto" w:fill="FFFFFF"/>
            <w:vAlign w:val="center"/>
          </w:tcPr>
          <w:p w14:paraId="56FB6DB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706" w:type="dxa"/>
            <w:tcBorders>
              <w:top w:val="single" w:color="000000" w:sz="12" w:space="0"/>
              <w:bottom w:val="single" w:color="000000" w:sz="6" w:space="0"/>
            </w:tcBorders>
            <w:shd w:val="clear" w:color="auto" w:fill="FFFFFF"/>
            <w:vAlign w:val="center"/>
          </w:tcPr>
          <w:p w14:paraId="7C1D3EC9">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w:t>
            </w:r>
          </w:p>
          <w:p w14:paraId="7DF6782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回答数</w:t>
            </w:r>
          </w:p>
        </w:tc>
        <w:tc>
          <w:tcPr>
            <w:tcW w:w="3000" w:type="dxa"/>
            <w:tcBorders>
              <w:top w:val="single" w:color="000000" w:sz="12" w:space="0"/>
              <w:bottom w:val="single" w:color="000000" w:sz="6" w:space="0"/>
            </w:tcBorders>
            <w:shd w:val="clear" w:color="auto" w:fill="FFFFFF"/>
            <w:vAlign w:val="center"/>
          </w:tcPr>
          <w:p w14:paraId="48D7242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代表性原始表达</w:t>
            </w:r>
          </w:p>
        </w:tc>
      </w:tr>
      <w:tr w14:paraId="4F3BCE31">
        <w:tblPrEx>
          <w:tblCellMar>
            <w:top w:w="0" w:type="dxa"/>
            <w:left w:w="0" w:type="dxa"/>
            <w:bottom w:w="0" w:type="dxa"/>
            <w:right w:w="0" w:type="dxa"/>
          </w:tblCellMar>
        </w:tblPrEx>
        <w:trPr>
          <w:cantSplit/>
          <w:jc w:val="center"/>
        </w:trPr>
        <w:tc>
          <w:tcPr>
            <w:tcW w:w="2483" w:type="dxa"/>
            <w:shd w:val="clear" w:color="auto" w:fill="FFFFFF"/>
            <w:vAlign w:val="center"/>
          </w:tcPr>
          <w:p w14:paraId="757A31A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有必要；思辨能力；终身学习；中考改革；核心素养；教师转变观念</w:t>
            </w:r>
          </w:p>
        </w:tc>
        <w:tc>
          <w:tcPr>
            <w:tcW w:w="2495" w:type="dxa"/>
            <w:shd w:val="clear" w:color="auto" w:fill="FFFFFF"/>
            <w:vAlign w:val="center"/>
          </w:tcPr>
          <w:p w14:paraId="1829DAE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育人价值认同；发展价值认同；教师观念转变</w:t>
            </w:r>
          </w:p>
        </w:tc>
        <w:tc>
          <w:tcPr>
            <w:tcW w:w="2010" w:type="dxa"/>
            <w:shd w:val="clear" w:color="auto" w:fill="FFFFFF"/>
            <w:vAlign w:val="center"/>
          </w:tcPr>
          <w:p w14:paraId="1F82563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高阶能力培育的价值认同与理念</w:t>
            </w:r>
          </w:p>
        </w:tc>
        <w:tc>
          <w:tcPr>
            <w:tcW w:w="706" w:type="dxa"/>
            <w:shd w:val="clear" w:color="auto" w:fill="FFFFFF"/>
            <w:vAlign w:val="center"/>
          </w:tcPr>
          <w:p w14:paraId="724AD26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4585263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“很有必要”；“培养学生思辩能力”；“希望每位教师转变观念接受高阶思维教育”</w:t>
            </w:r>
          </w:p>
        </w:tc>
      </w:tr>
      <w:tr w14:paraId="205DE837">
        <w:tblPrEx>
          <w:tblCellMar>
            <w:top w:w="0" w:type="dxa"/>
            <w:left w:w="0" w:type="dxa"/>
            <w:bottom w:w="0" w:type="dxa"/>
            <w:right w:w="0" w:type="dxa"/>
          </w:tblCellMar>
        </w:tblPrEx>
        <w:trPr>
          <w:cantSplit/>
          <w:jc w:val="center"/>
        </w:trPr>
        <w:tc>
          <w:tcPr>
            <w:tcW w:w="2483" w:type="dxa"/>
            <w:shd w:val="clear" w:color="auto" w:fill="FFFFFF"/>
            <w:vAlign w:val="center"/>
          </w:tcPr>
          <w:p w14:paraId="375E25B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设计相关问题；探究活动；项目式学习；真实情境；多学科融合；大思政</w:t>
            </w:r>
          </w:p>
        </w:tc>
        <w:tc>
          <w:tcPr>
            <w:tcW w:w="2495" w:type="dxa"/>
            <w:shd w:val="clear" w:color="auto" w:fill="FFFFFF"/>
            <w:vAlign w:val="center"/>
          </w:tcPr>
          <w:p w14:paraId="3375BBA4">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问题设计；探究活动；项目学习；真实任务；课程融合</w:t>
            </w:r>
          </w:p>
        </w:tc>
        <w:tc>
          <w:tcPr>
            <w:tcW w:w="2010" w:type="dxa"/>
            <w:shd w:val="clear" w:color="auto" w:fill="FFFFFF"/>
            <w:vAlign w:val="center"/>
          </w:tcPr>
          <w:p w14:paraId="20F319C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高阶课堂设计与真实任务</w:t>
            </w:r>
          </w:p>
        </w:tc>
        <w:tc>
          <w:tcPr>
            <w:tcW w:w="706" w:type="dxa"/>
            <w:shd w:val="clear" w:color="auto" w:fill="FFFFFF"/>
            <w:vAlign w:val="center"/>
          </w:tcPr>
          <w:p w14:paraId="1583604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1B3F65C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“在日常教学中就要注重设计相关问题培养高阶能力”；“需搭建探究、思辨类的学习活动”</w:t>
            </w:r>
          </w:p>
        </w:tc>
      </w:tr>
      <w:tr w14:paraId="5F418894">
        <w:tblPrEx>
          <w:tblCellMar>
            <w:top w:w="0" w:type="dxa"/>
            <w:left w:w="0" w:type="dxa"/>
            <w:bottom w:w="0" w:type="dxa"/>
            <w:right w:w="0" w:type="dxa"/>
          </w:tblCellMar>
        </w:tblPrEx>
        <w:trPr>
          <w:cantSplit/>
          <w:jc w:val="center"/>
        </w:trPr>
        <w:tc>
          <w:tcPr>
            <w:tcW w:w="2483" w:type="dxa"/>
            <w:shd w:val="clear" w:color="auto" w:fill="FFFFFF"/>
            <w:vAlign w:val="center"/>
          </w:tcPr>
          <w:p w14:paraId="36E447E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学情差异大；基础薄弱学生跟不上；梯度问题；分层教学；小班化</w:t>
            </w:r>
          </w:p>
        </w:tc>
        <w:tc>
          <w:tcPr>
            <w:tcW w:w="2495" w:type="dxa"/>
            <w:shd w:val="clear" w:color="auto" w:fill="FFFFFF"/>
            <w:vAlign w:val="center"/>
          </w:tcPr>
          <w:p w14:paraId="3AB42E0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学情差异；任务分层；参与差异；教学适切性</w:t>
            </w:r>
          </w:p>
        </w:tc>
        <w:tc>
          <w:tcPr>
            <w:tcW w:w="2010" w:type="dxa"/>
            <w:shd w:val="clear" w:color="auto" w:fill="FFFFFF"/>
            <w:vAlign w:val="center"/>
          </w:tcPr>
          <w:p w14:paraId="7C2181F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学生差异与分层支持</w:t>
            </w:r>
          </w:p>
        </w:tc>
        <w:tc>
          <w:tcPr>
            <w:tcW w:w="706" w:type="dxa"/>
            <w:shd w:val="clear" w:color="auto" w:fill="FFFFFF"/>
            <w:vAlign w:val="center"/>
          </w:tcPr>
          <w:p w14:paraId="33E56DF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14</w:t>
            </w:r>
          </w:p>
        </w:tc>
        <w:tc>
          <w:tcPr>
            <w:tcW w:w="3000" w:type="dxa"/>
            <w:shd w:val="clear" w:color="auto" w:fill="FFFFFF"/>
            <w:vAlign w:val="center"/>
          </w:tcPr>
          <w:p w14:paraId="7C92918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“学生学情差异大，高阶能力培养可能无法兼顾全体学生”；“如何能分不同层级开展高阶能力培育”</w:t>
            </w:r>
          </w:p>
        </w:tc>
      </w:tr>
      <w:tr w14:paraId="05614344">
        <w:tblPrEx>
          <w:tblCellMar>
            <w:top w:w="0" w:type="dxa"/>
            <w:left w:w="0" w:type="dxa"/>
            <w:bottom w:w="0" w:type="dxa"/>
            <w:right w:w="0" w:type="dxa"/>
          </w:tblCellMar>
        </w:tblPrEx>
        <w:trPr>
          <w:cantSplit/>
          <w:jc w:val="center"/>
        </w:trPr>
        <w:tc>
          <w:tcPr>
            <w:tcW w:w="2483" w:type="dxa"/>
            <w:shd w:val="clear" w:color="auto" w:fill="FFFFFF"/>
            <w:vAlign w:val="center"/>
          </w:tcPr>
          <w:p w14:paraId="637474B3">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课时紧；教学进度；成绩压力；高考压力；应试安排；纸笔考试</w:t>
            </w:r>
          </w:p>
        </w:tc>
        <w:tc>
          <w:tcPr>
            <w:tcW w:w="2495" w:type="dxa"/>
            <w:shd w:val="clear" w:color="auto" w:fill="FFFFFF"/>
            <w:vAlign w:val="center"/>
          </w:tcPr>
          <w:p w14:paraId="78FDDC4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课时压力；进度压力；升学压力；基础教学与高阶活动平衡</w:t>
            </w:r>
          </w:p>
        </w:tc>
        <w:tc>
          <w:tcPr>
            <w:tcW w:w="2010" w:type="dxa"/>
            <w:shd w:val="clear" w:color="auto" w:fill="FFFFFF"/>
            <w:vAlign w:val="center"/>
          </w:tcPr>
          <w:p w14:paraId="3A8539EA">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课时与考试压力</w:t>
            </w:r>
          </w:p>
        </w:tc>
        <w:tc>
          <w:tcPr>
            <w:tcW w:w="706" w:type="dxa"/>
            <w:shd w:val="clear" w:color="auto" w:fill="FFFFFF"/>
            <w:vAlign w:val="center"/>
          </w:tcPr>
          <w:p w14:paraId="5C7D5F1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17</w:t>
            </w:r>
          </w:p>
        </w:tc>
        <w:tc>
          <w:tcPr>
            <w:tcW w:w="3000" w:type="dxa"/>
            <w:shd w:val="clear" w:color="auto" w:fill="FFFFFF"/>
            <w:vAlign w:val="center"/>
          </w:tcPr>
          <w:p w14:paraId="1CBE3A9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“课堂时间紧任务重”；“高考数据压力会让老师不舍得利用课堂时间细化和慢慢培养高阶能力”</w:t>
            </w:r>
          </w:p>
        </w:tc>
      </w:tr>
      <w:tr w14:paraId="0ABDF17D">
        <w:tblPrEx>
          <w:tblCellMar>
            <w:top w:w="0" w:type="dxa"/>
            <w:left w:w="0" w:type="dxa"/>
            <w:bottom w:w="0" w:type="dxa"/>
            <w:right w:w="0" w:type="dxa"/>
          </w:tblCellMar>
        </w:tblPrEx>
        <w:trPr>
          <w:cantSplit/>
          <w:jc w:val="center"/>
        </w:trPr>
        <w:tc>
          <w:tcPr>
            <w:tcW w:w="2483" w:type="dxa"/>
            <w:shd w:val="clear" w:color="auto" w:fill="FFFFFF"/>
            <w:vAlign w:val="center"/>
          </w:tcPr>
          <w:p w14:paraId="6192F25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高阶能力难测量；评价方式主观；调整考核方式；标准答案局限</w:t>
            </w:r>
          </w:p>
        </w:tc>
        <w:tc>
          <w:tcPr>
            <w:tcW w:w="2495" w:type="dxa"/>
            <w:shd w:val="clear" w:color="auto" w:fill="FFFFFF"/>
            <w:vAlign w:val="center"/>
          </w:tcPr>
          <w:p w14:paraId="79EE1A2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评价方式局限；能力测量困难；考核方式适配</w:t>
            </w:r>
          </w:p>
        </w:tc>
        <w:tc>
          <w:tcPr>
            <w:tcW w:w="2010" w:type="dxa"/>
            <w:shd w:val="clear" w:color="auto" w:fill="FFFFFF"/>
            <w:vAlign w:val="center"/>
          </w:tcPr>
          <w:p w14:paraId="4D3CD97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评价测量与考核机制</w:t>
            </w:r>
          </w:p>
        </w:tc>
        <w:tc>
          <w:tcPr>
            <w:tcW w:w="706" w:type="dxa"/>
            <w:shd w:val="clear" w:color="auto" w:fill="FFFFFF"/>
            <w:vAlign w:val="center"/>
          </w:tcPr>
          <w:p w14:paraId="251842A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w:t>
            </w:r>
          </w:p>
        </w:tc>
        <w:tc>
          <w:tcPr>
            <w:tcW w:w="3000" w:type="dxa"/>
            <w:shd w:val="clear" w:color="auto" w:fill="FFFFFF"/>
            <w:vAlign w:val="center"/>
          </w:tcPr>
          <w:p w14:paraId="3C2FDBC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“时间不够，很难测量”；“如何客观评价一节课是否有培养学生的高阶能力”</w:t>
            </w:r>
          </w:p>
        </w:tc>
      </w:tr>
      <w:tr w14:paraId="7BC64570">
        <w:tblPrEx>
          <w:tblCellMar>
            <w:top w:w="0" w:type="dxa"/>
            <w:left w:w="0" w:type="dxa"/>
            <w:bottom w:w="0" w:type="dxa"/>
            <w:right w:w="0" w:type="dxa"/>
          </w:tblCellMar>
        </w:tblPrEx>
        <w:trPr>
          <w:cantSplit/>
          <w:jc w:val="center"/>
        </w:trPr>
        <w:tc>
          <w:tcPr>
            <w:tcW w:w="2483" w:type="dxa"/>
            <w:shd w:val="clear" w:color="auto" w:fill="FFFFFF"/>
            <w:vAlign w:val="center"/>
          </w:tcPr>
          <w:p w14:paraId="1608C27D">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课堂把控难；纪律管理；具体实践需摸索；落地困难</w:t>
            </w:r>
          </w:p>
        </w:tc>
        <w:tc>
          <w:tcPr>
            <w:tcW w:w="2495" w:type="dxa"/>
            <w:shd w:val="clear" w:color="auto" w:fill="FFFFFF"/>
            <w:vAlign w:val="center"/>
          </w:tcPr>
          <w:p w14:paraId="6D4137A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课堂组织；实施把控；理念向实践转化</w:t>
            </w:r>
          </w:p>
        </w:tc>
        <w:tc>
          <w:tcPr>
            <w:tcW w:w="2010" w:type="dxa"/>
            <w:shd w:val="clear" w:color="auto" w:fill="FFFFFF"/>
            <w:vAlign w:val="center"/>
          </w:tcPr>
          <w:p w14:paraId="0E0249A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课堂组织与实施难度</w:t>
            </w:r>
          </w:p>
        </w:tc>
        <w:tc>
          <w:tcPr>
            <w:tcW w:w="706" w:type="dxa"/>
            <w:shd w:val="clear" w:color="auto" w:fill="FFFFFF"/>
            <w:vAlign w:val="center"/>
          </w:tcPr>
          <w:p w14:paraId="466FF7F0">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w:t>
            </w:r>
          </w:p>
        </w:tc>
        <w:tc>
          <w:tcPr>
            <w:tcW w:w="3000" w:type="dxa"/>
            <w:shd w:val="clear" w:color="auto" w:fill="FFFFFF"/>
            <w:vAlign w:val="center"/>
          </w:tcPr>
          <w:p w14:paraId="5C9F5B1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“担心高阶任务脱离学情，课堂把控难度大”；“具体实践上还需要不断摸索”</w:t>
            </w:r>
          </w:p>
        </w:tc>
      </w:tr>
      <w:tr w14:paraId="3779B35A">
        <w:tblPrEx>
          <w:tblCellMar>
            <w:top w:w="0" w:type="dxa"/>
            <w:left w:w="0" w:type="dxa"/>
            <w:bottom w:w="0" w:type="dxa"/>
            <w:right w:w="0" w:type="dxa"/>
          </w:tblCellMar>
        </w:tblPrEx>
        <w:trPr>
          <w:cantSplit/>
          <w:jc w:val="center"/>
        </w:trPr>
        <w:tc>
          <w:tcPr>
            <w:tcW w:w="2483" w:type="dxa"/>
            <w:shd w:val="clear" w:color="auto" w:fill="FFFFFF"/>
            <w:vAlign w:val="center"/>
          </w:tcPr>
          <w:p w14:paraId="5BA48B4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系统学习；专题培训；专家指导；学科团队；优秀案例；成熟教案；实训</w:t>
            </w:r>
          </w:p>
        </w:tc>
        <w:tc>
          <w:tcPr>
            <w:tcW w:w="2495" w:type="dxa"/>
            <w:shd w:val="clear" w:color="auto" w:fill="FFFFFF"/>
            <w:vAlign w:val="center"/>
          </w:tcPr>
          <w:p w14:paraId="3AB6AB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专业学习；课例资源；专家支持；团队研修</w:t>
            </w:r>
          </w:p>
        </w:tc>
        <w:tc>
          <w:tcPr>
            <w:tcW w:w="2010" w:type="dxa"/>
            <w:shd w:val="clear" w:color="auto" w:fill="FFFFFF"/>
            <w:vAlign w:val="center"/>
          </w:tcPr>
          <w:p w14:paraId="045535A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教师专业学习与资源支持</w:t>
            </w:r>
          </w:p>
        </w:tc>
        <w:tc>
          <w:tcPr>
            <w:tcW w:w="706" w:type="dxa"/>
            <w:shd w:val="clear" w:color="auto" w:fill="FFFFFF"/>
            <w:vAlign w:val="center"/>
          </w:tcPr>
          <w:p w14:paraId="1B42A5F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16</w:t>
            </w:r>
          </w:p>
        </w:tc>
        <w:tc>
          <w:tcPr>
            <w:tcW w:w="3000" w:type="dxa"/>
            <w:shd w:val="clear" w:color="auto" w:fill="FFFFFF"/>
            <w:vAlign w:val="center"/>
          </w:tcPr>
          <w:p w14:paraId="4843A77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“除了理念灌输，更重要的是通过实训、具体指导提升教师相关教学设计能力”；“需要优秀案例学习”</w:t>
            </w:r>
          </w:p>
        </w:tc>
      </w:tr>
      <w:tr w14:paraId="205CDE42">
        <w:tblPrEx>
          <w:tblCellMar>
            <w:top w:w="0" w:type="dxa"/>
            <w:left w:w="0" w:type="dxa"/>
            <w:bottom w:w="0" w:type="dxa"/>
            <w:right w:w="0" w:type="dxa"/>
          </w:tblCellMar>
        </w:tblPrEx>
        <w:trPr>
          <w:cantSplit/>
          <w:jc w:val="center"/>
        </w:trPr>
        <w:tc>
          <w:tcPr>
            <w:tcW w:w="2483" w:type="dxa"/>
            <w:tcBorders>
              <w:bottom w:val="single" w:color="000000" w:sz="12" w:space="0"/>
            </w:tcBorders>
            <w:shd w:val="clear" w:color="auto" w:fill="FFFFFF"/>
            <w:vAlign w:val="center"/>
          </w:tcPr>
          <w:p w14:paraId="4E564A2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逐步推进；部分课例先行；拓展课、社团课；制度保障；合理规划时间</w:t>
            </w:r>
          </w:p>
        </w:tc>
        <w:tc>
          <w:tcPr>
            <w:tcW w:w="2495" w:type="dxa"/>
            <w:tcBorders>
              <w:bottom w:val="single" w:color="000000" w:sz="12" w:space="0"/>
            </w:tcBorders>
            <w:shd w:val="clear" w:color="auto" w:fill="FFFFFF"/>
            <w:vAlign w:val="center"/>
          </w:tcPr>
          <w:p w14:paraId="0EAD3F7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渐进实施；试点推进；课程空间；制度保障</w:t>
            </w:r>
          </w:p>
        </w:tc>
        <w:tc>
          <w:tcPr>
            <w:tcW w:w="2010" w:type="dxa"/>
            <w:tcBorders>
              <w:bottom w:val="single" w:color="000000" w:sz="12" w:space="0"/>
            </w:tcBorders>
            <w:shd w:val="clear" w:color="auto" w:fill="FFFFFF"/>
            <w:vAlign w:val="center"/>
          </w:tcPr>
          <w:p w14:paraId="22B52A38">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校本推进与保障机制</w:t>
            </w:r>
          </w:p>
        </w:tc>
        <w:tc>
          <w:tcPr>
            <w:tcW w:w="706" w:type="dxa"/>
            <w:tcBorders>
              <w:bottom w:val="single" w:color="000000" w:sz="12" w:space="0"/>
            </w:tcBorders>
            <w:shd w:val="clear" w:color="auto" w:fill="FFFFFF"/>
            <w:vAlign w:val="center"/>
          </w:tcPr>
          <w:p w14:paraId="3B23F68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7</w:t>
            </w:r>
          </w:p>
        </w:tc>
        <w:tc>
          <w:tcPr>
            <w:tcW w:w="3000" w:type="dxa"/>
            <w:tcBorders>
              <w:bottom w:val="single" w:color="000000" w:sz="12" w:space="0"/>
            </w:tcBorders>
            <w:shd w:val="clear" w:color="auto" w:fill="FFFFFF"/>
            <w:vAlign w:val="center"/>
          </w:tcPr>
          <w:p w14:paraId="1FDA2BA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“可以先在部分课例中开展高阶能力的培育”；“希望能在拓展课社团课多开展”</w:t>
            </w:r>
          </w:p>
        </w:tc>
      </w:tr>
    </w:tbl>
    <w:p w14:paraId="0A8D2855">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测文本具有较强的实践指向。</w:t>
      </w:r>
    </w:p>
    <w:p w14:paraId="6334E9D6">
      <w:pPr>
        <w:keepNext/>
        <w:pageBreakBefore w:val="0"/>
        <w:overflowPunct w:val="0"/>
        <w:bidi w:val="0"/>
        <w:snapToGrid w:val="0"/>
        <w:spacing w:before="0" w:after="0" w:line="360" w:lineRule="auto"/>
        <w:ind w:firstLine="480" w:firstLineChars="0"/>
        <w:jc w:val="both"/>
        <w:textAlignment w:val="auto"/>
        <w:outlineLvl w:val="4"/>
        <w:rPr>
          <w:rFonts w:hint="eastAsia" w:ascii="宋体" w:hAnsi="宋体" w:eastAsia="宋体" w:cs="宋体"/>
          <w:b/>
          <w:sz w:val="24"/>
        </w:rPr>
      </w:pPr>
      <w:r>
        <w:rPr>
          <w:rFonts w:hint="eastAsia" w:ascii="宋体" w:hAnsi="宋体" w:eastAsia="宋体" w:cs="宋体"/>
          <w:b w:val="0"/>
          <w:sz w:val="24"/>
        </w:rPr>
        <w:t>3）后测文本编码</w:t>
      </w:r>
    </w:p>
    <w:p w14:paraId="07D98C4D">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6B31D3C9">
      <w:pPr>
        <w:keepNext/>
        <w:pageBreakBefore w:val="0"/>
        <w:overflowPunct w:val="0"/>
        <w:bidi w:val="0"/>
        <w:snapToGrid w:val="0"/>
        <w:spacing w:before="180" w:after="60" w:line="240" w:lineRule="auto"/>
        <w:ind w:firstLineChars="200"/>
        <w:jc w:val="center"/>
        <w:textAlignment w:val="auto"/>
        <w:rPr>
          <w:rFonts w:hint="eastAsia" w:ascii="宋体" w:hAnsi="宋体" w:eastAsia="宋体" w:cs="宋体"/>
          <w:sz w:val="24"/>
        </w:rPr>
      </w:pPr>
      <w:r>
        <w:rPr>
          <w:rFonts w:hint="eastAsia" w:ascii="宋体" w:hAnsi="宋体" w:eastAsia="宋体" w:cs="宋体"/>
          <w:b w:val="0"/>
          <w:sz w:val="21"/>
        </w:rPr>
        <w:t>表3-77  教师后测开放性回答三级编码表</w:t>
      </w:r>
    </w:p>
    <w:tbl>
      <w:tblPr>
        <w:tblStyle w:val="12"/>
        <w:tblW w:w="9807" w:type="dxa"/>
        <w:jc w:val="center"/>
        <w:tblLayout w:type="fixed"/>
        <w:tblCellMar>
          <w:top w:w="0" w:type="dxa"/>
          <w:left w:w="0" w:type="dxa"/>
          <w:bottom w:w="0" w:type="dxa"/>
          <w:right w:w="0" w:type="dxa"/>
        </w:tblCellMar>
      </w:tblPr>
      <w:tblGrid>
        <w:gridCol w:w="2999"/>
        <w:gridCol w:w="1597"/>
        <w:gridCol w:w="1504"/>
        <w:gridCol w:w="707"/>
        <w:gridCol w:w="3000"/>
      </w:tblGrid>
      <w:tr w14:paraId="7FC942D7">
        <w:tblPrEx>
          <w:tblCellMar>
            <w:top w:w="0" w:type="dxa"/>
            <w:left w:w="0" w:type="dxa"/>
            <w:bottom w:w="0" w:type="dxa"/>
            <w:right w:w="0" w:type="dxa"/>
          </w:tblCellMar>
        </w:tblPrEx>
        <w:trPr>
          <w:cantSplit/>
          <w:tblHeader/>
          <w:jc w:val="center"/>
        </w:trPr>
        <w:tc>
          <w:tcPr>
            <w:tcW w:w="2999" w:type="dxa"/>
            <w:tcBorders>
              <w:top w:val="single" w:color="000000" w:sz="12" w:space="0"/>
              <w:bottom w:val="single" w:color="000000" w:sz="6" w:space="0"/>
            </w:tcBorders>
            <w:shd w:val="clear" w:color="auto" w:fill="FFFFFF"/>
            <w:vAlign w:val="center"/>
          </w:tcPr>
          <w:p w14:paraId="3B573C2E">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开放编码</w:t>
            </w:r>
          </w:p>
        </w:tc>
        <w:tc>
          <w:tcPr>
            <w:tcW w:w="1597" w:type="dxa"/>
            <w:tcBorders>
              <w:top w:val="single" w:color="000000" w:sz="12" w:space="0"/>
              <w:bottom w:val="single" w:color="000000" w:sz="6" w:space="0"/>
            </w:tcBorders>
            <w:shd w:val="clear" w:color="auto" w:fill="FFFFFF"/>
            <w:vAlign w:val="center"/>
          </w:tcPr>
          <w:p w14:paraId="24AB492C">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轴心编码</w:t>
            </w:r>
          </w:p>
        </w:tc>
        <w:tc>
          <w:tcPr>
            <w:tcW w:w="1504" w:type="dxa"/>
            <w:tcBorders>
              <w:top w:val="single" w:color="000000" w:sz="12" w:space="0"/>
              <w:bottom w:val="single" w:color="000000" w:sz="6" w:space="0"/>
            </w:tcBorders>
            <w:shd w:val="clear" w:color="auto" w:fill="FFFFFF"/>
            <w:vAlign w:val="center"/>
          </w:tcPr>
          <w:p w14:paraId="2E765897">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选择编码</w:t>
            </w:r>
          </w:p>
        </w:tc>
        <w:tc>
          <w:tcPr>
            <w:tcW w:w="707" w:type="dxa"/>
            <w:tcBorders>
              <w:top w:val="single" w:color="000000" w:sz="12" w:space="0"/>
              <w:bottom w:val="single" w:color="000000" w:sz="6" w:space="0"/>
            </w:tcBorders>
            <w:shd w:val="clear" w:color="auto" w:fill="FFFFFF"/>
            <w:vAlign w:val="center"/>
          </w:tcPr>
          <w:p w14:paraId="3E205739">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涉及</w:t>
            </w:r>
          </w:p>
          <w:p w14:paraId="38C8A290">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回答数</w:t>
            </w:r>
          </w:p>
        </w:tc>
        <w:tc>
          <w:tcPr>
            <w:tcW w:w="3000" w:type="dxa"/>
            <w:tcBorders>
              <w:top w:val="single" w:color="000000" w:sz="12" w:space="0"/>
              <w:bottom w:val="single" w:color="000000" w:sz="6" w:space="0"/>
            </w:tcBorders>
            <w:shd w:val="clear" w:color="auto" w:fill="FFFFFF"/>
            <w:vAlign w:val="center"/>
          </w:tcPr>
          <w:p w14:paraId="0276138F">
            <w:pPr>
              <w:overflowPunct w:val="0"/>
              <w:bidi w:val="0"/>
              <w:snapToGrid w:val="0"/>
              <w:spacing w:before="0" w:after="0" w:line="240" w:lineRule="auto"/>
              <w:ind w:firstLineChars="200"/>
              <w:jc w:val="center"/>
              <w:textAlignment w:val="auto"/>
              <w:rPr>
                <w:rFonts w:hint="eastAsia" w:ascii="宋体" w:hAnsi="宋体" w:eastAsia="宋体" w:cs="宋体"/>
                <w:b/>
                <w:szCs w:val="21"/>
              </w:rPr>
            </w:pPr>
            <w:r>
              <w:rPr>
                <w:rFonts w:hint="eastAsia" w:ascii="宋体" w:hAnsi="宋体" w:eastAsia="宋体" w:cs="宋体"/>
                <w:b/>
                <w:sz w:val="21"/>
                <w:szCs w:val="21"/>
              </w:rPr>
              <w:t>代表性原始表达</w:t>
            </w:r>
          </w:p>
        </w:tc>
      </w:tr>
      <w:tr w14:paraId="4A25F3EF">
        <w:tblPrEx>
          <w:tblCellMar>
            <w:top w:w="0" w:type="dxa"/>
            <w:left w:w="0" w:type="dxa"/>
            <w:bottom w:w="0" w:type="dxa"/>
            <w:right w:w="0" w:type="dxa"/>
          </w:tblCellMar>
        </w:tblPrEx>
        <w:trPr>
          <w:cantSplit/>
          <w:jc w:val="center"/>
        </w:trPr>
        <w:tc>
          <w:tcPr>
            <w:tcW w:w="2999" w:type="dxa"/>
            <w:shd w:val="clear" w:color="auto" w:fill="FFFFFF"/>
            <w:vAlign w:val="center"/>
          </w:tcPr>
          <w:p w14:paraId="195AF7AC">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理论知识；有意识指向高阶能力；目标更清晰；更加重视思维；专业自觉</w:t>
            </w:r>
          </w:p>
        </w:tc>
        <w:tc>
          <w:tcPr>
            <w:tcW w:w="1597" w:type="dxa"/>
            <w:shd w:val="clear" w:color="auto" w:fill="FFFFFF"/>
            <w:vAlign w:val="center"/>
          </w:tcPr>
          <w:p w14:paraId="3F6C33C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理念理解；目标意识；专业自觉</w:t>
            </w:r>
          </w:p>
        </w:tc>
        <w:tc>
          <w:tcPr>
            <w:tcW w:w="1504" w:type="dxa"/>
            <w:shd w:val="clear" w:color="auto" w:fill="FFFFFF"/>
            <w:vAlign w:val="center"/>
          </w:tcPr>
          <w:p w14:paraId="75EA964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高阶能力培育的认知与目标意识</w:t>
            </w:r>
          </w:p>
        </w:tc>
        <w:tc>
          <w:tcPr>
            <w:tcW w:w="707" w:type="dxa"/>
            <w:shd w:val="clear" w:color="auto" w:fill="FFFFFF"/>
            <w:vAlign w:val="center"/>
          </w:tcPr>
          <w:p w14:paraId="1D4B026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13</w:t>
            </w:r>
          </w:p>
        </w:tc>
        <w:tc>
          <w:tcPr>
            <w:tcW w:w="3000" w:type="dxa"/>
            <w:shd w:val="clear" w:color="auto" w:fill="FFFFFF"/>
            <w:vAlign w:val="center"/>
          </w:tcPr>
          <w:p w14:paraId="39BBD26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“会有意识地在教学设计中指向学生的高阶能力培育”；“更加了解高阶能力培养的方向和价值”</w:t>
            </w:r>
          </w:p>
        </w:tc>
      </w:tr>
      <w:tr w14:paraId="4DA43F84">
        <w:tblPrEx>
          <w:tblCellMar>
            <w:top w:w="0" w:type="dxa"/>
            <w:left w:w="0" w:type="dxa"/>
            <w:bottom w:w="0" w:type="dxa"/>
            <w:right w:w="0" w:type="dxa"/>
          </w:tblCellMar>
        </w:tblPrEx>
        <w:trPr>
          <w:cantSplit/>
          <w:jc w:val="center"/>
        </w:trPr>
        <w:tc>
          <w:tcPr>
            <w:tcW w:w="2999" w:type="dxa"/>
            <w:shd w:val="clear" w:color="auto" w:fill="FFFFFF"/>
            <w:vAlign w:val="center"/>
          </w:tcPr>
          <w:p w14:paraId="7EF8EF8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问题链；开放性问题；分析评价创造任务；高阶思维问题；作业设计；引导话术</w:t>
            </w:r>
          </w:p>
        </w:tc>
        <w:tc>
          <w:tcPr>
            <w:tcW w:w="1597" w:type="dxa"/>
            <w:shd w:val="clear" w:color="auto" w:fill="FFFFFF"/>
            <w:vAlign w:val="center"/>
          </w:tcPr>
          <w:p w14:paraId="3EBDD139">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问题链设计；开放任务；认知层级设计；作业任务设计</w:t>
            </w:r>
          </w:p>
        </w:tc>
        <w:tc>
          <w:tcPr>
            <w:tcW w:w="1504" w:type="dxa"/>
            <w:shd w:val="clear" w:color="auto" w:fill="FFFFFF"/>
            <w:vAlign w:val="center"/>
          </w:tcPr>
          <w:p w14:paraId="1B7C0F9F">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高阶认知任务设计</w:t>
            </w:r>
          </w:p>
        </w:tc>
        <w:tc>
          <w:tcPr>
            <w:tcW w:w="707" w:type="dxa"/>
            <w:shd w:val="clear" w:color="auto" w:fill="FFFFFF"/>
            <w:vAlign w:val="center"/>
          </w:tcPr>
          <w:p w14:paraId="51F2B8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12</w:t>
            </w:r>
          </w:p>
        </w:tc>
        <w:tc>
          <w:tcPr>
            <w:tcW w:w="3000" w:type="dxa"/>
            <w:shd w:val="clear" w:color="auto" w:fill="FFFFFF"/>
            <w:vAlign w:val="center"/>
          </w:tcPr>
          <w:p w14:paraId="1CB902CB">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“对于开放性问题及课堂问题链设计更熟悉”；“更注重问题链的思维梯度设计”</w:t>
            </w:r>
          </w:p>
        </w:tc>
      </w:tr>
      <w:tr w14:paraId="7C2A492A">
        <w:tblPrEx>
          <w:tblCellMar>
            <w:top w:w="0" w:type="dxa"/>
            <w:left w:w="0" w:type="dxa"/>
            <w:bottom w:w="0" w:type="dxa"/>
            <w:right w:w="0" w:type="dxa"/>
          </w:tblCellMar>
        </w:tblPrEx>
        <w:trPr>
          <w:cantSplit/>
          <w:jc w:val="center"/>
        </w:trPr>
        <w:tc>
          <w:tcPr>
            <w:tcW w:w="2999" w:type="dxa"/>
            <w:shd w:val="clear" w:color="auto" w:fill="FFFFFF"/>
            <w:vAlign w:val="center"/>
          </w:tcPr>
          <w:p w14:paraId="3F7002A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问题探究；项目式任务；自主探究；合作探究；真实问题；实验探究；小组研讨</w:t>
            </w:r>
          </w:p>
        </w:tc>
        <w:tc>
          <w:tcPr>
            <w:tcW w:w="1597" w:type="dxa"/>
            <w:shd w:val="clear" w:color="auto" w:fill="FFFFFF"/>
            <w:vAlign w:val="center"/>
          </w:tcPr>
          <w:p w14:paraId="6B81B78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探究学习；项目学习；合作学习；真实任务</w:t>
            </w:r>
          </w:p>
        </w:tc>
        <w:tc>
          <w:tcPr>
            <w:tcW w:w="1504" w:type="dxa"/>
            <w:shd w:val="clear" w:color="auto" w:fill="FFFFFF"/>
            <w:vAlign w:val="center"/>
          </w:tcPr>
          <w:p w14:paraId="6BD4C07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探究合作与真实学习</w:t>
            </w:r>
          </w:p>
        </w:tc>
        <w:tc>
          <w:tcPr>
            <w:tcW w:w="707" w:type="dxa"/>
            <w:shd w:val="clear" w:color="auto" w:fill="FFFFFF"/>
            <w:vAlign w:val="center"/>
          </w:tcPr>
          <w:p w14:paraId="136278F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6</w:t>
            </w:r>
          </w:p>
        </w:tc>
        <w:tc>
          <w:tcPr>
            <w:tcW w:w="3000" w:type="dxa"/>
            <w:shd w:val="clear" w:color="auto" w:fill="FFFFFF"/>
            <w:vAlign w:val="center"/>
          </w:tcPr>
          <w:p w14:paraId="5C0BE7E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“开展项目式任务”；“把部分知识点的讲授过程转化为学生的探索场”</w:t>
            </w:r>
          </w:p>
        </w:tc>
      </w:tr>
      <w:tr w14:paraId="10CE277E">
        <w:tblPrEx>
          <w:tblCellMar>
            <w:top w:w="0" w:type="dxa"/>
            <w:left w:w="0" w:type="dxa"/>
            <w:bottom w:w="0" w:type="dxa"/>
            <w:right w:w="0" w:type="dxa"/>
          </w:tblCellMar>
        </w:tblPrEx>
        <w:trPr>
          <w:cantSplit/>
          <w:jc w:val="center"/>
        </w:trPr>
        <w:tc>
          <w:tcPr>
            <w:tcW w:w="2999" w:type="dxa"/>
            <w:shd w:val="clear" w:color="auto" w:fill="FFFFFF"/>
            <w:vAlign w:val="center"/>
          </w:tcPr>
          <w:p w14:paraId="69FEBE02">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学生质疑；提问质量；思维活跃；表达；发现问题；合作解决问题；参与深度</w:t>
            </w:r>
          </w:p>
        </w:tc>
        <w:tc>
          <w:tcPr>
            <w:tcW w:w="1597" w:type="dxa"/>
            <w:shd w:val="clear" w:color="auto" w:fill="FFFFFF"/>
            <w:vAlign w:val="center"/>
          </w:tcPr>
          <w:p w14:paraId="4D58E10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质疑提问；思维表达；合作解决问题；学习参与</w:t>
            </w:r>
          </w:p>
        </w:tc>
        <w:tc>
          <w:tcPr>
            <w:tcW w:w="1504" w:type="dxa"/>
            <w:shd w:val="clear" w:color="auto" w:fill="FFFFFF"/>
            <w:vAlign w:val="center"/>
          </w:tcPr>
          <w:p w14:paraId="0D41D8F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学生学习行为观察</w:t>
            </w:r>
          </w:p>
        </w:tc>
        <w:tc>
          <w:tcPr>
            <w:tcW w:w="707" w:type="dxa"/>
            <w:shd w:val="clear" w:color="auto" w:fill="FFFFFF"/>
            <w:vAlign w:val="center"/>
          </w:tcPr>
          <w:p w14:paraId="3FB757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362840E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“学生更加大胆地敢于质疑”；“学生的提问质量有明显提升，且学生会发现问题并彼此互相帮助解决问题”</w:t>
            </w:r>
          </w:p>
        </w:tc>
      </w:tr>
      <w:tr w14:paraId="5BC5B80D">
        <w:tblPrEx>
          <w:tblCellMar>
            <w:top w:w="0" w:type="dxa"/>
            <w:left w:w="0" w:type="dxa"/>
            <w:bottom w:w="0" w:type="dxa"/>
            <w:right w:w="0" w:type="dxa"/>
          </w:tblCellMar>
        </w:tblPrEx>
        <w:trPr>
          <w:cantSplit/>
          <w:jc w:val="center"/>
        </w:trPr>
        <w:tc>
          <w:tcPr>
            <w:tcW w:w="2999" w:type="dxa"/>
            <w:shd w:val="clear" w:color="auto" w:fill="FFFFFF"/>
            <w:vAlign w:val="center"/>
          </w:tcPr>
          <w:p w14:paraId="6348780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过程性反馈；多元评价；生成性问题；高阶能力评价工具；量化方法</w:t>
            </w:r>
          </w:p>
        </w:tc>
        <w:tc>
          <w:tcPr>
            <w:tcW w:w="1597" w:type="dxa"/>
            <w:shd w:val="clear" w:color="auto" w:fill="FFFFFF"/>
            <w:vAlign w:val="center"/>
          </w:tcPr>
          <w:p w14:paraId="6E1FA93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形成性评价；学习证据；评价工具；反馈调节</w:t>
            </w:r>
          </w:p>
        </w:tc>
        <w:tc>
          <w:tcPr>
            <w:tcW w:w="1504" w:type="dxa"/>
            <w:shd w:val="clear" w:color="auto" w:fill="FFFFFF"/>
            <w:vAlign w:val="center"/>
          </w:tcPr>
          <w:p w14:paraId="1D92CCF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形成性评价与学习证据</w:t>
            </w:r>
          </w:p>
        </w:tc>
        <w:tc>
          <w:tcPr>
            <w:tcW w:w="707" w:type="dxa"/>
            <w:shd w:val="clear" w:color="auto" w:fill="FFFFFF"/>
            <w:vAlign w:val="center"/>
          </w:tcPr>
          <w:p w14:paraId="477274B7">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5</w:t>
            </w:r>
          </w:p>
        </w:tc>
        <w:tc>
          <w:tcPr>
            <w:tcW w:w="3000" w:type="dxa"/>
            <w:shd w:val="clear" w:color="auto" w:fill="FFFFFF"/>
            <w:vAlign w:val="center"/>
          </w:tcPr>
          <w:p w14:paraId="2E1FAB4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“课堂会更注重学生的生成性问题，过程性问题的设计和反馈”；“提供更多学科化的高阶思维评价工具”</w:t>
            </w:r>
          </w:p>
        </w:tc>
      </w:tr>
      <w:tr w14:paraId="1C52FAF8">
        <w:tblPrEx>
          <w:tblCellMar>
            <w:top w:w="0" w:type="dxa"/>
            <w:left w:w="0" w:type="dxa"/>
            <w:bottom w:w="0" w:type="dxa"/>
            <w:right w:w="0" w:type="dxa"/>
          </w:tblCellMar>
        </w:tblPrEx>
        <w:trPr>
          <w:cantSplit/>
          <w:jc w:val="center"/>
        </w:trPr>
        <w:tc>
          <w:tcPr>
            <w:tcW w:w="2999" w:type="dxa"/>
            <w:shd w:val="clear" w:color="auto" w:fill="FFFFFF"/>
            <w:vAlign w:val="center"/>
          </w:tcPr>
          <w:p w14:paraId="2CF1C0D8">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课时紧；高三任务重；基础落实与高阶活动平衡；升学压力；刷题倾向</w:t>
            </w:r>
          </w:p>
        </w:tc>
        <w:tc>
          <w:tcPr>
            <w:tcW w:w="1597" w:type="dxa"/>
            <w:shd w:val="clear" w:color="auto" w:fill="FFFFFF"/>
            <w:vAlign w:val="center"/>
          </w:tcPr>
          <w:p w14:paraId="533023A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课时压力；升学压力；基础与高阶平衡</w:t>
            </w:r>
          </w:p>
        </w:tc>
        <w:tc>
          <w:tcPr>
            <w:tcW w:w="1504" w:type="dxa"/>
            <w:shd w:val="clear" w:color="auto" w:fill="FFFFFF"/>
            <w:vAlign w:val="center"/>
          </w:tcPr>
          <w:p w14:paraId="58CAA7F2">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教学时间与升学压力</w:t>
            </w:r>
          </w:p>
        </w:tc>
        <w:tc>
          <w:tcPr>
            <w:tcW w:w="707" w:type="dxa"/>
            <w:shd w:val="clear" w:color="auto" w:fill="FFFFFF"/>
            <w:vAlign w:val="center"/>
          </w:tcPr>
          <w:p w14:paraId="581D576D">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11</w:t>
            </w:r>
          </w:p>
        </w:tc>
        <w:tc>
          <w:tcPr>
            <w:tcW w:w="3000" w:type="dxa"/>
            <w:shd w:val="clear" w:color="auto" w:fill="FFFFFF"/>
            <w:vAlign w:val="center"/>
          </w:tcPr>
          <w:p w14:paraId="57F279B6">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“课时比较紧张”；“升学压力会向刷题和填鸭课堂倾斜，高阶思维培养渗透不够”</w:t>
            </w:r>
          </w:p>
        </w:tc>
      </w:tr>
      <w:tr w14:paraId="6B99B1C8">
        <w:tblPrEx>
          <w:tblCellMar>
            <w:top w:w="0" w:type="dxa"/>
            <w:left w:w="0" w:type="dxa"/>
            <w:bottom w:w="0" w:type="dxa"/>
            <w:right w:w="0" w:type="dxa"/>
          </w:tblCellMar>
        </w:tblPrEx>
        <w:trPr>
          <w:cantSplit/>
          <w:jc w:val="center"/>
        </w:trPr>
        <w:tc>
          <w:tcPr>
            <w:tcW w:w="2999" w:type="dxa"/>
            <w:shd w:val="clear" w:color="auto" w:fill="FFFFFF"/>
            <w:vAlign w:val="center"/>
          </w:tcPr>
          <w:p w14:paraId="2DCC62BE">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学生水平差异；分层实施；少数学生主导；部分学生参与不足</w:t>
            </w:r>
          </w:p>
        </w:tc>
        <w:tc>
          <w:tcPr>
            <w:tcW w:w="1597" w:type="dxa"/>
            <w:shd w:val="clear" w:color="auto" w:fill="FFFFFF"/>
            <w:vAlign w:val="center"/>
          </w:tcPr>
          <w:p w14:paraId="4BC2E7C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学情差异；分层任务；参与差异；适切性</w:t>
            </w:r>
          </w:p>
        </w:tc>
        <w:tc>
          <w:tcPr>
            <w:tcW w:w="1504" w:type="dxa"/>
            <w:shd w:val="clear" w:color="auto" w:fill="FFFFFF"/>
            <w:vAlign w:val="center"/>
          </w:tcPr>
          <w:p w14:paraId="67AFC03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学生差异与分层实施</w:t>
            </w:r>
          </w:p>
        </w:tc>
        <w:tc>
          <w:tcPr>
            <w:tcW w:w="707" w:type="dxa"/>
            <w:shd w:val="clear" w:color="auto" w:fill="FFFFFF"/>
            <w:vAlign w:val="center"/>
          </w:tcPr>
          <w:p w14:paraId="22E1AE85">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8</w:t>
            </w:r>
          </w:p>
        </w:tc>
        <w:tc>
          <w:tcPr>
            <w:tcW w:w="3000" w:type="dxa"/>
            <w:shd w:val="clear" w:color="auto" w:fill="FFFFFF"/>
            <w:vAlign w:val="center"/>
          </w:tcPr>
          <w:p w14:paraId="615CB390">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“如何避免变成少部分同学的对话”；“面对不同程度的学生无法量化培养方法”</w:t>
            </w:r>
          </w:p>
        </w:tc>
      </w:tr>
      <w:tr w14:paraId="6EFB1C08">
        <w:tblPrEx>
          <w:tblCellMar>
            <w:top w:w="0" w:type="dxa"/>
            <w:left w:w="0" w:type="dxa"/>
            <w:bottom w:w="0" w:type="dxa"/>
            <w:right w:w="0" w:type="dxa"/>
          </w:tblCellMar>
        </w:tblPrEx>
        <w:trPr>
          <w:cantSplit/>
          <w:jc w:val="center"/>
        </w:trPr>
        <w:tc>
          <w:tcPr>
            <w:tcW w:w="2999" w:type="dxa"/>
            <w:shd w:val="clear" w:color="auto" w:fill="FFFFFF"/>
            <w:vAlign w:val="center"/>
          </w:tcPr>
          <w:p w14:paraId="5425D6AF">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课堂把控；实践尚不成熟；落地尺度；效果不理想；教师能力不足；难坚持</w:t>
            </w:r>
          </w:p>
        </w:tc>
        <w:tc>
          <w:tcPr>
            <w:tcW w:w="1597" w:type="dxa"/>
            <w:shd w:val="clear" w:color="auto" w:fill="FFFFFF"/>
            <w:vAlign w:val="center"/>
          </w:tcPr>
          <w:p w14:paraId="6619EB6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教学实施能力；课堂调控；方法转化；教师能力</w:t>
            </w:r>
          </w:p>
        </w:tc>
        <w:tc>
          <w:tcPr>
            <w:tcW w:w="1504" w:type="dxa"/>
            <w:shd w:val="clear" w:color="auto" w:fill="FFFFFF"/>
            <w:vAlign w:val="center"/>
          </w:tcPr>
          <w:p w14:paraId="79721D8E">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教师实践能力与课堂把控</w:t>
            </w:r>
          </w:p>
        </w:tc>
        <w:tc>
          <w:tcPr>
            <w:tcW w:w="707" w:type="dxa"/>
            <w:shd w:val="clear" w:color="auto" w:fill="FFFFFF"/>
            <w:vAlign w:val="center"/>
          </w:tcPr>
          <w:p w14:paraId="123C9E7B">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9</w:t>
            </w:r>
          </w:p>
        </w:tc>
        <w:tc>
          <w:tcPr>
            <w:tcW w:w="3000" w:type="dxa"/>
            <w:shd w:val="clear" w:color="auto" w:fill="FFFFFF"/>
            <w:vAlign w:val="center"/>
          </w:tcPr>
          <w:p w14:paraId="2F3B027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“高阶思维落地、分层实施仍有挑战”；“实践尚不成熟”</w:t>
            </w:r>
          </w:p>
        </w:tc>
      </w:tr>
      <w:tr w14:paraId="2AEBAD96">
        <w:tblPrEx>
          <w:tblCellMar>
            <w:top w:w="0" w:type="dxa"/>
            <w:left w:w="0" w:type="dxa"/>
            <w:bottom w:w="0" w:type="dxa"/>
            <w:right w:w="0" w:type="dxa"/>
          </w:tblCellMar>
        </w:tblPrEx>
        <w:trPr>
          <w:cantSplit/>
          <w:jc w:val="center"/>
        </w:trPr>
        <w:tc>
          <w:tcPr>
            <w:tcW w:w="2999" w:type="dxa"/>
            <w:shd w:val="clear" w:color="auto" w:fill="FFFFFF"/>
            <w:vAlign w:val="center"/>
          </w:tcPr>
          <w:p w14:paraId="1A48E02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实操课例；学科化案例；示范课；专家进课堂；观摩课；课堂实录；磨课</w:t>
            </w:r>
          </w:p>
        </w:tc>
        <w:tc>
          <w:tcPr>
            <w:tcW w:w="1597" w:type="dxa"/>
            <w:shd w:val="clear" w:color="auto" w:fill="FFFFFF"/>
            <w:vAlign w:val="center"/>
          </w:tcPr>
          <w:p w14:paraId="7031F02C">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课例资源；专家支持；同伴研修；学科化指导</w:t>
            </w:r>
          </w:p>
        </w:tc>
        <w:tc>
          <w:tcPr>
            <w:tcW w:w="1504" w:type="dxa"/>
            <w:shd w:val="clear" w:color="auto" w:fill="FFFFFF"/>
            <w:vAlign w:val="center"/>
          </w:tcPr>
          <w:p w14:paraId="2BB8851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学科化课例与专业支持</w:t>
            </w:r>
          </w:p>
        </w:tc>
        <w:tc>
          <w:tcPr>
            <w:tcW w:w="707" w:type="dxa"/>
            <w:shd w:val="clear" w:color="auto" w:fill="FFFFFF"/>
            <w:vAlign w:val="center"/>
          </w:tcPr>
          <w:p w14:paraId="2D339A99">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12</w:t>
            </w:r>
          </w:p>
        </w:tc>
        <w:tc>
          <w:tcPr>
            <w:tcW w:w="3000" w:type="dxa"/>
            <w:shd w:val="clear" w:color="auto" w:fill="FFFFFF"/>
            <w:vAlign w:val="center"/>
          </w:tcPr>
          <w:p w14:paraId="04F68ED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“建议多提供实操课例”；“校内组织观摩示范课，邀请专家进课堂进行专业指导”</w:t>
            </w:r>
          </w:p>
        </w:tc>
      </w:tr>
      <w:tr w14:paraId="40660206">
        <w:tblPrEx>
          <w:tblCellMar>
            <w:top w:w="0" w:type="dxa"/>
            <w:left w:w="0" w:type="dxa"/>
            <w:bottom w:w="0" w:type="dxa"/>
            <w:right w:w="0" w:type="dxa"/>
          </w:tblCellMar>
        </w:tblPrEx>
        <w:trPr>
          <w:cantSplit/>
          <w:jc w:val="center"/>
        </w:trPr>
        <w:tc>
          <w:tcPr>
            <w:tcW w:w="2999" w:type="dxa"/>
            <w:shd w:val="clear" w:color="auto" w:fill="FFFFFF"/>
            <w:vAlign w:val="center"/>
          </w:tcPr>
          <w:p w14:paraId="2C04F516">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数字技术；数字化工具；AI赋能；工具付费</w:t>
            </w:r>
          </w:p>
        </w:tc>
        <w:tc>
          <w:tcPr>
            <w:tcW w:w="1597" w:type="dxa"/>
            <w:shd w:val="clear" w:color="auto" w:fill="FFFFFF"/>
            <w:vAlign w:val="center"/>
          </w:tcPr>
          <w:p w14:paraId="3761E3B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数字工具应用；AI支持；技术条件</w:t>
            </w:r>
          </w:p>
        </w:tc>
        <w:tc>
          <w:tcPr>
            <w:tcW w:w="1504" w:type="dxa"/>
            <w:shd w:val="clear" w:color="auto" w:fill="FFFFFF"/>
            <w:vAlign w:val="center"/>
          </w:tcPr>
          <w:p w14:paraId="20FFD4D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数字化与AI支持</w:t>
            </w:r>
          </w:p>
        </w:tc>
        <w:tc>
          <w:tcPr>
            <w:tcW w:w="707" w:type="dxa"/>
            <w:shd w:val="clear" w:color="auto" w:fill="FFFFFF"/>
            <w:vAlign w:val="center"/>
          </w:tcPr>
          <w:p w14:paraId="7734A37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w:t>
            </w:r>
          </w:p>
        </w:tc>
        <w:tc>
          <w:tcPr>
            <w:tcW w:w="3000" w:type="dxa"/>
            <w:shd w:val="clear" w:color="auto" w:fill="FFFFFF"/>
            <w:vAlign w:val="center"/>
          </w:tcPr>
          <w:p w14:paraId="6E4F7B91">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“后续数字技术还需提高”；“问题链设计更指向高阶思维，AI赋能不足”</w:t>
            </w:r>
          </w:p>
        </w:tc>
      </w:tr>
      <w:tr w14:paraId="73F818F3">
        <w:tblPrEx>
          <w:tblCellMar>
            <w:top w:w="0" w:type="dxa"/>
            <w:left w:w="0" w:type="dxa"/>
            <w:bottom w:w="0" w:type="dxa"/>
            <w:right w:w="0" w:type="dxa"/>
          </w:tblCellMar>
        </w:tblPrEx>
        <w:trPr>
          <w:cantSplit/>
          <w:jc w:val="center"/>
        </w:trPr>
        <w:tc>
          <w:tcPr>
            <w:tcW w:w="2999" w:type="dxa"/>
            <w:tcBorders>
              <w:bottom w:val="single" w:color="000000" w:sz="12" w:space="0"/>
            </w:tcBorders>
            <w:shd w:val="clear" w:color="auto" w:fill="FFFFFF"/>
            <w:vAlign w:val="center"/>
          </w:tcPr>
          <w:p w14:paraId="55362663">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教研共建；同主题磨课；持续实践；日常课堂落实</w:t>
            </w:r>
          </w:p>
        </w:tc>
        <w:tc>
          <w:tcPr>
            <w:tcW w:w="1597" w:type="dxa"/>
            <w:tcBorders>
              <w:bottom w:val="single" w:color="000000" w:sz="12" w:space="0"/>
            </w:tcBorders>
            <w:shd w:val="clear" w:color="auto" w:fill="FFFFFF"/>
            <w:vAlign w:val="center"/>
          </w:tcPr>
          <w:p w14:paraId="1085BE5F">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校本研修；资源共建；持续实践</w:t>
            </w:r>
          </w:p>
        </w:tc>
        <w:tc>
          <w:tcPr>
            <w:tcW w:w="1504" w:type="dxa"/>
            <w:tcBorders>
              <w:bottom w:val="single" w:color="000000" w:sz="12" w:space="0"/>
            </w:tcBorders>
            <w:shd w:val="clear" w:color="auto" w:fill="FFFFFF"/>
            <w:vAlign w:val="center"/>
          </w:tcPr>
          <w:p w14:paraId="3A08C7E1">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校本研修与持续实践</w:t>
            </w:r>
          </w:p>
        </w:tc>
        <w:tc>
          <w:tcPr>
            <w:tcW w:w="707" w:type="dxa"/>
            <w:tcBorders>
              <w:bottom w:val="single" w:color="000000" w:sz="12" w:space="0"/>
            </w:tcBorders>
            <w:shd w:val="clear" w:color="auto" w:fill="FFFFFF"/>
            <w:vAlign w:val="center"/>
          </w:tcPr>
          <w:p w14:paraId="6A0F8634">
            <w:pPr>
              <w:overflowPunct w:val="0"/>
              <w:bidi w:val="0"/>
              <w:snapToGrid w:val="0"/>
              <w:spacing w:before="0" w:after="0" w:line="240" w:lineRule="auto"/>
              <w:ind w:firstLineChars="200"/>
              <w:jc w:val="center"/>
              <w:textAlignment w:val="auto"/>
              <w:rPr>
                <w:rFonts w:hint="eastAsia" w:ascii="宋体" w:hAnsi="宋体" w:eastAsia="宋体" w:cs="宋体"/>
                <w:szCs w:val="21"/>
              </w:rPr>
            </w:pPr>
            <w:r>
              <w:rPr>
                <w:rFonts w:hint="eastAsia" w:ascii="宋体" w:hAnsi="宋体" w:eastAsia="宋体" w:cs="宋体"/>
                <w:sz w:val="21"/>
                <w:szCs w:val="21"/>
              </w:rPr>
              <w:t>4</w:t>
            </w:r>
          </w:p>
        </w:tc>
        <w:tc>
          <w:tcPr>
            <w:tcW w:w="3000" w:type="dxa"/>
            <w:tcBorders>
              <w:bottom w:val="single" w:color="000000" w:sz="12" w:space="0"/>
            </w:tcBorders>
            <w:shd w:val="clear" w:color="auto" w:fill="FFFFFF"/>
            <w:vAlign w:val="center"/>
          </w:tcPr>
          <w:p w14:paraId="3CE7F8B5">
            <w:pPr>
              <w:overflowPunct w:val="0"/>
              <w:bidi w:val="0"/>
              <w:snapToGrid w:val="0"/>
              <w:spacing w:before="0" w:after="0" w:line="240" w:lineRule="auto"/>
              <w:ind w:firstLineChars="200"/>
              <w:jc w:val="left"/>
              <w:textAlignment w:val="auto"/>
              <w:rPr>
                <w:rFonts w:hint="eastAsia" w:ascii="宋体" w:hAnsi="宋体" w:eastAsia="宋体" w:cs="宋体"/>
                <w:szCs w:val="21"/>
              </w:rPr>
            </w:pPr>
            <w:r>
              <w:rPr>
                <w:rFonts w:hint="eastAsia" w:ascii="宋体" w:hAnsi="宋体" w:eastAsia="宋体" w:cs="宋体"/>
                <w:sz w:val="21"/>
                <w:szCs w:val="21"/>
              </w:rPr>
              <w:t>“可尝试分层探究，实现教研共建资源”；“学习的理论还要进一步联系实际，开展更多实践”</w:t>
            </w:r>
          </w:p>
        </w:tc>
      </w:tr>
    </w:tbl>
    <w:p w14:paraId="7016A0EF">
      <w:pPr>
        <w:pageBreakBefore w:val="0"/>
        <w:overflowPunct w:val="0"/>
        <w:bidi w:val="0"/>
        <w:snapToGrid w:val="0"/>
        <w:spacing w:before="0" w:after="0" w:line="360" w:lineRule="auto"/>
        <w:ind w:firstLineChars="200"/>
        <w:jc w:val="both"/>
        <w:textAlignment w:val="auto"/>
        <w:rPr>
          <w:rFonts w:hint="eastAsia" w:ascii="宋体" w:hAnsi="宋体" w:eastAsia="宋体" w:cs="宋体"/>
          <w:sz w:val="24"/>
        </w:rPr>
      </w:pPr>
      <w:r>
        <w:rPr>
          <w:rFonts w:hint="eastAsia" w:ascii="宋体" w:hAnsi="宋体" w:eastAsia="宋体" w:cs="宋体"/>
          <w:b w:val="0"/>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D8CA1D3">
      <w:pPr>
        <w:pStyle w:val="4"/>
        <w:keepNext/>
        <w:pageBreakBefore w:val="0"/>
        <w:overflowPunct w:val="0"/>
        <w:bidi w:val="0"/>
        <w:snapToGrid w:val="0"/>
        <w:spacing w:before="120" w:after="60" w:line="360" w:lineRule="auto"/>
        <w:ind w:firstLineChars="200"/>
        <w:jc w:val="left"/>
        <w:textAlignment w:val="auto"/>
        <w:rPr>
          <w:rFonts w:hint="eastAsia" w:ascii="宋体" w:hAnsi="宋体" w:eastAsia="宋体" w:cs="宋体"/>
          <w:b/>
          <w:bCs/>
          <w:color w:val="C00000"/>
          <w:sz w:val="24"/>
          <w:lang w:val="en-US" w:eastAsia="zh-CN"/>
        </w:rPr>
      </w:pPr>
      <w:bookmarkStart w:id="113" w:name="_Toc18295"/>
      <w:r>
        <w:rPr>
          <w:rFonts w:hint="eastAsia" w:ascii="宋体" w:hAnsi="宋体" w:eastAsia="宋体" w:cs="宋体"/>
          <w:b/>
          <w:bCs/>
          <w:color w:val="C00000"/>
          <w:sz w:val="28"/>
          <w:szCs w:val="28"/>
        </w:rPr>
        <w:t>4.教师</w:t>
      </w:r>
      <w:r>
        <w:rPr>
          <w:rFonts w:hint="eastAsia" w:ascii="宋体" w:hAnsi="宋体" w:eastAsia="宋体" w:cs="宋体"/>
          <w:b/>
          <w:bCs/>
          <w:color w:val="C00000"/>
          <w:sz w:val="28"/>
          <w:szCs w:val="28"/>
          <w:lang w:val="en-US" w:eastAsia="zh-CN"/>
        </w:rPr>
        <w:t>课题观察</w:t>
      </w:r>
      <w:r>
        <w:rPr>
          <w:rFonts w:hint="eastAsia" w:ascii="宋体" w:hAnsi="宋体" w:eastAsia="宋体" w:cs="宋体"/>
          <w:b/>
          <w:bCs/>
          <w:color w:val="C00000"/>
          <w:sz w:val="28"/>
          <w:szCs w:val="28"/>
        </w:rPr>
        <w:t>结果</w:t>
      </w:r>
      <w:r>
        <w:rPr>
          <w:rFonts w:hint="eastAsia" w:ascii="宋体" w:hAnsi="宋体" w:eastAsia="宋体" w:cs="宋体"/>
          <w:b/>
          <w:bCs/>
          <w:color w:val="C00000"/>
          <w:sz w:val="28"/>
          <w:szCs w:val="28"/>
          <w:lang w:val="en-US" w:eastAsia="zh-CN"/>
        </w:rPr>
        <w:t>对比分析</w:t>
      </w:r>
      <w:bookmarkEnd w:id="113"/>
    </w:p>
    <w:p w14:paraId="54281C0C">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1</w:t>
      </w:r>
      <w:r>
        <w:rPr>
          <w:rFonts w:hint="eastAsia" w:ascii="宋体" w:hAnsi="宋体" w:eastAsia="宋体" w:cs="宋体"/>
          <w:b w:val="0"/>
          <w:color w:val="C00000"/>
          <w:sz w:val="24"/>
        </w:rPr>
        <w:t>）课堂评价的总体分布</w:t>
      </w:r>
    </w:p>
    <w:p w14:paraId="309CD425">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2</w:t>
      </w:r>
      <w:r>
        <w:rPr>
          <w:rFonts w:hint="eastAsia" w:ascii="宋体" w:hAnsi="宋体" w:eastAsia="宋体" w:cs="宋体"/>
          <w:b w:val="0"/>
          <w:color w:val="C00000"/>
          <w:sz w:val="24"/>
        </w:rPr>
        <w:t>）五个维度的结构差异</w:t>
      </w:r>
    </w:p>
    <w:p w14:paraId="3B9CCAE6">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rPr>
      </w:pPr>
      <w:r>
        <w:rPr>
          <w:rFonts w:hint="eastAsia" w:ascii="宋体" w:hAnsi="宋体" w:eastAsia="宋体" w:cs="宋体"/>
          <w:b w:val="0"/>
          <w:color w:val="C00000"/>
          <w:sz w:val="24"/>
        </w:rPr>
        <w:t>（</w:t>
      </w:r>
      <w:r>
        <w:rPr>
          <w:rFonts w:hint="eastAsia" w:ascii="宋体" w:hAnsi="宋体" w:eastAsia="宋体" w:cs="宋体"/>
          <w:b w:val="0"/>
          <w:color w:val="C00000"/>
          <w:sz w:val="24"/>
          <w:lang w:val="en-US" w:eastAsia="zh-CN"/>
        </w:rPr>
        <w:t>3</w:t>
      </w:r>
      <w:r>
        <w:rPr>
          <w:rFonts w:hint="eastAsia" w:ascii="宋体" w:hAnsi="宋体" w:eastAsia="宋体" w:cs="宋体"/>
          <w:b w:val="0"/>
          <w:color w:val="C00000"/>
          <w:sz w:val="24"/>
        </w:rPr>
        <w:t>）开放评语的质性编码</w:t>
      </w:r>
    </w:p>
    <w:p w14:paraId="3E9B97F2">
      <w:pPr>
        <w:keepNext/>
        <w:pageBreakBefore w:val="0"/>
        <w:overflowPunct w:val="0"/>
        <w:bidi w:val="0"/>
        <w:snapToGrid w:val="0"/>
        <w:spacing w:before="0" w:after="0" w:line="360" w:lineRule="auto"/>
        <w:ind w:firstLineChars="200"/>
        <w:jc w:val="both"/>
        <w:textAlignment w:val="auto"/>
        <w:rPr>
          <w:rFonts w:hint="eastAsia" w:ascii="宋体" w:hAnsi="宋体" w:eastAsia="宋体" w:cs="宋体"/>
          <w:b/>
          <w:color w:val="C00000"/>
          <w:sz w:val="24"/>
          <w:lang w:val="en-US" w:eastAsia="zh-CN"/>
        </w:rPr>
      </w:pPr>
      <w:r>
        <w:rPr>
          <w:rFonts w:hint="eastAsia" w:ascii="宋体" w:hAnsi="宋体" w:eastAsia="宋体" w:cs="宋体"/>
          <w:b w:val="0"/>
          <w:color w:val="C00000"/>
          <w:sz w:val="24"/>
          <w:lang w:eastAsia="zh-CN"/>
        </w:rPr>
        <w:t>（</w:t>
      </w:r>
      <w:r>
        <w:rPr>
          <w:rFonts w:hint="eastAsia" w:ascii="宋体" w:hAnsi="宋体" w:eastAsia="宋体" w:cs="宋体"/>
          <w:b w:val="0"/>
          <w:color w:val="C00000"/>
          <w:sz w:val="24"/>
          <w:lang w:val="en-US" w:eastAsia="zh-CN"/>
        </w:rPr>
        <w:t>4）小结</w:t>
      </w:r>
    </w:p>
    <w:p w14:paraId="7CD17D59">
      <w:pPr>
        <w:pStyle w:val="4"/>
        <w:keepNext/>
        <w:keepLines w:val="0"/>
        <w:pageBreakBefore w:val="0"/>
        <w:widowControl/>
        <w:suppressLineNumbers w:val="0"/>
        <w:overflowPunct w:val="0"/>
        <w:bidi w:val="0"/>
        <w:snapToGrid/>
        <w:spacing w:before="280" w:after="280" w:line="360" w:lineRule="auto"/>
        <w:ind w:firstLineChars="200"/>
        <w:textAlignment w:val="auto"/>
        <w:rPr>
          <w:rFonts w:hint="eastAsia" w:ascii="宋体" w:hAnsi="宋体" w:eastAsia="宋体" w:cs="宋体"/>
          <w:sz w:val="24"/>
          <w:szCs w:val="24"/>
        </w:rPr>
      </w:pPr>
      <w:bookmarkStart w:id="114" w:name="_Toc24430"/>
      <w:r>
        <w:rPr>
          <w:rFonts w:hint="eastAsia" w:ascii="宋体" w:hAnsi="宋体" w:eastAsia="宋体" w:cs="宋体"/>
          <w:b/>
          <w:color w:val="auto"/>
          <w:sz w:val="28"/>
          <w:szCs w:val="24"/>
          <w:lang w:val="en-US" w:eastAsia="zh-CN"/>
        </w:rPr>
        <w:t>5.</w:t>
      </w:r>
      <w:r>
        <w:rPr>
          <w:rFonts w:hint="eastAsia" w:ascii="宋体" w:hAnsi="宋体" w:eastAsia="宋体" w:cs="宋体"/>
          <w:b/>
          <w:color w:val="auto"/>
          <w:sz w:val="28"/>
          <w:szCs w:val="24"/>
        </w:rPr>
        <w:t>基于实</w:t>
      </w:r>
      <w:r>
        <w:rPr>
          <w:rFonts w:hint="eastAsia" w:ascii="宋体" w:hAnsi="宋体" w:eastAsia="宋体" w:cs="宋体"/>
          <w:b/>
          <w:sz w:val="28"/>
          <w:szCs w:val="24"/>
        </w:rPr>
        <w:t>践证据的模型迭代与形成</w:t>
      </w:r>
      <w:bookmarkEnd w:id="114"/>
    </w:p>
    <w:p w14:paraId="2BFF2529">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经过多轮学科课堂与科创教育实践，课题组在保留前期核心要素的基础上，进一步明确能力目标、学生学习、教师调节、实践场域和评价证据之间的关系，形成“可见的学习”视域下中学生高阶能力培育模型2.0版。模型的迭代以实践问题为起点，通过课堂表现、学生作品、反馈修订和阶段调查识别改进方向，使模型由学习路径设计逐步发展为教与学协同运行的整体框架。</w:t>
      </w:r>
    </w:p>
    <w:p w14:paraId="6A2D9CB5">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5" w:name="_Toc16045"/>
      <w:r>
        <w:rPr>
          <w:rFonts w:hint="eastAsia" w:ascii="宋体" w:hAnsi="宋体" w:eastAsia="宋体" w:cs="宋体"/>
          <w:b/>
          <w:sz w:val="28"/>
          <w:szCs w:val="24"/>
        </w:rPr>
        <w:t>（1）实践检验与模型调整的依据</w:t>
      </w:r>
      <w:bookmarkEnd w:id="115"/>
    </w:p>
    <w:p w14:paraId="1D941412">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研究初期，课题组首先关注高阶能力如何进入学生学习过程，逐步形成目标引领、任务驱动、探究展学、反馈迭代和反思迁移的五环路径。实践表明，环节完整并不必然意味着学习深入：学生参与讨论，不一定能够说明依据；教师提供反馈，也不一定带来学生的实际修订。同样的任务在不同课堂中的实施质量存在差异，提示研究需要进一步关注教师支持、学生表现及其相互作用。</w:t>
      </w:r>
    </w:p>
    <w:p w14:paraId="5FC9582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课题组据此将前后测、课堂评价、AI课堂行为、学习单、作品版本及教师反思结合使用。阶段调查用于观察师生自评变化，课堂与作品材料用于定位具体问题、解释调整过程。模型完善遵循实践检验、证据采集、问题发现、优化调整、再次实践和比较反思的循环，重视保存调整前、调整依据与调整后的材料。</w:t>
      </w:r>
    </w:p>
    <w:p w14:paraId="13E32A14">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例如，部分课堂的小组讨论较充分，但总结主要由教师完成，学生缺少回看标准和修改观点的机会。针对这一问题，实践中强化成功标准回看、同伴反馈与二次表达，再比较学生前后的回答和作品。这使反馈迭代由提供意见进一步落实为学生依据反馈形成新的表现。</w:t>
      </w:r>
    </w:p>
    <w:p w14:paraId="1E2B6435">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6" w:name="_Toc14689"/>
      <w:r>
        <w:rPr>
          <w:rFonts w:hint="eastAsia" w:ascii="宋体" w:hAnsi="宋体" w:eastAsia="宋体" w:cs="宋体"/>
          <w:b/>
          <w:sz w:val="28"/>
          <w:szCs w:val="24"/>
        </w:rPr>
        <w:t>（2）总模型的结构性迭代</w:t>
      </w:r>
      <w:bookmarkEnd w:id="116"/>
    </w:p>
    <w:p w14:paraId="469EF37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前期模型侧重学生怎样学，2.0版进一步建立能力目标、学习过程、教师支持、场域转化和证据反馈之间的联系。育人导向依据新课标核心素养要求，关注正确价值观、必备品格和关键能力；中学生高阶能力作为统一目标，并列呈现分析、评价、创造、责任担当、情绪调节、合作共情和包容创新七个维度，体现复杂任务中认知加工、自我调节和社会协作的共同要求。</w:t>
      </w:r>
    </w:p>
    <w:p w14:paraId="5BBDF3E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模型以浅层学习、深层学习和迁移学习描述学习进阶，并以六类认知过程作为任务要求的分析参照；两境四维关注常规情境及复杂、冲突、开放情境中的责任担当、情绪调节、合作共情和包容创新表现。三层学习、六类认知过程与七维能力分别承担进阶描述、任务分析和能力观察的功能，不作机械的一一对应。相关进阶描述属于本研究的实践性框架，需通过不同学科的表现样例持续校准。</w:t>
      </w:r>
    </w:p>
    <w:p w14:paraId="02E6630E">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可见的学习”承担素养要求向学习目标、任务和表现标准转化的作用。学生的目标、思维、证据、进步与能力通过具体表现被识别，教师的诊断、支架、反馈和调节也通过课堂行动及其影响得到呈现。模型因此从学习活动的组织，进一步走向师生共同理解要求、使用证据和调整行动的实践系统。</w:t>
      </w:r>
    </w:p>
    <w:p w14:paraId="119068AA">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7" w:name="_Toc7531"/>
      <w:r>
        <w:rPr>
          <w:rFonts w:hint="eastAsia" w:ascii="宋体" w:hAnsi="宋体" w:eastAsia="宋体" w:cs="宋体"/>
          <w:b/>
          <w:sz w:val="28"/>
          <w:szCs w:val="24"/>
        </w:rPr>
        <w:t>（3）五环学习模型的内涵深化</w:t>
      </w:r>
      <w:bookmarkEnd w:id="117"/>
    </w:p>
    <w:p w14:paraId="1741722F">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环基本结构保持稳定，其深化体现在各环节的学习质量要求。目标引领强调学生理解方向、成功标准和预期表现；任务驱动要求问题形成真实认知挑战；探究展学关注分析过程、证据使用、观点解释和合作协商的外显；反馈迭代要求学生根据标准和反馈形成新的回答、方案或作品；反思迁移要求学生提炼方法、辨识适用条件，并在新情境中调整运用。</w:t>
      </w:r>
    </w:p>
    <w:p w14:paraId="664D47D5">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拿来主义》中从初始观点到文本证据支持和观点修订，《光的折射》中通过实验数据与异常现象讨论修正解释，以及写作和单元学习中的版本变化与方法迁移，共同说明学习质量需要通过实际表现的变化判断。模型观察重点由五环是否实施，转向各环节产生什么学习表现、这些表现如何相互衔接。</w:t>
      </w:r>
    </w:p>
    <w:p w14:paraId="29F30B4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迁移不另设能力维度，而作为跨情境运用知识与方法的要求贯穿学习过程，在反思迁移环节集中体现，并与创造维度中的知识整合、新情境应用和方案调整相联系。迁移的质量取决于学生能否理解新条件并调整原有方法，而不仅是重复已经学过的步骤。</w:t>
      </w:r>
    </w:p>
    <w:p w14:paraId="112E242A">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8" w:name="_Toc13322"/>
      <w:r>
        <w:rPr>
          <w:rFonts w:hint="eastAsia" w:ascii="宋体" w:hAnsi="宋体" w:eastAsia="宋体" w:cs="宋体"/>
          <w:b/>
          <w:sz w:val="28"/>
          <w:szCs w:val="24"/>
        </w:rPr>
        <w:t>（4）教师四步调节的循证优化</w:t>
      </w:r>
      <w:bookmarkEnd w:id="118"/>
    </w:p>
    <w:p w14:paraId="699F1E9A">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诊断发现、干预设计、实施推进和评估改进构成教师调节的四步循环。诊断发现由课前了解学情延伸至全过程，通过回答、讨论、作品和错误识别学生状态；干预设计依据真实困难选择问题、支架、资源与反馈；实施推进根据现场表现调整追问、示例、时间及合作安排；评估改进通过学生后续表现判断支持是否适切，形成下一轮调整的依据。</w:t>
      </w:r>
    </w:p>
    <w:p w14:paraId="5B6E73DB">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四步的优化使教师专业判断更多建立在学习证据之上。学生只有结论时，教师可以追问理由；方案缺少比较时，可以引入新的约束；反馈后作品没有变化时，需要检查标准是否清楚、修改机会是否充分。教师由此持续追问学生学到哪里、困难是什么、支持带来什么变化，使教学设计接受学生实际表现的检验。</w:t>
      </w:r>
    </w:p>
    <w:p w14:paraId="66F26F8F">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19" w:name="_Toc10853"/>
      <w:r>
        <w:rPr>
          <w:rFonts w:hint="eastAsia" w:ascii="宋体" w:hAnsi="宋体" w:eastAsia="宋体" w:cs="宋体"/>
          <w:b/>
          <w:sz w:val="28"/>
          <w:szCs w:val="24"/>
        </w:rPr>
        <w:t>（5）教与学协同运行及五见贯穿</w:t>
      </w:r>
      <w:bookmarkEnd w:id="119"/>
    </w:p>
    <w:p w14:paraId="1F70B297">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新版学习模型以学生五环为学习主线，以教师四步为持续调节过程。教师依据学习证据对五环全过程提供支持，五环之间允许回返，教师四步也可根据现场表现重新启动。图中的上下联系表示证据与支持的往返，并不意味着教师四步与学生五环逐项对应，也不要求将五环按课时机械切分。</w:t>
      </w:r>
    </w:p>
    <w:p w14:paraId="76B6379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五见在同一层次贯穿教与学。目标可见明确方向与成功标准，思维可见呈现分析和判断过程，证据可见支持解释与评价，进步可见帮助比较前后表现，能力可见通过任务综合呈现知识、方法和相关社会情感表现。五见是观察与使用学习信息的要求，不构成独立于五环之外的新增步骤。</w:t>
      </w:r>
    </w:p>
    <w:p w14:paraId="5F74E5E7">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协同运行表现为学生学习产生证据、教师依据证据调节、学生形成新的表现，新的表现再次成为诊断与改进的依据。学科基础域与科创拓展域共用这一运行逻辑，但各环节的任务要求有所不同。学科中的目标理解、问题分析、探究论证、反馈修订和方法迁移，在科创中进一步表现为需求界定、取证与方案形成、方案评审与原型验证、修改后再次验证，以及新条件下的拓展应用。</w:t>
      </w:r>
    </w:p>
    <w:p w14:paraId="7F5FA055">
      <w:pPr>
        <w:pageBreakBefore w:val="0"/>
        <w:overflowPunct w:val="0"/>
        <w:bidi w:val="0"/>
        <w:snapToGrid/>
        <w:spacing w:line="360" w:lineRule="auto"/>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125085" cy="3205480"/>
            <wp:effectExtent l="0" t="0" r="8890" b="4445"/>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38"/>
                    <a:stretch>
                      <a:fillRect/>
                    </a:stretch>
                  </pic:blipFill>
                  <pic:spPr>
                    <a:xfrm>
                      <a:off x="0" y="0"/>
                      <a:ext cx="5125085" cy="3205480"/>
                    </a:xfrm>
                    <a:prstGeom prst="rect">
                      <a:avLst/>
                    </a:prstGeom>
                    <a:noFill/>
                  </pic:spPr>
                </pic:pic>
              </a:graphicData>
            </a:graphic>
          </wp:inline>
        </w:drawing>
      </w:r>
    </w:p>
    <w:p w14:paraId="1EDAA0E1">
      <w:pPr>
        <w:pageBreakBefore w:val="0"/>
        <w:overflowPunct w:val="0"/>
        <w:bidi w:val="0"/>
        <w:snapToGrid/>
        <w:spacing w:line="240" w:lineRule="auto"/>
        <w:ind w:firstLineChars="200"/>
        <w:jc w:val="center"/>
        <w:textAlignment w:val="auto"/>
        <w:rPr>
          <w:rFonts w:hint="eastAsia" w:ascii="宋体" w:hAnsi="宋体" w:eastAsia="宋体" w:cs="宋体"/>
          <w:sz w:val="24"/>
          <w:szCs w:val="24"/>
        </w:rPr>
      </w:pPr>
      <w:r>
        <w:rPr>
          <w:rFonts w:hint="eastAsia" w:ascii="宋体" w:hAnsi="宋体" w:eastAsia="宋体" w:cs="宋体"/>
          <w:b w:val="0"/>
          <w:sz w:val="21"/>
        </w:rPr>
        <w:t>图3-43  “可见的学习”视域下五环学习模型（2.0版）</w:t>
      </w:r>
    </w:p>
    <w:p w14:paraId="11A349A4">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20" w:name="_Toc20832"/>
      <w:r>
        <w:rPr>
          <w:rFonts w:hint="eastAsia" w:ascii="宋体" w:hAnsi="宋体" w:eastAsia="宋体" w:cs="宋体"/>
          <w:b/>
          <w:sz w:val="28"/>
          <w:szCs w:val="24"/>
        </w:rPr>
        <w:t>（6）学科奠基与科创拓展的场域转化</w:t>
      </w:r>
      <w:bookmarkEnd w:id="120"/>
    </w:p>
    <w:p w14:paraId="5937795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教学是高阶能力培育的基础域，围绕知识、目标、实践和评价四要素组织学习，承担概念理解、方法掌握、学科思维形成和持续练习的任务。科创教育是综合运用与拓展域，在四要素基础上增加方案要素，形成知识、目标、方案、实践和评价五要素。方案将知识与目标转化为能够评审、制作、测试和修订的设计，连接学习要求与具体实践。四要素、五要素属于设计要素，五环属于学习过程，二者不作逐项对应。</w:t>
      </w:r>
    </w:p>
    <w:p w14:paraId="08FB1472">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课堂与科创项目均包含浅层、深层和迁移学习。在学科基础域，三个层次分别关注概念与方法、知识联系与分析论证、新情境中的方法运用；在科创拓展域，则分别关注问题理解与工具掌握、方案设计与原型验证、方案迭代与成果应用。科创拓展体现在情境开放度、知识整合程度和实践约束的增加，并不意味着学科课堂只承担浅层学习。</w:t>
      </w:r>
    </w:p>
    <w:p w14:paraId="76696B4B">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学科知识与方法为项目实践提供基础，项目中的问题、测试结果和实践经验又反馈至学科教学，促进理解与方法深化。由此，两域形成学科奠基、科创拓展、经验反馈的联系。方案评审、验证与展示可根据项目需要多次开展，教师依据学生表现调整任务和支架，使共同模型适应不同周期与成果要求。</w:t>
      </w:r>
    </w:p>
    <w:p w14:paraId="48E2C123">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比较两域案例后，课题组提炼出真实情境的任务性实践、方案比较的验证性实践、证据支撑的论证性实践、协同探究的建构性实践和综合迁移的创新性实践五种典型样态。它们提供问题承担、方案检验、依据解释、共同认识与跨情境运用的观察视角，不增加教学步骤，也不要求每次实践同时呈现全部样态。</w:t>
      </w:r>
    </w:p>
    <w:p w14:paraId="01A3FBA0">
      <w:pPr>
        <w:pStyle w:val="2"/>
        <w:keepNext/>
        <w:pageBreakBefore w:val="0"/>
        <w:overflowPunct w:val="0"/>
        <w:bidi w:val="0"/>
        <w:snapToGrid/>
        <w:spacing w:line="360" w:lineRule="auto"/>
        <w:ind w:firstLine="562" w:firstLineChars="200"/>
        <w:textAlignment w:val="auto"/>
        <w:outlineLvl w:val="3"/>
        <w:rPr>
          <w:rFonts w:hint="eastAsia" w:ascii="宋体" w:hAnsi="宋体" w:eastAsia="宋体" w:cs="宋体"/>
          <w:sz w:val="24"/>
          <w:szCs w:val="24"/>
        </w:rPr>
      </w:pPr>
      <w:bookmarkStart w:id="121" w:name="_Toc21561"/>
      <w:r>
        <w:rPr>
          <w:rFonts w:hint="eastAsia" w:ascii="宋体" w:hAnsi="宋体" w:eastAsia="宋体" w:cs="宋体"/>
          <w:b/>
          <w:sz w:val="28"/>
          <w:szCs w:val="24"/>
        </w:rPr>
        <w:t>（7）模型2.0版的形成及持续完善</w:t>
      </w:r>
      <w:bookmarkEnd w:id="121"/>
    </w:p>
    <w:p w14:paraId="3D3DB265">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模型2.0以新课标核心素养要求为育人导向，以分析、评价、创造、责任担当、情绪调节、合作共情和包容创新为统一能力目标，通过发展参照、可见学习、两域转化、教与学协同、典型样态与多源证据建立整体联系。学生层面结合前后测、学习成果和体验，课堂层面结合专业评价、学习表现和AI行为，教师层面结合问卷、访谈与反思，依据目标和表现标准作出判断。阶段自评变化支持整体观察，具体模型调整仍需回到课堂与项目材料。</w:t>
      </w:r>
    </w:p>
    <w:p w14:paraId="4521ABE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多源证据不仅用于阶段总结，也反向支持模型调整。图中的外部反馈路径表示实践中形成的信息能够返回目标理解、任务组织和教与学协同过程，推动重新判断与再次设计。阶段自评与课堂表现具有不同含义，模型完善应以多类材料相互参照，避免用单一行为或一次评分替代能力判断。</w:t>
      </w:r>
    </w:p>
    <w:p w14:paraId="778E202D">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与前期相比，总模型实现了结构上的整合，学习模型深化了表现、反馈与迁移要求，教学模型强化了依据证据循环调节的运行方式。最终形成的模型保持基本结构稳定，同时允许不同学科、项目和学生群体作适切调整。其共同要求是看清学生当前状态，观察学习怎样发生，依据后续表现判断支持作用，再决定下一步怎样改进。</w:t>
      </w:r>
    </w:p>
    <w:p w14:paraId="358D7728">
      <w:pPr>
        <w:pageBreakBefore w:val="0"/>
        <w:overflowPunct w:val="0"/>
        <w:bidi w:val="0"/>
        <w:snapToGrid/>
        <w:spacing w:before="0" w:after="0" w:line="360" w:lineRule="auto"/>
        <w:ind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综上，学习模型侧重说明两域共用的教与学运行方式，总模型进一步呈现其与育人目标、发展参照、实践设计及评价证据的关系。模型形成意味着研究获得了可供持续检验和改进的解释框架，尚不等同于其各组成要素及作用关系均已得到独立验证。后续需通过连续任务、作品版本与课堂记录，进一步检验模型在不同学科和学生群体中的适切性。</w:t>
      </w:r>
    </w:p>
    <w:p w14:paraId="5CEA7803">
      <w:pPr>
        <w:pageBreakBefore w:val="0"/>
        <w:overflowPunct w:val="0"/>
        <w:bidi w:val="0"/>
        <w:snapToGrid/>
        <w:spacing w:line="360" w:lineRule="auto"/>
        <w:ind w:firstLineChars="200"/>
        <w:textAlignment w:val="auto"/>
        <w:rPr>
          <w:rFonts w:hint="eastAsia" w:ascii="宋体" w:hAnsi="宋体" w:eastAsia="宋体" w:cs="宋体"/>
          <w:sz w:val="24"/>
          <w:szCs w:val="24"/>
        </w:rPr>
      </w:pPr>
      <w:r>
        <w:rPr>
          <w:rFonts w:hint="eastAsia" w:ascii="宋体" w:hAnsi="宋体" w:eastAsia="宋体" w:cs="宋体"/>
        </w:rPr>
        <w:br w:type="page"/>
      </w:r>
    </w:p>
    <w:p w14:paraId="75B6DF27">
      <w:pPr>
        <w:spacing w:before="0" w:after="0"/>
        <w:rPr>
          <w:rFonts w:hint="eastAsia" w:ascii="宋体" w:hAnsi="宋体" w:eastAsia="宋体" w:cs="宋体"/>
        </w:rPr>
      </w:pPr>
      <w:r>
        <w:rPr>
          <w:rFonts w:hint="eastAsia" w:ascii="宋体" w:hAnsi="宋体" w:eastAsia="宋体" w:cs="宋体"/>
        </w:rPr>
        <w:drawing>
          <wp:inline distT="0" distB="0" distL="0" distR="0">
            <wp:extent cx="5161915" cy="7743825"/>
            <wp:effectExtent l="0" t="0" r="635"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39"/>
                    <a:stretch>
                      <a:fillRect/>
                    </a:stretch>
                  </pic:blipFill>
                  <pic:spPr>
                    <a:xfrm>
                      <a:off x="0" y="0"/>
                      <a:ext cx="5161915" cy="7743825"/>
                    </a:xfrm>
                    <a:prstGeom prst="rect">
                      <a:avLst/>
                    </a:prstGeom>
                    <a:noFill/>
                  </pic:spPr>
                </pic:pic>
              </a:graphicData>
            </a:graphic>
          </wp:inline>
        </w:drawing>
      </w:r>
    </w:p>
    <w:p w14:paraId="446AB981">
      <w:pPr>
        <w:spacing w:line="240" w:lineRule="auto"/>
        <w:ind w:firstLine="0"/>
        <w:jc w:val="center"/>
        <w:rPr>
          <w:rFonts w:hint="eastAsia" w:ascii="宋体" w:hAnsi="宋体" w:eastAsia="宋体" w:cs="宋体"/>
        </w:rPr>
      </w:pPr>
      <w:r>
        <w:rPr>
          <w:rFonts w:hint="eastAsia" w:ascii="宋体" w:hAnsi="宋体" w:eastAsia="宋体" w:cs="宋体"/>
          <w:b w:val="0"/>
          <w:sz w:val="21"/>
        </w:rPr>
        <w:t>图3-44  “可见的学习”视域下中学生高阶能力培育模型（2.0版）</w:t>
      </w:r>
    </w:p>
    <w:p w14:paraId="01D1FD3C">
      <w:pPr>
        <w:pStyle w:val="11"/>
        <w:keepNext w:val="0"/>
        <w:keepLines w:val="0"/>
        <w:widowControl/>
        <w:suppressLineNumbers w:val="0"/>
        <w:rPr>
          <w:rFonts w:hint="eastAsia" w:ascii="宋体" w:hAnsi="宋体" w:eastAsia="宋体" w:cs="宋体"/>
        </w:rPr>
      </w:pPr>
    </w:p>
    <w:p w14:paraId="0070940D">
      <w:pPr>
        <w:keepNext/>
        <w:pageBreakBefore w:val="0"/>
        <w:overflowPunct w:val="0"/>
        <w:bidi w:val="0"/>
        <w:snapToGrid w:val="0"/>
        <w:spacing w:before="60" w:after="0" w:line="360" w:lineRule="auto"/>
        <w:jc w:val="left"/>
        <w:textAlignment w:val="auto"/>
        <w:rPr>
          <w:rFonts w:hint="eastAsia" w:ascii="宋体" w:hAnsi="宋体" w:eastAsia="宋体" w:cs="宋体"/>
          <w:b/>
          <w:color w:val="C00000"/>
          <w:sz w:val="24"/>
          <w:lang w:val="en-US" w:eastAsia="zh-CN"/>
        </w:rPr>
      </w:pPr>
    </w:p>
    <w:p w14:paraId="36B265A5">
      <w:pPr>
        <w:pStyle w:val="2"/>
        <w:keepNext/>
        <w:ind w:firstLine="0"/>
        <w:rPr>
          <w:rFonts w:hint="eastAsia" w:ascii="宋体" w:hAnsi="宋体" w:eastAsia="宋体" w:cs="宋体"/>
        </w:rPr>
      </w:pPr>
      <w:bookmarkStart w:id="122" w:name="_Toc25217"/>
      <w:r>
        <w:rPr>
          <w:rFonts w:hint="eastAsia" w:ascii="宋体" w:hAnsi="宋体" w:eastAsia="宋体" w:cs="宋体"/>
          <w:b/>
          <w:sz w:val="28"/>
        </w:rPr>
        <w:t>四、研究成果与实践成效</w:t>
      </w:r>
      <w:bookmarkEnd w:id="122"/>
    </w:p>
    <w:p w14:paraId="06A9888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经过三年持续研究，本课题围绕中学生高阶能力怎样进入真实学习、教师怎样提供有效支持以及学校怎样持续推进实践，形成了学习模型、教与学协同运行方式、两域转化路径、典型样态和评价工具等成果。实践材料呈现出学生七维能力自评提高、教师课堂实践与自我效能增强，以及校本研修更加关注学习证据的积极变化。研究据此进一步完善模型，使成果建构与实践成效形成相互支撑的关系。</w:t>
      </w:r>
    </w:p>
    <w:p w14:paraId="58EA68B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部分以1346组学生前后测记录和163组教师对应记录为量化分析依据，结合课堂专业评价、AI行为记录、开放性回答与案例材料，分别论述成果内容、师生变化、学科向科创的拓展及学校层面的持续改进。问卷回答阶段自评是否变化，课堂与作品解释变化的具体表现，研修资料说明成果如何进入组织实践。实践过程中形成的证据支持模型完善，最终2.0版是对已有设计、实践经验和调整结果的整合，不将其所有组成关系视为已由前期问卷独立验证。</w:t>
      </w:r>
    </w:p>
    <w:p w14:paraId="0D208822">
      <w:pPr>
        <w:pStyle w:val="3"/>
        <w:keepNext/>
        <w:ind w:firstLine="0"/>
        <w:rPr>
          <w:rFonts w:hint="eastAsia" w:ascii="宋体" w:hAnsi="宋体" w:eastAsia="宋体" w:cs="宋体"/>
        </w:rPr>
      </w:pPr>
      <w:bookmarkStart w:id="123" w:name="_Toc14498"/>
      <w:r>
        <w:rPr>
          <w:rFonts w:hint="eastAsia" w:ascii="宋体" w:hAnsi="宋体" w:eastAsia="宋体" w:cs="宋体"/>
          <w:b/>
          <w:sz w:val="28"/>
        </w:rPr>
        <w:t>（一）主要研究成果</w:t>
      </w:r>
      <w:bookmarkEnd w:id="123"/>
    </w:p>
    <w:p w14:paraId="6DB7F2E4">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  研究内容与主要成果的对应关系</w:t>
      </w:r>
    </w:p>
    <w:tbl>
      <w:tblPr>
        <w:tblStyle w:val="12"/>
        <w:tblW w:w="9216" w:type="dxa"/>
        <w:tblInd w:w="108" w:type="dxa"/>
        <w:tblLayout w:type="fixed"/>
        <w:tblCellMar>
          <w:top w:w="0" w:type="dxa"/>
          <w:left w:w="108" w:type="dxa"/>
          <w:bottom w:w="0" w:type="dxa"/>
          <w:right w:w="108" w:type="dxa"/>
        </w:tblCellMar>
      </w:tblPr>
      <w:tblGrid>
        <w:gridCol w:w="1512"/>
        <w:gridCol w:w="3384"/>
        <w:gridCol w:w="4320"/>
      </w:tblGrid>
      <w:tr w14:paraId="4FBE6B9A">
        <w:tblPrEx>
          <w:tblCellMar>
            <w:top w:w="0" w:type="dxa"/>
            <w:left w:w="108" w:type="dxa"/>
            <w:bottom w:w="0" w:type="dxa"/>
            <w:right w:w="108" w:type="dxa"/>
          </w:tblCellMar>
        </w:tblPrEx>
        <w:trPr>
          <w:cantSplit/>
          <w:tblHeader/>
        </w:trPr>
        <w:tc>
          <w:tcPr>
            <w:tcW w:w="1512" w:type="dxa"/>
            <w:tcBorders>
              <w:top w:val="single" w:color="000000" w:sz="8" w:space="0"/>
              <w:bottom w:val="single" w:color="000000" w:sz="8" w:space="0"/>
            </w:tcBorders>
            <w:vAlign w:val="center"/>
          </w:tcPr>
          <w:p w14:paraId="21CECB42">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研究关注</w:t>
            </w:r>
          </w:p>
        </w:tc>
        <w:tc>
          <w:tcPr>
            <w:tcW w:w="3384" w:type="dxa"/>
            <w:tcBorders>
              <w:top w:val="single" w:color="000000" w:sz="8" w:space="0"/>
              <w:bottom w:val="single" w:color="000000" w:sz="8" w:space="0"/>
            </w:tcBorders>
            <w:vAlign w:val="center"/>
          </w:tcPr>
          <w:p w14:paraId="371747D5">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主要成果</w:t>
            </w:r>
          </w:p>
        </w:tc>
        <w:tc>
          <w:tcPr>
            <w:tcW w:w="4320" w:type="dxa"/>
            <w:tcBorders>
              <w:top w:val="single" w:color="000000" w:sz="8" w:space="0"/>
              <w:bottom w:val="single" w:color="000000" w:sz="8" w:space="0"/>
            </w:tcBorders>
            <w:vAlign w:val="center"/>
          </w:tcPr>
          <w:p w14:paraId="5D677A75">
            <w:pPr>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回应的问题</w:t>
            </w:r>
          </w:p>
        </w:tc>
      </w:tr>
      <w:tr w14:paraId="5D240DD6">
        <w:tblPrEx>
          <w:tblCellMar>
            <w:top w:w="0" w:type="dxa"/>
            <w:left w:w="108" w:type="dxa"/>
            <w:bottom w:w="0" w:type="dxa"/>
            <w:right w:w="108" w:type="dxa"/>
          </w:tblCellMar>
        </w:tblPrEx>
        <w:trPr>
          <w:cantSplit/>
        </w:trPr>
        <w:tc>
          <w:tcPr>
            <w:tcW w:w="1512" w:type="dxa"/>
            <w:vAlign w:val="center"/>
          </w:tcPr>
          <w:p w14:paraId="5C99C7B9">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学生怎样学</w:t>
            </w:r>
          </w:p>
        </w:tc>
        <w:tc>
          <w:tcPr>
            <w:tcW w:w="3384" w:type="dxa"/>
            <w:vAlign w:val="center"/>
          </w:tcPr>
          <w:p w14:paraId="0D6C65D4">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五环学习模型</w:t>
            </w:r>
          </w:p>
        </w:tc>
        <w:tc>
          <w:tcPr>
            <w:tcW w:w="4320" w:type="dxa"/>
            <w:vAlign w:val="center"/>
          </w:tcPr>
          <w:p w14:paraId="2EEE9976">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将高阶能力要求转化为学生能够经历的学习过程</w:t>
            </w:r>
          </w:p>
        </w:tc>
      </w:tr>
      <w:tr w14:paraId="53D8C6EF">
        <w:tblPrEx>
          <w:tblCellMar>
            <w:top w:w="0" w:type="dxa"/>
            <w:left w:w="108" w:type="dxa"/>
            <w:bottom w:w="0" w:type="dxa"/>
            <w:right w:w="108" w:type="dxa"/>
          </w:tblCellMar>
        </w:tblPrEx>
        <w:trPr>
          <w:cantSplit/>
        </w:trPr>
        <w:tc>
          <w:tcPr>
            <w:tcW w:w="1512" w:type="dxa"/>
            <w:vAlign w:val="center"/>
          </w:tcPr>
          <w:p w14:paraId="753A1DCA">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教师怎样教</w:t>
            </w:r>
          </w:p>
        </w:tc>
        <w:tc>
          <w:tcPr>
            <w:tcW w:w="3384" w:type="dxa"/>
            <w:vAlign w:val="center"/>
          </w:tcPr>
          <w:p w14:paraId="117B0A3C">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四步调节教学模型</w:t>
            </w:r>
          </w:p>
        </w:tc>
        <w:tc>
          <w:tcPr>
            <w:tcW w:w="4320" w:type="dxa"/>
            <w:vAlign w:val="center"/>
          </w:tcPr>
          <w:p w14:paraId="5446A8D0">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依据学习证据诊断、支持并改进教学</w:t>
            </w:r>
          </w:p>
        </w:tc>
      </w:tr>
      <w:tr w14:paraId="1D3A03E2">
        <w:tblPrEx>
          <w:tblCellMar>
            <w:top w:w="0" w:type="dxa"/>
            <w:left w:w="108" w:type="dxa"/>
            <w:bottom w:w="0" w:type="dxa"/>
            <w:right w:w="108" w:type="dxa"/>
          </w:tblCellMar>
        </w:tblPrEx>
        <w:trPr>
          <w:cantSplit/>
        </w:trPr>
        <w:tc>
          <w:tcPr>
            <w:tcW w:w="1512" w:type="dxa"/>
            <w:vAlign w:val="center"/>
          </w:tcPr>
          <w:p w14:paraId="4BCBC69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教与学怎样协同</w:t>
            </w:r>
          </w:p>
        </w:tc>
        <w:tc>
          <w:tcPr>
            <w:tcW w:w="3384" w:type="dxa"/>
            <w:vAlign w:val="center"/>
          </w:tcPr>
          <w:p w14:paraId="75CC634B">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高阶能力培育总模型2.0</w:t>
            </w:r>
          </w:p>
        </w:tc>
        <w:tc>
          <w:tcPr>
            <w:tcW w:w="4320" w:type="dxa"/>
            <w:vAlign w:val="center"/>
          </w:tcPr>
          <w:p w14:paraId="78DE385E">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连接能力目标、学习、教学、场域、证据与改进</w:t>
            </w:r>
          </w:p>
        </w:tc>
      </w:tr>
      <w:tr w14:paraId="332268D8">
        <w:tblPrEx>
          <w:tblCellMar>
            <w:top w:w="0" w:type="dxa"/>
            <w:left w:w="108" w:type="dxa"/>
            <w:bottom w:w="0" w:type="dxa"/>
            <w:right w:w="108" w:type="dxa"/>
          </w:tblCellMar>
        </w:tblPrEx>
        <w:trPr>
          <w:cantSplit/>
        </w:trPr>
        <w:tc>
          <w:tcPr>
            <w:tcW w:w="1512" w:type="dxa"/>
            <w:vAlign w:val="center"/>
          </w:tcPr>
          <w:p w14:paraId="314130DA">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在哪里实践</w:t>
            </w:r>
          </w:p>
        </w:tc>
        <w:tc>
          <w:tcPr>
            <w:tcW w:w="3384" w:type="dxa"/>
            <w:vAlign w:val="center"/>
          </w:tcPr>
          <w:p w14:paraId="730A12A6">
            <w:pPr>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学科奠基与科创拓展路径</w:t>
            </w:r>
          </w:p>
        </w:tc>
        <w:tc>
          <w:tcPr>
            <w:tcW w:w="4320" w:type="dxa"/>
            <w:vAlign w:val="center"/>
          </w:tcPr>
          <w:p w14:paraId="4BA09373">
            <w:pPr>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学科四要素向科创五要素拓展并反馈</w:t>
            </w:r>
          </w:p>
        </w:tc>
      </w:tr>
      <w:tr w14:paraId="6AEE6E59">
        <w:tblPrEx>
          <w:tblCellMar>
            <w:top w:w="0" w:type="dxa"/>
            <w:left w:w="108" w:type="dxa"/>
            <w:bottom w:w="0" w:type="dxa"/>
            <w:right w:w="108" w:type="dxa"/>
          </w:tblCellMar>
        </w:tblPrEx>
        <w:trPr>
          <w:cantSplit/>
        </w:trPr>
        <w:tc>
          <w:tcPr>
            <w:tcW w:w="1512" w:type="dxa"/>
            <w:vAlign w:val="center"/>
          </w:tcPr>
          <w:p w14:paraId="47C85514">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高阶学习怎样呈现</w:t>
            </w:r>
          </w:p>
        </w:tc>
        <w:tc>
          <w:tcPr>
            <w:tcW w:w="3384" w:type="dxa"/>
            <w:vAlign w:val="center"/>
          </w:tcPr>
          <w:p w14:paraId="2C96655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五种高阶学习典型样态</w:t>
            </w:r>
          </w:p>
        </w:tc>
        <w:tc>
          <w:tcPr>
            <w:tcW w:w="4320" w:type="dxa"/>
            <w:vAlign w:val="center"/>
          </w:tcPr>
          <w:p w14:paraId="52E6F6F7">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识别任务中的分析、验证、论证、协同与迁移</w:t>
            </w:r>
          </w:p>
        </w:tc>
      </w:tr>
      <w:tr w14:paraId="6F90274A">
        <w:tblPrEx>
          <w:tblCellMar>
            <w:top w:w="0" w:type="dxa"/>
            <w:left w:w="108" w:type="dxa"/>
            <w:bottom w:w="0" w:type="dxa"/>
            <w:right w:w="108" w:type="dxa"/>
          </w:tblCellMar>
        </w:tblPrEx>
        <w:trPr>
          <w:cantSplit/>
        </w:trPr>
        <w:tc>
          <w:tcPr>
            <w:tcW w:w="1512" w:type="dxa"/>
            <w:vAlign w:val="center"/>
          </w:tcPr>
          <w:p w14:paraId="75D81DDF">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如何判断变化</w:t>
            </w:r>
          </w:p>
        </w:tc>
        <w:tc>
          <w:tcPr>
            <w:tcW w:w="3384" w:type="dxa"/>
            <w:vAlign w:val="center"/>
          </w:tcPr>
          <w:p w14:paraId="1DBA582D">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评价与多源证据体系</w:t>
            </w:r>
          </w:p>
        </w:tc>
        <w:tc>
          <w:tcPr>
            <w:tcW w:w="4320" w:type="dxa"/>
            <w:vAlign w:val="center"/>
          </w:tcPr>
          <w:p w14:paraId="3F1295E8">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综合观察学生、教师及学校实践</w:t>
            </w:r>
          </w:p>
        </w:tc>
      </w:tr>
      <w:tr w14:paraId="5A7E3C54">
        <w:tblPrEx>
          <w:tblCellMar>
            <w:top w:w="0" w:type="dxa"/>
            <w:left w:w="108" w:type="dxa"/>
            <w:bottom w:w="0" w:type="dxa"/>
            <w:right w:w="108" w:type="dxa"/>
          </w:tblCellMar>
        </w:tblPrEx>
        <w:trPr>
          <w:cantSplit/>
        </w:trPr>
        <w:tc>
          <w:tcPr>
            <w:tcW w:w="1512" w:type="dxa"/>
            <w:tcBorders>
              <w:bottom w:val="single" w:color="000000" w:sz="8" w:space="0"/>
            </w:tcBorders>
            <w:vAlign w:val="center"/>
          </w:tcPr>
          <w:p w14:paraId="318B3ECC">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如何持续使用</w:t>
            </w:r>
          </w:p>
        </w:tc>
        <w:tc>
          <w:tcPr>
            <w:tcW w:w="3384" w:type="dxa"/>
            <w:tcBorders>
              <w:bottom w:val="single" w:color="000000" w:sz="8" w:space="0"/>
            </w:tcBorders>
            <w:vAlign w:val="center"/>
          </w:tcPr>
          <w:p w14:paraId="612EC5D0">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典型案例与校本研究资源</w:t>
            </w:r>
          </w:p>
        </w:tc>
        <w:tc>
          <w:tcPr>
            <w:tcW w:w="4320" w:type="dxa"/>
            <w:tcBorders>
              <w:bottom w:val="single" w:color="000000" w:sz="8" w:space="0"/>
            </w:tcBorders>
            <w:vAlign w:val="center"/>
          </w:tcPr>
          <w:p w14:paraId="173A7968">
            <w:pPr>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支持课例研讨、实践复盘与后续改进</w:t>
            </w:r>
          </w:p>
        </w:tc>
      </w:tr>
    </w:tbl>
    <w:p w14:paraId="2032CE8E">
      <w:pPr>
        <w:pStyle w:val="4"/>
        <w:keepNext/>
        <w:spacing w:before="280" w:after="280"/>
        <w:ind w:firstLine="0"/>
        <w:rPr>
          <w:rFonts w:hint="eastAsia" w:ascii="宋体" w:hAnsi="宋体" w:eastAsia="宋体" w:cs="宋体"/>
        </w:rPr>
      </w:pPr>
      <w:bookmarkStart w:id="124" w:name="_Toc8966"/>
      <w:r>
        <w:rPr>
          <w:rFonts w:hint="eastAsia" w:ascii="宋体" w:hAnsi="宋体" w:eastAsia="宋体" w:cs="宋体"/>
          <w:b/>
          <w:sz w:val="28"/>
        </w:rPr>
        <w:t>1 三层学习贯穿的五环学习模型</w:t>
      </w:r>
      <w:bookmarkEnd w:id="124"/>
    </w:p>
    <w:p w14:paraId="3BE11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围绕学生怎样学，本研究形成目标引领、任务驱动、探究展学、反馈迭代和反思迁移的五环学习模型。目标与标准明确学习方向，任务提出认知挑战，探究与表达呈现思考过程，反馈促成再次表现，反思迁移推动方法提炼及新条件下的应用。浅层、深层和迁移学习贯穿五环，分别关注概念与方法掌握、知识联系与分析论证、跨情境的选择与调整。三层学习不是五环的固定分段，学生可以在迁移中发现理解不足并回返检验。模型因而同时提供学习组织路径与质量分析参照。</w:t>
      </w:r>
    </w:p>
    <w:p w14:paraId="729DBA46">
      <w:pPr>
        <w:pStyle w:val="4"/>
        <w:keepNext/>
        <w:spacing w:before="280" w:after="280"/>
        <w:ind w:firstLine="0"/>
        <w:rPr>
          <w:rFonts w:hint="eastAsia" w:ascii="宋体" w:hAnsi="宋体" w:eastAsia="宋体" w:cs="宋体"/>
        </w:rPr>
      </w:pPr>
      <w:bookmarkStart w:id="125" w:name="_Toc3700"/>
      <w:r>
        <w:rPr>
          <w:rFonts w:hint="eastAsia" w:ascii="宋体" w:hAnsi="宋体" w:eastAsia="宋体" w:cs="宋体"/>
          <w:b/>
          <w:sz w:val="28"/>
        </w:rPr>
        <w:t>2 嵌入学习全过程的教师四步调节</w:t>
      </w:r>
      <w:bookmarkEnd w:id="125"/>
    </w:p>
    <w:p w14:paraId="33ED8E5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形成诊断发现、干预设计、实施推进和评估改进的四步调节方式，并将其嵌入学生五环学习全过程。教师通过回答、讨论、作品和错误识别状态，依据困难选择任务、支架与反馈，根据现场表现调整支持，再以学生后续表现检验效果。四步与五环不机械对应，诊断可以在探究和修订时重新发生，评价也可以促使教师立即调整原有设计。这一成果明确了教师怎样依据学生学习作出专业判断，使学习模型具备持续运行的教学支持。</w:t>
      </w:r>
    </w:p>
    <w:p w14:paraId="3B7DDF54">
      <w:pPr>
        <w:pStyle w:val="4"/>
        <w:keepNext/>
        <w:spacing w:before="280" w:after="280"/>
        <w:ind w:firstLine="0"/>
        <w:rPr>
          <w:rFonts w:hint="eastAsia" w:ascii="宋体" w:hAnsi="宋体" w:eastAsia="宋体" w:cs="宋体"/>
        </w:rPr>
      </w:pPr>
      <w:bookmarkStart w:id="126" w:name="_Toc14733"/>
      <w:r>
        <w:rPr>
          <w:rFonts w:hint="eastAsia" w:ascii="宋体" w:hAnsi="宋体" w:eastAsia="宋体" w:cs="宋体"/>
          <w:b/>
          <w:sz w:val="28"/>
        </w:rPr>
        <w:t>3 以教与学协同为运行核心的总模型2.0</w:t>
      </w:r>
      <w:bookmarkEnd w:id="126"/>
    </w:p>
    <w:p w14:paraId="1A96FB6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总模型2.0以新课标核心素养要求为育人导向，统一呈现分析、评价、创造、责任担当、情绪调节、合作共情和包容创新七维能力。三层六阶与两境四维提供发展参照，可见的学习将素养要求转化为目标、任务与表现标准。学科奠基与科创拓展提供实践路径，教师四步与学生五环构成共同运行核心，五见贯穿过程，典型样态与多源证据支持表现识别和持续改进。模型的主要进展在于建立要素之间的联系，使能力要求、学习行动和教师支持能够共同进入具体任务。</w:t>
      </w:r>
    </w:p>
    <w:p w14:paraId="72D2F520">
      <w:pPr>
        <w:pStyle w:val="4"/>
        <w:keepNext/>
        <w:spacing w:before="280" w:after="280"/>
        <w:ind w:firstLine="0"/>
        <w:rPr>
          <w:rFonts w:hint="eastAsia" w:ascii="宋体" w:hAnsi="宋体" w:eastAsia="宋体" w:cs="宋体"/>
        </w:rPr>
      </w:pPr>
      <w:bookmarkStart w:id="127" w:name="_Toc26758"/>
      <w:r>
        <w:rPr>
          <w:rFonts w:hint="eastAsia" w:ascii="宋体" w:hAnsi="宋体" w:eastAsia="宋体" w:cs="宋体"/>
          <w:b/>
          <w:sz w:val="28"/>
        </w:rPr>
        <w:t>4 学科四要素向科创五要素拓展的实践路径</w:t>
      </w:r>
      <w:bookmarkEnd w:id="127"/>
    </w:p>
    <w:p w14:paraId="4328AF0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研究明确学科教学是高阶能力培育的基础域，科创教育是综合运用与拓展域。学科教学围绕知识、目标、实践、评价四要素展开；科创增加方案要素，形成知识、目标、方案、实践、评价五要素。方案将知识与目标转化为可以评审、制作、测试和修订的设计，使真实项目的行动有据可依。学科教学提供知识、方法与思维基础，科创在更开放的情境和多重约束下推动综合运用，项目问题与验证经验再反馈学科课堂。两域共同包含浅层、深层和迁移学习，其区别在于任务条件与成果要求，不是学习层次的高低划分。</w:t>
      </w:r>
    </w:p>
    <w:p w14:paraId="56E5DE86">
      <w:pPr>
        <w:pStyle w:val="4"/>
        <w:keepNext/>
        <w:spacing w:before="280" w:after="280"/>
        <w:ind w:firstLine="0"/>
        <w:rPr>
          <w:rFonts w:hint="eastAsia" w:ascii="宋体" w:hAnsi="宋体" w:eastAsia="宋体" w:cs="宋体"/>
        </w:rPr>
      </w:pPr>
      <w:bookmarkStart w:id="128" w:name="_Toc8569"/>
      <w:r>
        <w:rPr>
          <w:rFonts w:hint="eastAsia" w:ascii="宋体" w:hAnsi="宋体" w:eastAsia="宋体" w:cs="宋体"/>
          <w:b/>
          <w:sz w:val="28"/>
        </w:rPr>
        <w:t>5 连接能力目标与任务表现的五种典型样态</w:t>
      </w:r>
      <w:bookmarkEnd w:id="128"/>
    </w:p>
    <w:p w14:paraId="216AA0F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比较典型课例、作品与项目记录后，课题组提炼出真实情境的任务性实践、方案比较的验证性实践、证据支撑的论证性实践、协同探究的建构性实践和综合迁移的创新性实践五种样态。它们分别关注现实约束中的问题界定，多种路径的事实检验，观点与证据的逻辑关系，合作形成的认识增量，以及新条件下的知识重组。五种样态为抽象能力与真实学习之间提供可观察、可分析的联系，也为案例比较提供共同视角。</w:t>
      </w:r>
    </w:p>
    <w:p w14:paraId="33C11725">
      <w:pPr>
        <w:pStyle w:val="4"/>
        <w:keepNext/>
        <w:spacing w:before="280" w:after="280"/>
        <w:ind w:firstLine="0"/>
        <w:rPr>
          <w:rFonts w:hint="eastAsia" w:ascii="宋体" w:hAnsi="宋体" w:eastAsia="宋体" w:cs="宋体"/>
        </w:rPr>
      </w:pPr>
      <w:bookmarkStart w:id="129" w:name="_Toc24821"/>
      <w:r>
        <w:rPr>
          <w:rFonts w:hint="eastAsia" w:ascii="宋体" w:hAnsi="宋体" w:eastAsia="宋体" w:cs="宋体"/>
          <w:b/>
          <w:sz w:val="28"/>
        </w:rPr>
        <w:t>6 支持学习判断与教学调节的多源证据体系</w:t>
      </w:r>
      <w:bookmarkEnd w:id="129"/>
    </w:p>
    <w:p w14:paraId="52ED469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嵌入模型运行，七维能力明确观察内容，进阶尺度帮助判断表现层次，五环提供观察环节，五见明确判断所需信息。学生层面使用问卷、学习单、作品和开放性回答；教师层面使用问卷、五维评课、AI行为和教学反思；学校层面观察研修组织、两域实践与资源使用。各类材料承担不同功能，通过纵向比较、过程追踪和相互参照形成判断。AI记录用于描述课堂行为与定位片段，涉及思维质量的判断仍须回到原始对话和作品。</w:t>
      </w:r>
    </w:p>
    <w:p w14:paraId="334C80B5">
      <w:pPr>
        <w:pStyle w:val="4"/>
        <w:keepNext/>
        <w:spacing w:before="280" w:after="280"/>
        <w:ind w:firstLine="0"/>
        <w:rPr>
          <w:rFonts w:hint="eastAsia" w:ascii="宋体" w:hAnsi="宋体" w:eastAsia="宋体" w:cs="宋体"/>
        </w:rPr>
      </w:pPr>
      <w:bookmarkStart w:id="130" w:name="_Toc28594"/>
      <w:r>
        <w:rPr>
          <w:rFonts w:hint="eastAsia" w:ascii="宋体" w:hAnsi="宋体" w:eastAsia="宋体" w:cs="宋体"/>
          <w:b/>
          <w:sz w:val="28"/>
        </w:rPr>
        <w:t>7 可供复盘与持续改进的校本资源</w:t>
      </w:r>
      <w:bookmarkEnd w:id="130"/>
    </w:p>
    <w:p w14:paraId="5E1DC6C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围绕语文、英语、道德与法治、数学、物理和科创项目积累典型案例，保留目标、任务链、评价量规、学生作品、实验记录与反馈修订材料。案例既呈现教师设计，也追踪学生进入任务、形成观点和调整方案的过程。问卷、评课、课堂行为及开放性材料进一步转化为校本诊断资源，使后续研修可以依据已有问题、工具和证据开展复盘与再设计，为课题成果持续使用提供基础。</w:t>
      </w:r>
    </w:p>
    <w:p w14:paraId="488A1A4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对照全文研究目标，模型及其关系说明回应“形成学习模型框架”，学科与科创的五个实施分析框架回应“构建实践模式”，问卷、课堂、作品和项目记录回应“考察变化并持续优化”。成果因而既有概念与工具层面的表达，也有具体材料能够说明怎样设计、怎样实施和怎样判断，为结题后的使用提供基础。</w:t>
      </w:r>
    </w:p>
    <w:p w14:paraId="46DE0A7E">
      <w:pPr>
        <w:pStyle w:val="3"/>
        <w:keepNext/>
        <w:ind w:firstLine="0"/>
        <w:rPr>
          <w:rFonts w:hint="eastAsia" w:ascii="宋体" w:hAnsi="宋体" w:eastAsia="宋体" w:cs="宋体"/>
        </w:rPr>
      </w:pPr>
      <w:bookmarkStart w:id="131" w:name="_Toc30557"/>
      <w:r>
        <w:rPr>
          <w:rFonts w:hint="eastAsia" w:ascii="宋体" w:hAnsi="宋体" w:eastAsia="宋体" w:cs="宋体"/>
          <w:b/>
          <w:sz w:val="28"/>
        </w:rPr>
        <w:t>（二）学生七维高阶能力与学习方式的积极变化</w:t>
      </w:r>
      <w:bookmarkEnd w:id="131"/>
    </w:p>
    <w:p w14:paraId="1083E8B8">
      <w:pPr>
        <w:pStyle w:val="4"/>
        <w:keepNext/>
        <w:spacing w:before="280" w:after="280"/>
        <w:ind w:firstLine="0"/>
        <w:rPr>
          <w:rFonts w:hint="eastAsia" w:ascii="宋体" w:hAnsi="宋体" w:eastAsia="宋体" w:cs="宋体"/>
        </w:rPr>
      </w:pPr>
      <w:bookmarkStart w:id="132" w:name="_Toc12909"/>
      <w:r>
        <w:rPr>
          <w:rFonts w:hint="eastAsia" w:ascii="宋体" w:hAnsi="宋体" w:eastAsia="宋体" w:cs="宋体"/>
          <w:b/>
          <w:sz w:val="28"/>
        </w:rPr>
        <w:t>1 数据来源与成效判断口径</w:t>
      </w:r>
      <w:bookmarkEnd w:id="132"/>
    </w:p>
    <w:p w14:paraId="02A586E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生成效分析纳入1346组前后测对应记录，以学生编号连接，两次编号均唯一，性别与年级逐一一致，32道共同评分题均无缺失。前测与后测均采用当前核验版本，按原始题项文字统一编码，不使用文件中未经核对的总分列。本节以高阶能力总体及七个维度为主线，不进行年级差异分析，也不将模型中的能力目标拆分为两个独立育人目标。</w:t>
      </w:r>
    </w:p>
    <w:p w14:paraId="683896DC">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问卷采用五级评分，将“完全不符合”“不太符合”“一般符合”“比较符合”“完全符合”依次赋值1—5分。分析、评价、创造各4题，其余四维各5题，分别取题项均值，总体取32题均值。采用双侧配对t检验，差值统一为后测减前测，报告均值、标准差、配对差标准差、未校正95%置信区间及效应量dz；p值沿用已核验的Holm校正结果，校正范围包含总体、七维及两个理论领域汇总指标共10项，后两项不作为本节成效论证的独立证据。</w:t>
      </w:r>
    </w:p>
    <w:p w14:paraId="281DA471">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更新后的前测43072个题项作答中未出现5分，后测5分作答31496个，占73.12%。这一分布差异是解释结果的重要条件。分析按原始文字选项编码，未补分或重编码；正式判断提升幅度须核实两次选项设置、导出及数据更新口径的一致性。以下统计说明当前文件中自评变化的方向与程度，不将异常大的效应量直接解释为教学干预的净效应。</w:t>
      </w:r>
    </w:p>
    <w:p w14:paraId="461ED574">
      <w:pPr>
        <w:pStyle w:val="4"/>
        <w:keepNext/>
        <w:spacing w:before="280" w:after="280"/>
        <w:ind w:firstLine="0"/>
        <w:rPr>
          <w:rFonts w:hint="eastAsia" w:ascii="宋体" w:hAnsi="宋体" w:eastAsia="宋体" w:cs="宋体"/>
        </w:rPr>
      </w:pPr>
      <w:bookmarkStart w:id="133" w:name="_Toc506"/>
      <w:r>
        <w:rPr>
          <w:rFonts w:hint="eastAsia" w:ascii="宋体" w:hAnsi="宋体" w:eastAsia="宋体" w:cs="宋体"/>
          <w:b/>
          <w:sz w:val="28"/>
        </w:rPr>
        <w:t>2 学生高阶能力总体变化</w:t>
      </w:r>
      <w:bookmarkEnd w:id="133"/>
    </w:p>
    <w:p w14:paraId="5131181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w:t>
      </w:r>
    </w:p>
    <w:p w14:paraId="602CB78F">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表4-2  高阶能力总体前后测比较（n＝1346）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A53D3F9">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4698E5C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6158CAC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AF8958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50AB9E7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1E229F5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65BE69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7F6AE72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067F20BE">
        <w:tblPrEx>
          <w:tblCellMar>
            <w:top w:w="0" w:type="dxa"/>
            <w:left w:w="108" w:type="dxa"/>
            <w:bottom w:w="0" w:type="dxa"/>
            <w:right w:w="108" w:type="dxa"/>
          </w:tblCellMar>
        </w:tblPrEx>
        <w:trPr>
          <w:cantSplit/>
        </w:trPr>
        <w:tc>
          <w:tcPr>
            <w:tcW w:w="864" w:type="dxa"/>
            <w:vAlign w:val="center"/>
          </w:tcPr>
          <w:p w14:paraId="7A59696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4A11978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3.635</w:t>
            </w:r>
          </w:p>
        </w:tc>
        <w:tc>
          <w:tcPr>
            <w:tcW w:w="937" w:type="dxa"/>
            <w:vAlign w:val="center"/>
          </w:tcPr>
          <w:p w14:paraId="107897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0.470</w:t>
            </w:r>
          </w:p>
        </w:tc>
        <w:tc>
          <w:tcPr>
            <w:tcW w:w="1152" w:type="dxa"/>
            <w:vAlign w:val="center"/>
          </w:tcPr>
          <w:p w14:paraId="22E3734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0.865</w:t>
            </w:r>
          </w:p>
        </w:tc>
        <w:tc>
          <w:tcPr>
            <w:tcW w:w="2447" w:type="dxa"/>
            <w:vAlign w:val="center"/>
          </w:tcPr>
          <w:p w14:paraId="6A8AEC4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0.850～0.879</w:t>
            </w:r>
          </w:p>
        </w:tc>
        <w:tc>
          <w:tcPr>
            <w:tcW w:w="1225" w:type="dxa"/>
            <w:vAlign w:val="center"/>
          </w:tcPr>
          <w:p w14:paraId="4AF851A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118.460</w:t>
            </w:r>
          </w:p>
        </w:tc>
        <w:tc>
          <w:tcPr>
            <w:tcW w:w="1080" w:type="dxa"/>
            <w:vAlign w:val="center"/>
          </w:tcPr>
          <w:p w14:paraId="74DFFA4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14410DD">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1D1BC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381E11B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4.500</w:t>
            </w:r>
          </w:p>
        </w:tc>
        <w:tc>
          <w:tcPr>
            <w:tcW w:w="937" w:type="dxa"/>
            <w:tcBorders>
              <w:bottom w:val="single" w:color="000000" w:sz="8" w:space="0"/>
            </w:tcBorders>
            <w:vAlign w:val="center"/>
          </w:tcPr>
          <w:p w14:paraId="7E241E3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0.477</w:t>
            </w:r>
          </w:p>
        </w:tc>
        <w:tc>
          <w:tcPr>
            <w:tcW w:w="1152" w:type="dxa"/>
            <w:tcBorders>
              <w:bottom w:val="single" w:color="000000" w:sz="8" w:space="0"/>
            </w:tcBorders>
            <w:vAlign w:val="center"/>
          </w:tcPr>
          <w:p w14:paraId="14FCE7F4">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33213AF2">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10A0D62">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7D18EB16">
            <w:pPr>
              <w:keepNext/>
              <w:spacing w:before="0" w:after="0" w:line="240" w:lineRule="auto"/>
              <w:ind w:firstLine="0"/>
              <w:jc w:val="center"/>
              <w:rPr>
                <w:rFonts w:hint="eastAsia" w:ascii="宋体" w:hAnsi="宋体" w:eastAsia="宋体" w:cs="宋体"/>
              </w:rPr>
            </w:pPr>
          </w:p>
        </w:tc>
      </w:tr>
    </w:tbl>
    <w:p w14:paraId="52ED795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注：差值为后测减前测；df＝1345；配对差SD＝0.268；dz＝3.229；Holm校正后p＜0.001。</w:t>
      </w:r>
    </w:p>
    <w:p w14:paraId="2CE515B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高阶能力总体均值由3.635升至4.500，平均增加0.865分，95%CI为0.850～0.879，t（1345）＝118.460，校正后p＜0.001。总体得分的提高表明，学生对自身学习表现的积极评价覆盖了多个方面，为课题整体设计的实践价值提供了量化支持。结合开放性回答中多路径思考、主动交流和方法改进的具体表述，可以看到，课题所关注的思维过程与学习参与均出现了积极变化。这与将认知挑战、合作参与和过程反馈共同融入学习任务的设计方向相契合。</w:t>
      </w:r>
    </w:p>
    <w:p w14:paraId="7B419408">
      <w:pPr>
        <w:pStyle w:val="4"/>
        <w:keepNext/>
        <w:spacing w:before="280" w:after="280"/>
        <w:ind w:firstLine="0"/>
        <w:rPr>
          <w:rFonts w:hint="eastAsia" w:ascii="宋体" w:hAnsi="宋体" w:eastAsia="宋体" w:cs="宋体"/>
        </w:rPr>
      </w:pPr>
      <w:bookmarkStart w:id="134" w:name="_Toc27724"/>
      <w:r>
        <w:rPr>
          <w:rFonts w:hint="eastAsia" w:ascii="宋体" w:hAnsi="宋体" w:eastAsia="宋体" w:cs="宋体"/>
          <w:b/>
          <w:sz w:val="28"/>
        </w:rPr>
        <w:t>3 七个维度的分别检验与教育意义</w:t>
      </w:r>
      <w:bookmarkEnd w:id="134"/>
    </w:p>
    <w:p w14:paraId="4438464C">
      <w:pPr>
        <w:spacing w:before="0" w:after="0" w:line="360" w:lineRule="auto"/>
        <w:ind w:firstLine="480" w:firstLineChars="0"/>
        <w:jc w:val="both"/>
        <w:outlineLvl w:val="3"/>
        <w:rPr>
          <w:rFonts w:hint="eastAsia" w:ascii="宋体" w:hAnsi="宋体" w:eastAsia="宋体" w:cs="宋体"/>
        </w:rPr>
      </w:pPr>
      <w:bookmarkStart w:id="135" w:name="_Toc20698"/>
      <w:r>
        <w:rPr>
          <w:rFonts w:hint="eastAsia" w:ascii="宋体" w:hAnsi="宋体" w:eastAsia="宋体" w:cs="宋体"/>
          <w:b w:val="0"/>
          <w:sz w:val="24"/>
        </w:rPr>
        <w:t>1）分析</w:t>
      </w:r>
      <w:bookmarkEnd w:id="135"/>
    </w:p>
    <w:p w14:paraId="18F66EA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表4-3  分析维度前后测比较（n＝1346）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578A07ED">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128A2D2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76CE0F8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2088CB1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0601D62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0244038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2358E6F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FB40F5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0F0879D">
        <w:tblPrEx>
          <w:tblCellMar>
            <w:top w:w="0" w:type="dxa"/>
            <w:left w:w="108" w:type="dxa"/>
            <w:bottom w:w="0" w:type="dxa"/>
            <w:right w:w="108" w:type="dxa"/>
          </w:tblCellMar>
        </w:tblPrEx>
        <w:trPr>
          <w:cantSplit/>
        </w:trPr>
        <w:tc>
          <w:tcPr>
            <w:tcW w:w="864" w:type="dxa"/>
            <w:vAlign w:val="center"/>
          </w:tcPr>
          <w:p w14:paraId="3C31196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44724D3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3.619</w:t>
            </w:r>
          </w:p>
        </w:tc>
        <w:tc>
          <w:tcPr>
            <w:tcW w:w="937" w:type="dxa"/>
            <w:vAlign w:val="center"/>
          </w:tcPr>
          <w:p w14:paraId="22DFED2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0.534</w:t>
            </w:r>
          </w:p>
        </w:tc>
        <w:tc>
          <w:tcPr>
            <w:tcW w:w="1152" w:type="dxa"/>
            <w:vAlign w:val="center"/>
          </w:tcPr>
          <w:p w14:paraId="11AD35C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0.827</w:t>
            </w:r>
          </w:p>
        </w:tc>
        <w:tc>
          <w:tcPr>
            <w:tcW w:w="2447" w:type="dxa"/>
            <w:vAlign w:val="center"/>
          </w:tcPr>
          <w:p w14:paraId="187763D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0.783～0.870</w:t>
            </w:r>
          </w:p>
        </w:tc>
        <w:tc>
          <w:tcPr>
            <w:tcW w:w="1225" w:type="dxa"/>
            <w:vAlign w:val="center"/>
          </w:tcPr>
          <w:p w14:paraId="37DCD74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37.283</w:t>
            </w:r>
          </w:p>
        </w:tc>
        <w:tc>
          <w:tcPr>
            <w:tcW w:w="1080" w:type="dxa"/>
            <w:vAlign w:val="center"/>
          </w:tcPr>
          <w:p w14:paraId="7420A5F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F791555">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2B596E8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1DFDE0B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4.446</w:t>
            </w:r>
          </w:p>
        </w:tc>
        <w:tc>
          <w:tcPr>
            <w:tcW w:w="937" w:type="dxa"/>
            <w:tcBorders>
              <w:bottom w:val="single" w:color="000000" w:sz="8" w:space="0"/>
            </w:tcBorders>
            <w:vAlign w:val="center"/>
          </w:tcPr>
          <w:p w14:paraId="638E6C6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0.671</w:t>
            </w:r>
          </w:p>
        </w:tc>
        <w:tc>
          <w:tcPr>
            <w:tcW w:w="1152" w:type="dxa"/>
            <w:tcBorders>
              <w:bottom w:val="single" w:color="000000" w:sz="8" w:space="0"/>
            </w:tcBorders>
            <w:vAlign w:val="center"/>
          </w:tcPr>
          <w:p w14:paraId="7D1FCE88">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80A429F">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6CB2F975">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22F2C5B">
            <w:pPr>
              <w:keepNext/>
              <w:spacing w:before="0" w:after="0" w:line="240" w:lineRule="auto"/>
              <w:ind w:firstLine="0"/>
              <w:jc w:val="center"/>
              <w:rPr>
                <w:rFonts w:hint="eastAsia" w:ascii="宋体" w:hAnsi="宋体" w:eastAsia="宋体" w:cs="宋体"/>
              </w:rPr>
            </w:pPr>
          </w:p>
        </w:tc>
      </w:tr>
    </w:tbl>
    <w:p w14:paraId="19EF8F4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注：差值为后测减前测；df＝1345；配对差SD＝0.814；dz＝1.016；Holm校正后p＜0.001。</w:t>
      </w:r>
    </w:p>
    <w:p w14:paraId="10619296">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分析均值由3.619升至4.446，平均增加0.827分，95%CI为0.783～0.870，t（1345）＝37.283，校正后p＜0.001，dz＝1.016。分析维度的提高与课题通过问题链、任务分解和知识关联引导学生展开思考的设计相契合。将问题条件、关键关系和解决步骤呈现出来，有助于学生形成可以表达和检查的分析路径。后测中“会思考问题的不同路径”“开始通过联系以前的知识进行自主学习”等回答，为这一变化提供了具体线索，支持课题在促进思维过程可见方面的实践价值。</w:t>
      </w:r>
    </w:p>
    <w:p w14:paraId="2EEBF41E">
      <w:pPr>
        <w:spacing w:before="0" w:after="0" w:line="360" w:lineRule="auto"/>
        <w:ind w:firstLine="480" w:firstLineChars="0"/>
        <w:jc w:val="both"/>
        <w:outlineLvl w:val="3"/>
        <w:rPr>
          <w:rFonts w:hint="eastAsia" w:ascii="宋体" w:hAnsi="宋体" w:eastAsia="宋体" w:cs="宋体"/>
        </w:rPr>
      </w:pPr>
      <w:bookmarkStart w:id="136" w:name="_Toc27983"/>
      <w:r>
        <w:rPr>
          <w:rFonts w:hint="eastAsia" w:ascii="宋体" w:hAnsi="宋体" w:eastAsia="宋体" w:cs="宋体"/>
          <w:b w:val="0"/>
          <w:sz w:val="24"/>
        </w:rPr>
        <w:t>2）评价</w:t>
      </w:r>
      <w:bookmarkEnd w:id="136"/>
    </w:p>
    <w:p w14:paraId="76B70AE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表4-4  评价维度前后测比较（n＝1346）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0C02965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0AEAD25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308E90C8">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A1E901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48A392F8">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4CC5B5F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E054E4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6E8C2D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0B30F386">
        <w:tblPrEx>
          <w:tblCellMar>
            <w:top w:w="0" w:type="dxa"/>
            <w:left w:w="108" w:type="dxa"/>
            <w:bottom w:w="0" w:type="dxa"/>
            <w:right w:w="108" w:type="dxa"/>
          </w:tblCellMar>
        </w:tblPrEx>
        <w:trPr>
          <w:cantSplit/>
        </w:trPr>
        <w:tc>
          <w:tcPr>
            <w:tcW w:w="864" w:type="dxa"/>
            <w:vAlign w:val="center"/>
          </w:tcPr>
          <w:p w14:paraId="4BB0B95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7B5EA5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3.630</w:t>
            </w:r>
          </w:p>
        </w:tc>
        <w:tc>
          <w:tcPr>
            <w:tcW w:w="937" w:type="dxa"/>
            <w:vAlign w:val="center"/>
          </w:tcPr>
          <w:p w14:paraId="48E782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0.510</w:t>
            </w:r>
          </w:p>
        </w:tc>
        <w:tc>
          <w:tcPr>
            <w:tcW w:w="1152" w:type="dxa"/>
            <w:vAlign w:val="center"/>
          </w:tcPr>
          <w:p w14:paraId="1FF80D6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0.996</w:t>
            </w:r>
          </w:p>
        </w:tc>
        <w:tc>
          <w:tcPr>
            <w:tcW w:w="2447" w:type="dxa"/>
            <w:vAlign w:val="center"/>
          </w:tcPr>
          <w:p w14:paraId="22AD3DF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0.953～1.038</w:t>
            </w:r>
          </w:p>
        </w:tc>
        <w:tc>
          <w:tcPr>
            <w:tcW w:w="1225" w:type="dxa"/>
            <w:vAlign w:val="center"/>
          </w:tcPr>
          <w:p w14:paraId="7BB3BE6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46.398</w:t>
            </w:r>
          </w:p>
        </w:tc>
        <w:tc>
          <w:tcPr>
            <w:tcW w:w="1080" w:type="dxa"/>
            <w:vAlign w:val="center"/>
          </w:tcPr>
          <w:p w14:paraId="7A0086C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45EA250">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AAEBAA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39EC8F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4.626</w:t>
            </w:r>
          </w:p>
        </w:tc>
        <w:tc>
          <w:tcPr>
            <w:tcW w:w="937" w:type="dxa"/>
            <w:tcBorders>
              <w:bottom w:val="single" w:color="000000" w:sz="8" w:space="0"/>
            </w:tcBorders>
            <w:vAlign w:val="center"/>
          </w:tcPr>
          <w:p w14:paraId="3CA188F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0.617</w:t>
            </w:r>
          </w:p>
        </w:tc>
        <w:tc>
          <w:tcPr>
            <w:tcW w:w="1152" w:type="dxa"/>
            <w:tcBorders>
              <w:bottom w:val="single" w:color="000000" w:sz="8" w:space="0"/>
            </w:tcBorders>
            <w:vAlign w:val="center"/>
          </w:tcPr>
          <w:p w14:paraId="142F55C7">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112334CB">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3F5C607">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76522723">
            <w:pPr>
              <w:keepNext/>
              <w:spacing w:before="0" w:after="0" w:line="240" w:lineRule="auto"/>
              <w:ind w:firstLine="0"/>
              <w:jc w:val="center"/>
              <w:rPr>
                <w:rFonts w:hint="eastAsia" w:ascii="宋体" w:hAnsi="宋体" w:eastAsia="宋体" w:cs="宋体"/>
              </w:rPr>
            </w:pPr>
          </w:p>
        </w:tc>
      </w:tr>
    </w:tbl>
    <w:p w14:paraId="686DB2E8">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注：差值为后测减前测；df＝1345；配对差SD＝0.787；dz＝1.265；Holm校正后p＜0.001。</w:t>
      </w:r>
    </w:p>
    <w:p w14:paraId="725BF6F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评价均值由3.630升至4.626，平均增加0.996分，95%CI为0.953～1.038，t（1345）＝46.398，校正后p＜0.001，dz＝1.265。评价维度的提高，为课题重视成功标准、依据说明、方案比较与自我反思提供了量化支持。学生对判断和反思行为的自评更加积极，与“目标引领—反馈迭代—反思迁移”中持续检查学习质量的要求相一致。后测“思考问题：我学会了质疑”及主动比较解题方法的表述，进一步呈现了学生开始关注理由与方法的变化。其均值增量在七维中描述性地最大，提示评价活动值得在后续实践中持续深化。</w:t>
      </w:r>
    </w:p>
    <w:p w14:paraId="2A0F7D2C">
      <w:pPr>
        <w:spacing w:before="0" w:after="0" w:line="360" w:lineRule="auto"/>
        <w:ind w:firstLine="480" w:firstLineChars="0"/>
        <w:jc w:val="both"/>
        <w:outlineLvl w:val="3"/>
        <w:rPr>
          <w:rFonts w:hint="eastAsia" w:ascii="宋体" w:hAnsi="宋体" w:eastAsia="宋体" w:cs="宋体"/>
        </w:rPr>
      </w:pPr>
      <w:bookmarkStart w:id="137" w:name="_Toc23424"/>
      <w:r>
        <w:rPr>
          <w:rFonts w:hint="eastAsia" w:ascii="宋体" w:hAnsi="宋体" w:eastAsia="宋体" w:cs="宋体"/>
          <w:b w:val="0"/>
          <w:sz w:val="24"/>
        </w:rPr>
        <w:t>3）创造</w:t>
      </w:r>
      <w:bookmarkEnd w:id="137"/>
    </w:p>
    <w:p w14:paraId="02D08D6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表4-5  创造维度前后测比较（n＝1346）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5DF39B5E">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5167EA7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908FA0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801593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C630A6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B368A4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59AA924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C99AE7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7BD371BF">
        <w:tblPrEx>
          <w:tblCellMar>
            <w:top w:w="0" w:type="dxa"/>
            <w:left w:w="108" w:type="dxa"/>
            <w:bottom w:w="0" w:type="dxa"/>
            <w:right w:w="108" w:type="dxa"/>
          </w:tblCellMar>
        </w:tblPrEx>
        <w:trPr>
          <w:cantSplit/>
        </w:trPr>
        <w:tc>
          <w:tcPr>
            <w:tcW w:w="864" w:type="dxa"/>
            <w:vAlign w:val="center"/>
          </w:tcPr>
          <w:p w14:paraId="6D3093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057A72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3.564</w:t>
            </w:r>
          </w:p>
        </w:tc>
        <w:tc>
          <w:tcPr>
            <w:tcW w:w="937" w:type="dxa"/>
            <w:vAlign w:val="center"/>
          </w:tcPr>
          <w:p w14:paraId="68A6ED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0.577</w:t>
            </w:r>
          </w:p>
        </w:tc>
        <w:tc>
          <w:tcPr>
            <w:tcW w:w="1152" w:type="dxa"/>
            <w:vAlign w:val="center"/>
          </w:tcPr>
          <w:p w14:paraId="57DD998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0.959</w:t>
            </w:r>
          </w:p>
        </w:tc>
        <w:tc>
          <w:tcPr>
            <w:tcW w:w="2447" w:type="dxa"/>
            <w:vAlign w:val="center"/>
          </w:tcPr>
          <w:p w14:paraId="7F0C5BB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0.916～1.001</w:t>
            </w:r>
          </w:p>
        </w:tc>
        <w:tc>
          <w:tcPr>
            <w:tcW w:w="1225" w:type="dxa"/>
            <w:vAlign w:val="center"/>
          </w:tcPr>
          <w:p w14:paraId="558A52C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44.080</w:t>
            </w:r>
          </w:p>
        </w:tc>
        <w:tc>
          <w:tcPr>
            <w:tcW w:w="1080" w:type="dxa"/>
            <w:vAlign w:val="center"/>
          </w:tcPr>
          <w:p w14:paraId="5866E3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4F7A39DC">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6653140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7A941A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4.523</w:t>
            </w:r>
          </w:p>
        </w:tc>
        <w:tc>
          <w:tcPr>
            <w:tcW w:w="937" w:type="dxa"/>
            <w:tcBorders>
              <w:bottom w:val="single" w:color="000000" w:sz="8" w:space="0"/>
            </w:tcBorders>
            <w:vAlign w:val="center"/>
          </w:tcPr>
          <w:p w14:paraId="5F0C20E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0.601</w:t>
            </w:r>
          </w:p>
        </w:tc>
        <w:tc>
          <w:tcPr>
            <w:tcW w:w="1152" w:type="dxa"/>
            <w:tcBorders>
              <w:bottom w:val="single" w:color="000000" w:sz="8" w:space="0"/>
            </w:tcBorders>
            <w:vAlign w:val="center"/>
          </w:tcPr>
          <w:p w14:paraId="15E3CBE5">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3AC3E7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47717898">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4ED9782">
            <w:pPr>
              <w:keepNext/>
              <w:spacing w:before="0" w:after="0" w:line="240" w:lineRule="auto"/>
              <w:ind w:firstLine="0"/>
              <w:jc w:val="center"/>
              <w:rPr>
                <w:rFonts w:hint="eastAsia" w:ascii="宋体" w:hAnsi="宋体" w:eastAsia="宋体" w:cs="宋体"/>
              </w:rPr>
            </w:pPr>
          </w:p>
        </w:tc>
      </w:tr>
    </w:tbl>
    <w:p w14:paraId="54C972CD">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注：差值为后测减前测；df＝1345；配对差SD＝0.798；dz＝1.201；Holm校正后p＜0.001。</w:t>
      </w:r>
    </w:p>
    <w:p w14:paraId="19D894F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创造均值由3.564升至4.523，平均增加0.959分，95%CI为0.916～1.001，t（1345）＝44.080，校正后p＜0.001，dz＝1.201。创造维度由前测相对薄弱走向较高自评水平，为课题通过开放任务、多方案尝试和知识整合拓展学生思路提供了支持。后测关于思考不同路径、方法更加灵活的回答，与这一变化方向相符。对于课题论证而言，这说明教学设计中保留探索空间、组织方案比较和持续修订具有实践意义，学生是否形成高质量的新方案还可通过作品及其版本变化进一步验证。</w:t>
      </w:r>
    </w:p>
    <w:p w14:paraId="28263BEE">
      <w:pPr>
        <w:spacing w:before="0" w:after="0" w:line="360" w:lineRule="auto"/>
        <w:ind w:firstLine="480" w:firstLineChars="0"/>
        <w:jc w:val="both"/>
        <w:outlineLvl w:val="3"/>
        <w:rPr>
          <w:rFonts w:hint="eastAsia" w:ascii="宋体" w:hAnsi="宋体" w:eastAsia="宋体" w:cs="宋体"/>
        </w:rPr>
      </w:pPr>
      <w:bookmarkStart w:id="138" w:name="_Toc8299"/>
      <w:r>
        <w:rPr>
          <w:rFonts w:hint="eastAsia" w:ascii="宋体" w:hAnsi="宋体" w:eastAsia="宋体" w:cs="宋体"/>
          <w:b w:val="0"/>
          <w:sz w:val="24"/>
        </w:rPr>
        <w:t>4）责任担当</w:t>
      </w:r>
      <w:bookmarkEnd w:id="138"/>
    </w:p>
    <w:p w14:paraId="3175530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表4-6  责任担当维度前后测比较（n＝1346）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097AA2BF">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1E4C80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4658CA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981443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4A88B5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CE449C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1D930E2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15BA2B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3EED5FF9">
        <w:tblPrEx>
          <w:tblCellMar>
            <w:top w:w="0" w:type="dxa"/>
            <w:left w:w="108" w:type="dxa"/>
            <w:bottom w:w="0" w:type="dxa"/>
            <w:right w:w="108" w:type="dxa"/>
          </w:tblCellMar>
        </w:tblPrEx>
        <w:trPr>
          <w:cantSplit/>
        </w:trPr>
        <w:tc>
          <w:tcPr>
            <w:tcW w:w="864" w:type="dxa"/>
            <w:vAlign w:val="center"/>
          </w:tcPr>
          <w:p w14:paraId="34F3CC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55C4527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3.664</w:t>
            </w:r>
          </w:p>
        </w:tc>
        <w:tc>
          <w:tcPr>
            <w:tcW w:w="937" w:type="dxa"/>
            <w:vAlign w:val="center"/>
          </w:tcPr>
          <w:p w14:paraId="2DD99EC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0.495</w:t>
            </w:r>
          </w:p>
        </w:tc>
        <w:tc>
          <w:tcPr>
            <w:tcW w:w="1152" w:type="dxa"/>
            <w:vAlign w:val="center"/>
          </w:tcPr>
          <w:p w14:paraId="2A1B88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0.985</w:t>
            </w:r>
          </w:p>
        </w:tc>
        <w:tc>
          <w:tcPr>
            <w:tcW w:w="2447" w:type="dxa"/>
            <w:vAlign w:val="center"/>
          </w:tcPr>
          <w:p w14:paraId="4CC425D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0.956～1.013</w:t>
            </w:r>
          </w:p>
        </w:tc>
        <w:tc>
          <w:tcPr>
            <w:tcW w:w="1225" w:type="dxa"/>
            <w:vAlign w:val="center"/>
          </w:tcPr>
          <w:p w14:paraId="27D219E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67.426</w:t>
            </w:r>
          </w:p>
        </w:tc>
        <w:tc>
          <w:tcPr>
            <w:tcW w:w="1080" w:type="dxa"/>
            <w:vAlign w:val="center"/>
          </w:tcPr>
          <w:p w14:paraId="35DF69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39C78210">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384F69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04ECA9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4.648</w:t>
            </w:r>
          </w:p>
        </w:tc>
        <w:tc>
          <w:tcPr>
            <w:tcW w:w="937" w:type="dxa"/>
            <w:tcBorders>
              <w:bottom w:val="single" w:color="000000" w:sz="8" w:space="0"/>
            </w:tcBorders>
            <w:vAlign w:val="center"/>
          </w:tcPr>
          <w:p w14:paraId="666B6F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0.660</w:t>
            </w:r>
          </w:p>
        </w:tc>
        <w:tc>
          <w:tcPr>
            <w:tcW w:w="1152" w:type="dxa"/>
            <w:tcBorders>
              <w:bottom w:val="single" w:color="000000" w:sz="8" w:space="0"/>
            </w:tcBorders>
            <w:vAlign w:val="center"/>
          </w:tcPr>
          <w:p w14:paraId="414B6A6E">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0690E364">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4997FEB0">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B6C629B">
            <w:pPr>
              <w:keepNext/>
              <w:spacing w:before="0" w:after="0" w:line="240" w:lineRule="auto"/>
              <w:ind w:firstLine="0"/>
              <w:jc w:val="center"/>
              <w:rPr>
                <w:rFonts w:hint="eastAsia" w:ascii="宋体" w:hAnsi="宋体" w:eastAsia="宋体" w:cs="宋体"/>
              </w:rPr>
            </w:pPr>
          </w:p>
        </w:tc>
      </w:tr>
    </w:tbl>
    <w:p w14:paraId="15686C27">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注：差值为后测减前测；df＝1345；配对差SD＝0.536；dz＝1.838；Holm校正后p＜0.001。</w:t>
      </w:r>
    </w:p>
    <w:p w14:paraId="796903B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责任担当均值由3.664升至4.648，平均增加0.985分，95%CI为0.956～1.013，t（1345）＝67.426，校正后p＜0.001，dz＝1.838。责任担当的提高，为课题在共同任务中落实目标明确、分工履行、持续投入与任务反思提供了支持。该维度后测均值在七维中最高，反映学生对任务责任的自评较为积极，与任务驱动和探究展学对主动参与的要求相契合。其教育意义在于，高阶能力培育不仅关注想出办法，也关注学生能否承担任务、坚持完成并检查质量，为持续开展合作探究提供基础。</w:t>
      </w:r>
    </w:p>
    <w:p w14:paraId="672E1ABE">
      <w:pPr>
        <w:spacing w:before="0" w:after="0" w:line="360" w:lineRule="auto"/>
        <w:ind w:firstLine="480" w:firstLineChars="0"/>
        <w:jc w:val="both"/>
        <w:outlineLvl w:val="3"/>
        <w:rPr>
          <w:rFonts w:hint="eastAsia" w:ascii="宋体" w:hAnsi="宋体" w:eastAsia="宋体" w:cs="宋体"/>
        </w:rPr>
      </w:pPr>
      <w:bookmarkStart w:id="139" w:name="_Toc21667"/>
      <w:r>
        <w:rPr>
          <w:rFonts w:hint="eastAsia" w:ascii="宋体" w:hAnsi="宋体" w:eastAsia="宋体" w:cs="宋体"/>
          <w:b w:val="0"/>
          <w:sz w:val="24"/>
        </w:rPr>
        <w:t>5）情绪调节</w:t>
      </w:r>
      <w:bookmarkEnd w:id="139"/>
    </w:p>
    <w:p w14:paraId="63FD723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表4-7  情绪调节维度前后测比较（n＝1346）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3FF878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BE32D4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CB1056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6548C4A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0EF127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4F9CBC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54A8AF3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674AD88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E430486">
        <w:tblPrEx>
          <w:tblCellMar>
            <w:top w:w="0" w:type="dxa"/>
            <w:left w:w="108" w:type="dxa"/>
            <w:bottom w:w="0" w:type="dxa"/>
            <w:right w:w="108" w:type="dxa"/>
          </w:tblCellMar>
        </w:tblPrEx>
        <w:trPr>
          <w:cantSplit/>
        </w:trPr>
        <w:tc>
          <w:tcPr>
            <w:tcW w:w="864" w:type="dxa"/>
            <w:vAlign w:val="center"/>
          </w:tcPr>
          <w:p w14:paraId="3C54AC5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ABD58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3.586</w:t>
            </w:r>
          </w:p>
        </w:tc>
        <w:tc>
          <w:tcPr>
            <w:tcW w:w="937" w:type="dxa"/>
            <w:vAlign w:val="center"/>
          </w:tcPr>
          <w:p w14:paraId="72C5DAD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0.557</w:t>
            </w:r>
          </w:p>
        </w:tc>
        <w:tc>
          <w:tcPr>
            <w:tcW w:w="1152" w:type="dxa"/>
            <w:vAlign w:val="center"/>
          </w:tcPr>
          <w:p w14:paraId="74A19E5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0.818</w:t>
            </w:r>
          </w:p>
        </w:tc>
        <w:tc>
          <w:tcPr>
            <w:tcW w:w="2447" w:type="dxa"/>
            <w:vAlign w:val="center"/>
          </w:tcPr>
          <w:p w14:paraId="281D4C3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0.800～0.837</w:t>
            </w:r>
          </w:p>
        </w:tc>
        <w:tc>
          <w:tcPr>
            <w:tcW w:w="1225" w:type="dxa"/>
            <w:vAlign w:val="center"/>
          </w:tcPr>
          <w:p w14:paraId="40CF109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85.278</w:t>
            </w:r>
          </w:p>
        </w:tc>
        <w:tc>
          <w:tcPr>
            <w:tcW w:w="1080" w:type="dxa"/>
            <w:vAlign w:val="center"/>
          </w:tcPr>
          <w:p w14:paraId="054A0C9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1D5ABEE6">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541E965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5E1A60C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4.405</w:t>
            </w:r>
          </w:p>
        </w:tc>
        <w:tc>
          <w:tcPr>
            <w:tcW w:w="937" w:type="dxa"/>
            <w:tcBorders>
              <w:bottom w:val="single" w:color="000000" w:sz="8" w:space="0"/>
            </w:tcBorders>
            <w:vAlign w:val="center"/>
          </w:tcPr>
          <w:p w14:paraId="5D1C49E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0.776</w:t>
            </w:r>
          </w:p>
        </w:tc>
        <w:tc>
          <w:tcPr>
            <w:tcW w:w="1152" w:type="dxa"/>
            <w:tcBorders>
              <w:bottom w:val="single" w:color="000000" w:sz="8" w:space="0"/>
            </w:tcBorders>
            <w:vAlign w:val="center"/>
          </w:tcPr>
          <w:p w14:paraId="5E66864B">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821383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C966BA0">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96109B0">
            <w:pPr>
              <w:keepNext/>
              <w:spacing w:before="0" w:after="0" w:line="240" w:lineRule="auto"/>
              <w:ind w:firstLine="0"/>
              <w:jc w:val="center"/>
              <w:rPr>
                <w:rFonts w:hint="eastAsia" w:ascii="宋体" w:hAnsi="宋体" w:eastAsia="宋体" w:cs="宋体"/>
              </w:rPr>
            </w:pPr>
          </w:p>
        </w:tc>
      </w:tr>
    </w:tbl>
    <w:p w14:paraId="4FFB857A">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注：差值为后测减前测；df＝1345；配对差SD＝0.352；dz＝2.324；Holm校正后p＜0.001。</w:t>
      </w:r>
    </w:p>
    <w:p w14:paraId="1AE95D0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情绪调节均值由3.586升至4.405，平均增加0.818分，95%CI为0.800～0.837，t（1345）＝85.278，校正后p＜0.001，dz＝2.324。情绪调节的提高，为课题在认知挑战中同步提供过程反馈、同伴支持和调整机会的设计提供了支持。面对困难、分歧和失误时保持投入，是持续探究的重要条件；该维度的积极变化说明，学生对自身应对这些情境的能力更加认可。后测“比以前更有耐心”等表述提供了补充线索，提示高阶能力培育中的情绪支持具有实际价值。</w:t>
      </w:r>
    </w:p>
    <w:p w14:paraId="0488CE63">
      <w:pPr>
        <w:spacing w:before="0" w:after="0" w:line="360" w:lineRule="auto"/>
        <w:ind w:firstLine="480" w:firstLineChars="0"/>
        <w:jc w:val="both"/>
        <w:outlineLvl w:val="3"/>
        <w:rPr>
          <w:rFonts w:hint="eastAsia" w:ascii="宋体" w:hAnsi="宋体" w:eastAsia="宋体" w:cs="宋体"/>
        </w:rPr>
      </w:pPr>
      <w:bookmarkStart w:id="140" w:name="_Toc23235"/>
      <w:r>
        <w:rPr>
          <w:rFonts w:hint="eastAsia" w:ascii="宋体" w:hAnsi="宋体" w:eastAsia="宋体" w:cs="宋体"/>
          <w:b w:val="0"/>
          <w:sz w:val="24"/>
        </w:rPr>
        <w:t>6）合作共情</w:t>
      </w:r>
      <w:bookmarkEnd w:id="140"/>
    </w:p>
    <w:p w14:paraId="30564AD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表4-8  合作共情维度前后测比较（n＝1346）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4E32DDB7">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686A951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3D1B276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459A8C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4BE6572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080C690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419682C7">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289CBF4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1BEF8BAB">
        <w:tblPrEx>
          <w:tblCellMar>
            <w:top w:w="0" w:type="dxa"/>
            <w:left w:w="108" w:type="dxa"/>
            <w:bottom w:w="0" w:type="dxa"/>
            <w:right w:w="108" w:type="dxa"/>
          </w:tblCellMar>
        </w:tblPrEx>
        <w:trPr>
          <w:cantSplit/>
        </w:trPr>
        <w:tc>
          <w:tcPr>
            <w:tcW w:w="864" w:type="dxa"/>
            <w:vAlign w:val="center"/>
          </w:tcPr>
          <w:p w14:paraId="5C7859A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70DEBEE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3.709</w:t>
            </w:r>
          </w:p>
        </w:tc>
        <w:tc>
          <w:tcPr>
            <w:tcW w:w="937" w:type="dxa"/>
            <w:vAlign w:val="center"/>
          </w:tcPr>
          <w:p w14:paraId="2F4443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0.475</w:t>
            </w:r>
          </w:p>
        </w:tc>
        <w:tc>
          <w:tcPr>
            <w:tcW w:w="1152" w:type="dxa"/>
            <w:vAlign w:val="center"/>
          </w:tcPr>
          <w:p w14:paraId="332EA6F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0.773</w:t>
            </w:r>
          </w:p>
        </w:tc>
        <w:tc>
          <w:tcPr>
            <w:tcW w:w="2447" w:type="dxa"/>
            <w:vAlign w:val="center"/>
          </w:tcPr>
          <w:p w14:paraId="3A5135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0.754～0.792</w:t>
            </w:r>
          </w:p>
        </w:tc>
        <w:tc>
          <w:tcPr>
            <w:tcW w:w="1225" w:type="dxa"/>
            <w:vAlign w:val="center"/>
          </w:tcPr>
          <w:p w14:paraId="115F0F8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79.513</w:t>
            </w:r>
          </w:p>
        </w:tc>
        <w:tc>
          <w:tcPr>
            <w:tcW w:w="1080" w:type="dxa"/>
            <w:vAlign w:val="center"/>
          </w:tcPr>
          <w:p w14:paraId="3F8061E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2DC8842B">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7150621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6BFDF0B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4.482</w:t>
            </w:r>
          </w:p>
        </w:tc>
        <w:tc>
          <w:tcPr>
            <w:tcW w:w="937" w:type="dxa"/>
            <w:tcBorders>
              <w:bottom w:val="single" w:color="000000" w:sz="8" w:space="0"/>
            </w:tcBorders>
            <w:vAlign w:val="center"/>
          </w:tcPr>
          <w:p w14:paraId="2C01134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0.805</w:t>
            </w:r>
          </w:p>
        </w:tc>
        <w:tc>
          <w:tcPr>
            <w:tcW w:w="1152" w:type="dxa"/>
            <w:tcBorders>
              <w:bottom w:val="single" w:color="000000" w:sz="8" w:space="0"/>
            </w:tcBorders>
            <w:vAlign w:val="center"/>
          </w:tcPr>
          <w:p w14:paraId="637CD50B">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1564F648">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29C1DD6B">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25B36867">
            <w:pPr>
              <w:keepNext/>
              <w:spacing w:before="0" w:after="0" w:line="240" w:lineRule="auto"/>
              <w:ind w:firstLine="0"/>
              <w:jc w:val="center"/>
              <w:rPr>
                <w:rFonts w:hint="eastAsia" w:ascii="宋体" w:hAnsi="宋体" w:eastAsia="宋体" w:cs="宋体"/>
              </w:rPr>
            </w:pPr>
          </w:p>
        </w:tc>
      </w:tr>
    </w:tbl>
    <w:p w14:paraId="18602FBB">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注：差值为后测减前测；df＝1345；配对差SD＝0.357；dz＝2.167；Holm校正后p＜0.001。</w:t>
      </w:r>
    </w:p>
    <w:p w14:paraId="64EE8D8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合作共情均值由3.709升至4.482，平均增加0.773分，95%CI为0.754～0.792，t（1345）＝79.513，校正后p＜0.001，dz＝2.167。合作共情的提高，与课题通过小组研讨、观点表达和协商修订促进共同学习的设计方向一致。后测“与同学交流更多了”“学会更好地表达自己的观点，学会多角度分析问题”等回答，为合作参与的变化提供了具体例证。量化与文本结果共同支持探究展学在拓展交流机会、促进理解不同观点方面的实践价值，合作的进一步深化则可着眼于证据回应和共同修订结论。</w:t>
      </w:r>
    </w:p>
    <w:p w14:paraId="5314AFE1">
      <w:pPr>
        <w:spacing w:before="0" w:after="0" w:line="360" w:lineRule="auto"/>
        <w:ind w:firstLine="480" w:firstLineChars="0"/>
        <w:jc w:val="both"/>
        <w:outlineLvl w:val="3"/>
        <w:rPr>
          <w:rFonts w:hint="eastAsia" w:ascii="宋体" w:hAnsi="宋体" w:eastAsia="宋体" w:cs="宋体"/>
        </w:rPr>
      </w:pPr>
      <w:bookmarkStart w:id="141" w:name="_Toc7412"/>
      <w:r>
        <w:rPr>
          <w:rFonts w:hint="eastAsia" w:ascii="宋体" w:hAnsi="宋体" w:eastAsia="宋体" w:cs="宋体"/>
          <w:b w:val="0"/>
          <w:sz w:val="24"/>
        </w:rPr>
        <w:t>7）包容创新</w:t>
      </w:r>
      <w:bookmarkEnd w:id="141"/>
    </w:p>
    <w:p w14:paraId="57724001">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表4-9  包容创新维度前后测比较（n＝1346）</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1BDE03B3">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39911E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0C7E9E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723859F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6F3FBB2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B1437A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7A672F2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0DCC4C4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54855649">
        <w:tblPrEx>
          <w:tblCellMar>
            <w:top w:w="0" w:type="dxa"/>
            <w:left w:w="108" w:type="dxa"/>
            <w:bottom w:w="0" w:type="dxa"/>
            <w:right w:w="108" w:type="dxa"/>
          </w:tblCellMar>
        </w:tblPrEx>
        <w:trPr>
          <w:cantSplit/>
        </w:trPr>
        <w:tc>
          <w:tcPr>
            <w:tcW w:w="864" w:type="dxa"/>
            <w:vAlign w:val="center"/>
          </w:tcPr>
          <w:p w14:paraId="4412B45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5D42158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3.655</w:t>
            </w:r>
          </w:p>
        </w:tc>
        <w:tc>
          <w:tcPr>
            <w:tcW w:w="937" w:type="dxa"/>
            <w:vAlign w:val="center"/>
          </w:tcPr>
          <w:p w14:paraId="0AEED65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0.510</w:t>
            </w:r>
          </w:p>
        </w:tc>
        <w:tc>
          <w:tcPr>
            <w:tcW w:w="1152" w:type="dxa"/>
            <w:vAlign w:val="center"/>
          </w:tcPr>
          <w:p w14:paraId="67D191F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0.732</w:t>
            </w:r>
          </w:p>
        </w:tc>
        <w:tc>
          <w:tcPr>
            <w:tcW w:w="2447" w:type="dxa"/>
            <w:vAlign w:val="center"/>
          </w:tcPr>
          <w:p w14:paraId="71E6AC4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0.712～0.752</w:t>
            </w:r>
          </w:p>
        </w:tc>
        <w:tc>
          <w:tcPr>
            <w:tcW w:w="1225" w:type="dxa"/>
            <w:vAlign w:val="center"/>
          </w:tcPr>
          <w:p w14:paraId="5AA5052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72.117</w:t>
            </w:r>
          </w:p>
        </w:tc>
        <w:tc>
          <w:tcPr>
            <w:tcW w:w="1080" w:type="dxa"/>
            <w:vAlign w:val="center"/>
          </w:tcPr>
          <w:p w14:paraId="6D771DA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77257577">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4864F4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2F7104B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4.387</w:t>
            </w:r>
          </w:p>
        </w:tc>
        <w:tc>
          <w:tcPr>
            <w:tcW w:w="937" w:type="dxa"/>
            <w:tcBorders>
              <w:bottom w:val="single" w:color="000000" w:sz="8" w:space="0"/>
            </w:tcBorders>
            <w:vAlign w:val="center"/>
          </w:tcPr>
          <w:p w14:paraId="3CF3BD8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0.856</w:t>
            </w:r>
          </w:p>
        </w:tc>
        <w:tc>
          <w:tcPr>
            <w:tcW w:w="1152" w:type="dxa"/>
            <w:tcBorders>
              <w:bottom w:val="single" w:color="000000" w:sz="8" w:space="0"/>
            </w:tcBorders>
            <w:vAlign w:val="center"/>
          </w:tcPr>
          <w:p w14:paraId="461CBD71">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6E2BD864">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7B0CAC52">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0E4F1A84">
            <w:pPr>
              <w:keepNext/>
              <w:spacing w:before="0" w:after="0" w:line="240" w:lineRule="auto"/>
              <w:ind w:firstLine="0"/>
              <w:jc w:val="center"/>
              <w:rPr>
                <w:rFonts w:hint="eastAsia" w:ascii="宋体" w:hAnsi="宋体" w:eastAsia="宋体" w:cs="宋体"/>
              </w:rPr>
            </w:pPr>
          </w:p>
        </w:tc>
      </w:tr>
    </w:tbl>
    <w:p w14:paraId="6DFCF73B">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注：差值为后测减前测；df＝1345；配对差SD＝0.372；dz＝1.966；Holm校正后p＜0.001。</w:t>
      </w:r>
    </w:p>
    <w:p w14:paraId="09C7BCF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包容创新均值由3.655升至4.387，平均增加0.732分，95%CI为0.712～0.752，t（1345）＝72.117，校正后p＜0.001，dz＝1.966。包容创新维度的提高，为课题通过开放性问题、不同方案交流和反复尝试培养探索意愿提供了支持。学生更积极地评价自身接纳不同意见、尝试新方法和持续探究的表现，与课题鼓励多元思路、允许修订和推动迁移的要求相契合。同时，该维度后测均值及均值增量相对较低，提示下一阶段可进一步增加陌生情境中的方案试用与自主选择机会，使开放态度更多转化为探索行动。</w:t>
      </w:r>
    </w:p>
    <w:p w14:paraId="281743B6">
      <w:pPr>
        <w:pStyle w:val="4"/>
        <w:keepNext/>
        <w:spacing w:before="280" w:after="280"/>
        <w:ind w:firstLine="0"/>
        <w:rPr>
          <w:rFonts w:hint="eastAsia" w:ascii="宋体" w:hAnsi="宋体" w:eastAsia="宋体" w:cs="宋体"/>
        </w:rPr>
      </w:pPr>
      <w:bookmarkStart w:id="142" w:name="_Toc25056"/>
      <w:r>
        <w:rPr>
          <w:rFonts w:hint="eastAsia" w:ascii="宋体" w:hAnsi="宋体" w:eastAsia="宋体" w:cs="宋体"/>
          <w:b/>
          <w:sz w:val="28"/>
        </w:rPr>
        <w:t>4 开放性回答与学习方式的变化线索</w:t>
      </w:r>
      <w:bookmarkEnd w:id="142"/>
    </w:p>
    <w:p w14:paraId="47A3CA2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开放题询问学生在学习中最容易感到困难的事情及其例子，后测询问思考、合作与解决困难方面的变化。由于提问关注点不同，本研究采用主题对照呈现代表性文本，不以主题出现次数的增减直接证明困难发生率下降，也不将信息有限的回答一律解释为没有进步。学生后测未新增评分题，开放题构成共同量表以外的重要补充。</w:t>
      </w:r>
    </w:p>
    <w:p w14:paraId="4E00CE5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材料中的困难大体涉及学科知识理解与解题突破、知识迁移与思维整合、自我管理与学习习惯、考试心态与情绪调节，以及外部环境和互动支持。数学难题、几何辅助线、函数综合、知识点混杂、背诵遗忘和长时间没有思路等回答，说明学生面对的挑战并不只是知识储备不足，还包括如何组织信息、选择方法和在困难中持续投入。这些问题为课题设置问题链、方法支架、合作交流及反馈修订提供了现实依据。</w:t>
      </w:r>
    </w:p>
    <w:p w14:paraId="7D38103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后测关于“会思考问题的不同路径”“开始通过联系以前的知识进行自主学习”“在做数学题时能考虑到答案的所有情况了”的回答，呈现了问题分析和知识联系方面的变化。关于“思考问题：我学会了质疑”和比较更简便方法的表述，体现部分学生开始关注依据与方法质量。关于“与同学交流更多了”“比以前更有耐心”等回答，则分别指向交流参与和学习状态调整。这些文本与七维得分变化方向相符，使抽象的均值差获得具体学习经验层面的解释。</w:t>
      </w:r>
    </w:p>
    <w:p w14:paraId="1B287A1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同时，后测仍存在“没有变化。”以及“无”等信息有限的回答，说明变化感受并非均匀分布。积极例子能够证明部分学生可以描述具体变化，不能代表全体学生已形成稳定能力。后续开放题可要求学生说明任务、初始做法、调整依据与调整结果，以增强可分析性；对于迁移和创造，还应收集新的任务表现，检验学生能否在缺少原有提示时独立运用方法。</w:t>
      </w:r>
    </w:p>
    <w:p w14:paraId="253ADD04">
      <w:pPr>
        <w:pStyle w:val="4"/>
        <w:keepNext/>
        <w:spacing w:before="280" w:after="280"/>
        <w:ind w:firstLine="0"/>
        <w:rPr>
          <w:rFonts w:hint="eastAsia" w:ascii="宋体" w:hAnsi="宋体" w:eastAsia="宋体" w:cs="宋体"/>
        </w:rPr>
      </w:pPr>
      <w:bookmarkStart w:id="143" w:name="_Toc5393"/>
      <w:r>
        <w:rPr>
          <w:rFonts w:hint="eastAsia" w:ascii="宋体" w:hAnsi="宋体" w:eastAsia="宋体" w:cs="宋体"/>
          <w:b/>
          <w:sz w:val="28"/>
        </w:rPr>
        <w:t>5 从任务参与走向理解深化与迁移运用</w:t>
      </w:r>
      <w:bookmarkEnd w:id="143"/>
    </w:p>
    <w:p w14:paraId="2AD823D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观察部分所汇总的10节课中，学生行为占比平均为54.1%，其中8节超过50%。这一资料说明学生参与具有时间与活动基础，支持模型在真实课堂中具备实施载体。课堂讨论、练习、展示和探究为思考外显创造条件，但活动占比仍须与回答、理由和作品相互参照。全文不同位置的AI汇总口径存在差异，本节不将不同口径数字拼接为前后变化，也不依据参与时长推断高阶能力增幅。</w:t>
      </w:r>
    </w:p>
    <w:p w14:paraId="0F119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光的折射》保留了学生把光传播方向画反后依据同伴意见修正、漏画法线后重新补画和标角的记录。错误、追问与修订之间具有明确联系，说明探究展学能够使概念理解的具体困难被识别，反馈迭代能够落实为模型修改。《秋天的怀念》的短笺三稿则由一般性的坚强表述补入考试失利经验，再根据答辩意见区分母子对“好好儿活”的不同理解，呈现表达与解释逐步具体化的过程。</w:t>
      </w:r>
    </w:p>
    <w:p w14:paraId="6819E5F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状物写作进一步提供群体作品层面的证据。86份作品中，进阶与高阶作品合计由初稿25份增至终稿54份，比例由29.07%提高至62.79%，增加33.72个百分点；初始水平作品由32份降至11份。该分布与版本中补充生活场景、联系个人记忆和依据主旨筛选细节的变化相互参照，支持本次任务的作品质量分布向较高等级移动。它是任务成果改善的证据，不等同于已完成逐生能力增值检验。</w:t>
      </w:r>
    </w:p>
    <w:p w14:paraId="420CD84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表4-10  状物写作初稿与终稿的作品水平分布（n＝86）</w:t>
      </w:r>
    </w:p>
    <w:tbl>
      <w:tblPr>
        <w:tblStyle w:val="12"/>
        <w:tblW w:w="8519" w:type="dxa"/>
        <w:jc w:val="center"/>
        <w:tblLayout w:type="fixed"/>
        <w:tblCellMar>
          <w:top w:w="0" w:type="dxa"/>
          <w:left w:w="0" w:type="dxa"/>
          <w:bottom w:w="0" w:type="dxa"/>
          <w:right w:w="0" w:type="dxa"/>
        </w:tblCellMar>
      </w:tblPr>
      <w:tblGrid>
        <w:gridCol w:w="1698"/>
        <w:gridCol w:w="1706"/>
        <w:gridCol w:w="1704"/>
        <w:gridCol w:w="1707"/>
        <w:gridCol w:w="1704"/>
      </w:tblGrid>
      <w:tr w14:paraId="6AC0E9B3">
        <w:tblPrEx>
          <w:tblCellMar>
            <w:top w:w="0" w:type="dxa"/>
            <w:left w:w="0" w:type="dxa"/>
            <w:bottom w:w="0" w:type="dxa"/>
            <w:right w:w="0" w:type="dxa"/>
          </w:tblCellMar>
        </w:tblPrEx>
        <w:trPr>
          <w:cantSplit/>
          <w:tblHeader/>
          <w:jc w:val="center"/>
        </w:trPr>
        <w:tc>
          <w:tcPr>
            <w:tcW w:w="1698" w:type="dxa"/>
            <w:tcBorders>
              <w:top w:val="single" w:color="000000" w:sz="12" w:space="0"/>
            </w:tcBorders>
            <w:vAlign w:val="center"/>
          </w:tcPr>
          <w:p w14:paraId="65348143">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水平</w:t>
            </w:r>
          </w:p>
        </w:tc>
        <w:tc>
          <w:tcPr>
            <w:tcW w:w="1706" w:type="dxa"/>
            <w:tcBorders>
              <w:top w:val="single" w:color="000000" w:sz="12" w:space="0"/>
            </w:tcBorders>
            <w:vAlign w:val="center"/>
          </w:tcPr>
          <w:p w14:paraId="776F4ADA">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初稿人数</w:t>
            </w:r>
          </w:p>
        </w:tc>
        <w:tc>
          <w:tcPr>
            <w:tcW w:w="1704" w:type="dxa"/>
            <w:tcBorders>
              <w:top w:val="single" w:color="000000" w:sz="12" w:space="0"/>
            </w:tcBorders>
            <w:vAlign w:val="center"/>
          </w:tcPr>
          <w:p w14:paraId="0A35B650">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初稿比例</w:t>
            </w:r>
          </w:p>
        </w:tc>
        <w:tc>
          <w:tcPr>
            <w:tcW w:w="1707" w:type="dxa"/>
            <w:tcBorders>
              <w:top w:val="single" w:color="000000" w:sz="12" w:space="0"/>
            </w:tcBorders>
            <w:vAlign w:val="center"/>
          </w:tcPr>
          <w:p w14:paraId="6CF7A954">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终稿人数</w:t>
            </w:r>
          </w:p>
        </w:tc>
        <w:tc>
          <w:tcPr>
            <w:tcW w:w="1704" w:type="dxa"/>
            <w:tcBorders>
              <w:top w:val="single" w:color="000000" w:sz="12" w:space="0"/>
            </w:tcBorders>
            <w:vAlign w:val="center"/>
          </w:tcPr>
          <w:p w14:paraId="7B581F75">
            <w:pPr>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终稿比例</w:t>
            </w:r>
          </w:p>
        </w:tc>
      </w:tr>
      <w:tr w14:paraId="63DE974D">
        <w:tblPrEx>
          <w:tblCellMar>
            <w:top w:w="0" w:type="dxa"/>
            <w:left w:w="0" w:type="dxa"/>
            <w:bottom w:w="0" w:type="dxa"/>
            <w:right w:w="0" w:type="dxa"/>
          </w:tblCellMar>
        </w:tblPrEx>
        <w:trPr>
          <w:cantSplit/>
          <w:jc w:val="center"/>
        </w:trPr>
        <w:tc>
          <w:tcPr>
            <w:tcW w:w="1698" w:type="dxa"/>
            <w:tcBorders>
              <w:top w:val="single" w:color="000000" w:sz="4" w:space="0"/>
            </w:tcBorders>
            <w:vAlign w:val="center"/>
          </w:tcPr>
          <w:p w14:paraId="0D0BB787">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初始水平</w:t>
            </w:r>
          </w:p>
        </w:tc>
        <w:tc>
          <w:tcPr>
            <w:tcW w:w="1706" w:type="dxa"/>
            <w:tcBorders>
              <w:top w:val="single" w:color="000000" w:sz="4" w:space="0"/>
            </w:tcBorders>
            <w:vAlign w:val="center"/>
          </w:tcPr>
          <w:p w14:paraId="6EE1610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32</w:t>
            </w:r>
          </w:p>
        </w:tc>
        <w:tc>
          <w:tcPr>
            <w:tcW w:w="1704" w:type="dxa"/>
            <w:tcBorders>
              <w:top w:val="single" w:color="000000" w:sz="4" w:space="0"/>
            </w:tcBorders>
            <w:vAlign w:val="center"/>
          </w:tcPr>
          <w:p w14:paraId="70D992A9">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37.2%</w:t>
            </w:r>
          </w:p>
        </w:tc>
        <w:tc>
          <w:tcPr>
            <w:tcW w:w="1707" w:type="dxa"/>
            <w:tcBorders>
              <w:top w:val="single" w:color="000000" w:sz="4" w:space="0"/>
            </w:tcBorders>
            <w:vAlign w:val="center"/>
          </w:tcPr>
          <w:p w14:paraId="6B2BE2D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11</w:t>
            </w:r>
          </w:p>
        </w:tc>
        <w:tc>
          <w:tcPr>
            <w:tcW w:w="1704" w:type="dxa"/>
            <w:tcBorders>
              <w:top w:val="single" w:color="000000" w:sz="4" w:space="0"/>
            </w:tcBorders>
            <w:vAlign w:val="center"/>
          </w:tcPr>
          <w:p w14:paraId="6381DC0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12.8%</w:t>
            </w:r>
          </w:p>
        </w:tc>
      </w:tr>
      <w:tr w14:paraId="4FDAF36C">
        <w:tblPrEx>
          <w:tblCellMar>
            <w:top w:w="0" w:type="dxa"/>
            <w:left w:w="0" w:type="dxa"/>
            <w:bottom w:w="0" w:type="dxa"/>
            <w:right w:w="0" w:type="dxa"/>
          </w:tblCellMar>
        </w:tblPrEx>
        <w:trPr>
          <w:cantSplit/>
          <w:jc w:val="center"/>
        </w:trPr>
        <w:tc>
          <w:tcPr>
            <w:tcW w:w="1698" w:type="dxa"/>
            <w:vAlign w:val="center"/>
          </w:tcPr>
          <w:p w14:paraId="0DAD501E">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入门水平</w:t>
            </w:r>
          </w:p>
        </w:tc>
        <w:tc>
          <w:tcPr>
            <w:tcW w:w="1706" w:type="dxa"/>
            <w:vAlign w:val="center"/>
          </w:tcPr>
          <w:p w14:paraId="0A162755">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29</w:t>
            </w:r>
          </w:p>
        </w:tc>
        <w:tc>
          <w:tcPr>
            <w:tcW w:w="1704" w:type="dxa"/>
            <w:vAlign w:val="center"/>
          </w:tcPr>
          <w:p w14:paraId="38AA243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33.7%</w:t>
            </w:r>
          </w:p>
        </w:tc>
        <w:tc>
          <w:tcPr>
            <w:tcW w:w="1707" w:type="dxa"/>
            <w:vAlign w:val="center"/>
          </w:tcPr>
          <w:p w14:paraId="3A99BB50">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21</w:t>
            </w:r>
          </w:p>
        </w:tc>
        <w:tc>
          <w:tcPr>
            <w:tcW w:w="1704" w:type="dxa"/>
            <w:vAlign w:val="center"/>
          </w:tcPr>
          <w:p w14:paraId="0BD5061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24.4%</w:t>
            </w:r>
          </w:p>
        </w:tc>
      </w:tr>
      <w:tr w14:paraId="3BCD3387">
        <w:tblPrEx>
          <w:tblCellMar>
            <w:top w:w="0" w:type="dxa"/>
            <w:left w:w="0" w:type="dxa"/>
            <w:bottom w:w="0" w:type="dxa"/>
            <w:right w:w="0" w:type="dxa"/>
          </w:tblCellMar>
        </w:tblPrEx>
        <w:trPr>
          <w:cantSplit/>
          <w:jc w:val="center"/>
        </w:trPr>
        <w:tc>
          <w:tcPr>
            <w:tcW w:w="1698" w:type="dxa"/>
            <w:vAlign w:val="center"/>
          </w:tcPr>
          <w:p w14:paraId="1891095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进阶水平</w:t>
            </w:r>
          </w:p>
        </w:tc>
        <w:tc>
          <w:tcPr>
            <w:tcW w:w="1706" w:type="dxa"/>
            <w:vAlign w:val="center"/>
          </w:tcPr>
          <w:p w14:paraId="49575BFD">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18</w:t>
            </w:r>
          </w:p>
        </w:tc>
        <w:tc>
          <w:tcPr>
            <w:tcW w:w="1704" w:type="dxa"/>
            <w:vAlign w:val="center"/>
          </w:tcPr>
          <w:p w14:paraId="0E6B0DB6">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20.9%</w:t>
            </w:r>
          </w:p>
        </w:tc>
        <w:tc>
          <w:tcPr>
            <w:tcW w:w="1707" w:type="dxa"/>
            <w:vAlign w:val="center"/>
          </w:tcPr>
          <w:p w14:paraId="4E2F3D98">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36</w:t>
            </w:r>
          </w:p>
        </w:tc>
        <w:tc>
          <w:tcPr>
            <w:tcW w:w="1704" w:type="dxa"/>
            <w:vAlign w:val="center"/>
          </w:tcPr>
          <w:p w14:paraId="04D8F34B">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41.9%</w:t>
            </w:r>
          </w:p>
        </w:tc>
      </w:tr>
      <w:tr w14:paraId="7F0AAE79">
        <w:tblPrEx>
          <w:tblCellMar>
            <w:top w:w="0" w:type="dxa"/>
            <w:left w:w="0" w:type="dxa"/>
            <w:bottom w:w="0" w:type="dxa"/>
            <w:right w:w="0" w:type="dxa"/>
          </w:tblCellMar>
        </w:tblPrEx>
        <w:trPr>
          <w:cantSplit/>
          <w:jc w:val="center"/>
        </w:trPr>
        <w:tc>
          <w:tcPr>
            <w:tcW w:w="1698" w:type="dxa"/>
            <w:vAlign w:val="center"/>
          </w:tcPr>
          <w:p w14:paraId="73EC1863">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高阶水平</w:t>
            </w:r>
          </w:p>
        </w:tc>
        <w:tc>
          <w:tcPr>
            <w:tcW w:w="1706" w:type="dxa"/>
            <w:vAlign w:val="center"/>
          </w:tcPr>
          <w:p w14:paraId="7DBC0694">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7</w:t>
            </w:r>
          </w:p>
        </w:tc>
        <w:tc>
          <w:tcPr>
            <w:tcW w:w="1704" w:type="dxa"/>
            <w:vAlign w:val="center"/>
          </w:tcPr>
          <w:p w14:paraId="546F166F">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8.1%</w:t>
            </w:r>
          </w:p>
        </w:tc>
        <w:tc>
          <w:tcPr>
            <w:tcW w:w="1707" w:type="dxa"/>
            <w:vAlign w:val="center"/>
          </w:tcPr>
          <w:p w14:paraId="273C780A">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18</w:t>
            </w:r>
          </w:p>
        </w:tc>
        <w:tc>
          <w:tcPr>
            <w:tcW w:w="1704" w:type="dxa"/>
            <w:vAlign w:val="center"/>
          </w:tcPr>
          <w:p w14:paraId="26A4F38C">
            <w:pPr>
              <w:overflowPunct w:val="0"/>
              <w:bidi w:val="0"/>
              <w:snapToGrid w:val="0"/>
              <w:spacing w:before="0" w:after="0" w:line="240"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b w:val="0"/>
                <w:color w:val="000000"/>
                <w:sz w:val="21"/>
                <w:szCs w:val="24"/>
              </w:rPr>
              <w:t>20.9%</w:t>
            </w:r>
          </w:p>
        </w:tc>
      </w:tr>
      <w:tr w14:paraId="59AF9277">
        <w:tblPrEx>
          <w:tblCellMar>
            <w:top w:w="0" w:type="dxa"/>
            <w:left w:w="0" w:type="dxa"/>
            <w:bottom w:w="0" w:type="dxa"/>
            <w:right w:w="0" w:type="dxa"/>
          </w:tblCellMar>
        </w:tblPrEx>
        <w:trPr>
          <w:cantSplit/>
          <w:jc w:val="center"/>
        </w:trPr>
        <w:tc>
          <w:tcPr>
            <w:tcW w:w="1698" w:type="dxa"/>
            <w:tcBorders>
              <w:bottom w:val="single" w:color="000000" w:sz="12" w:space="0"/>
            </w:tcBorders>
            <w:vAlign w:val="center"/>
          </w:tcPr>
          <w:p w14:paraId="2455FF4A">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合计</w:t>
            </w:r>
          </w:p>
        </w:tc>
        <w:tc>
          <w:tcPr>
            <w:tcW w:w="1706" w:type="dxa"/>
            <w:tcBorders>
              <w:bottom w:val="single" w:color="000000" w:sz="12" w:space="0"/>
            </w:tcBorders>
            <w:vAlign w:val="center"/>
          </w:tcPr>
          <w:p w14:paraId="75A505CE">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86</w:t>
            </w:r>
          </w:p>
        </w:tc>
        <w:tc>
          <w:tcPr>
            <w:tcW w:w="1704" w:type="dxa"/>
            <w:tcBorders>
              <w:bottom w:val="single" w:color="000000" w:sz="12" w:space="0"/>
            </w:tcBorders>
            <w:vAlign w:val="center"/>
          </w:tcPr>
          <w:p w14:paraId="0DFE882B">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100.0%</w:t>
            </w:r>
          </w:p>
        </w:tc>
        <w:tc>
          <w:tcPr>
            <w:tcW w:w="1707" w:type="dxa"/>
            <w:tcBorders>
              <w:bottom w:val="single" w:color="000000" w:sz="12" w:space="0"/>
            </w:tcBorders>
            <w:vAlign w:val="center"/>
          </w:tcPr>
          <w:p w14:paraId="24180052">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86</w:t>
            </w:r>
          </w:p>
        </w:tc>
        <w:tc>
          <w:tcPr>
            <w:tcW w:w="1704" w:type="dxa"/>
            <w:tcBorders>
              <w:bottom w:val="single" w:color="000000" w:sz="12" w:space="0"/>
            </w:tcBorders>
            <w:vAlign w:val="center"/>
          </w:tcPr>
          <w:p w14:paraId="4B5E0E87">
            <w:pPr>
              <w:keepNext/>
              <w:overflowPunct w:val="0"/>
              <w:bidi w:val="0"/>
              <w:snapToGrid w:val="0"/>
              <w:spacing w:before="0" w:after="0" w:line="240" w:lineRule="auto"/>
              <w:ind w:left="0" w:right="0" w:firstLine="0"/>
              <w:jc w:val="center"/>
              <w:textAlignment w:val="auto"/>
              <w:rPr>
                <w:rFonts w:hint="eastAsia" w:ascii="宋体" w:hAnsi="宋体" w:eastAsia="宋体" w:cs="宋体"/>
                <w:b/>
                <w:sz w:val="24"/>
                <w:szCs w:val="24"/>
              </w:rPr>
            </w:pPr>
            <w:r>
              <w:rPr>
                <w:rFonts w:hint="eastAsia" w:ascii="宋体" w:hAnsi="宋体" w:eastAsia="宋体" w:cs="宋体"/>
                <w:b/>
                <w:color w:val="000000"/>
                <w:sz w:val="21"/>
                <w:szCs w:val="24"/>
              </w:rPr>
              <w:t>100.0%</w:t>
            </w:r>
          </w:p>
        </w:tc>
      </w:tr>
    </w:tbl>
    <w:p w14:paraId="71999D6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上述材料使三层学习具有可追溯的表现：基础概念与操作通过解释、作图和记录核查，深层联系通过比较和论证呈现，迁移则需要新条件下的方法调整。《秋天的怀念》案例中的《合欢树》阅读记录保留了细节摘录、意象比较与方法自评，为跨文本运用提供个案线索。学生仍指出意象分析困难，说明迁移与诊断可以同时发生，教师支持需要依据新表现继续调整。</w:t>
      </w:r>
    </w:p>
    <w:p w14:paraId="62F358EA">
      <w:pPr>
        <w:pStyle w:val="3"/>
        <w:keepNext/>
        <w:ind w:firstLine="0"/>
        <w:rPr>
          <w:rFonts w:hint="eastAsia" w:ascii="宋体" w:hAnsi="宋体" w:eastAsia="宋体" w:cs="宋体"/>
        </w:rPr>
      </w:pPr>
      <w:bookmarkStart w:id="144" w:name="_Toc18513"/>
      <w:r>
        <w:rPr>
          <w:rFonts w:hint="eastAsia" w:ascii="宋体" w:hAnsi="宋体" w:eastAsia="宋体" w:cs="宋体"/>
          <w:b/>
          <w:sz w:val="28"/>
        </w:rPr>
        <w:t>（三）教师高阶能力培育实践的持续改进</w:t>
      </w:r>
      <w:bookmarkEnd w:id="144"/>
    </w:p>
    <w:p w14:paraId="0D36778B">
      <w:pPr>
        <w:pStyle w:val="4"/>
        <w:keepNext/>
        <w:spacing w:before="280" w:after="280"/>
        <w:ind w:firstLine="0"/>
        <w:rPr>
          <w:rFonts w:hint="eastAsia" w:ascii="宋体" w:hAnsi="宋体" w:eastAsia="宋体" w:cs="宋体"/>
        </w:rPr>
      </w:pPr>
      <w:bookmarkStart w:id="145" w:name="_Toc4107"/>
      <w:r>
        <w:rPr>
          <w:rFonts w:hint="eastAsia" w:ascii="宋体" w:hAnsi="宋体" w:eastAsia="宋体" w:cs="宋体"/>
          <w:b/>
          <w:sz w:val="28"/>
        </w:rPr>
        <w:t>1 样本构成与比较方法</w:t>
      </w:r>
      <w:bookmarkEnd w:id="145"/>
    </w:p>
    <w:p w14:paraId="6A2D2F0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前测回收163份，后测回收172份，按最新匹配明细纳入163组不重复的前后测对应记录，另有9份后测未纳入配对分析。纳入记录覆盖全部前测及后测的94.77%。样本背景均以前测为准，以下结果以所提供对应关系为基础。源文件说明两次问卷匿名填写，匹配依据教龄、职称、学科和年级等背景信息形成，因而配对检验是在对应关系成立的前提下进行的条件性比较。</w:t>
      </w:r>
    </w:p>
    <w:p w14:paraId="27DA939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163组教师覆盖不同教龄、职称与初高中学段，其中已有相关培训经历者130人，占79.75%。样本具有一定专业学习基础，因而本课题的支持重点是推动理念进入学科任务、课堂反馈与学习证据分析。教师学科构成及背景分布已在前述研究过程部分列示，本节重点分析专业实践变化。</w:t>
      </w:r>
    </w:p>
    <w:p w14:paraId="2631581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后测共有22道评分题，构成认知与价值认同7题、课堂教学实践6题、教学自我效能3题和现实开展阻碍6题。各题按1—5分计分，维度得分取题均分，163组共同题项无缺失。前三维分数越高表示自评越积极，阻碍维度下降表示对困难表述的认同减轻。后测新增题目单独描述，不混入共同维度计分。四维采用双侧配对t检验及Holm校正，差值均为后测减前测。</w:t>
      </w:r>
    </w:p>
    <w:p w14:paraId="7C3B37C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数据连接采用匹配明细中的前测序号与后测序号，并与后测页对应序号核对；前测页配对ID存在错位，故未直接用该列连接。部分共同题目及引导语有所调整，尤其后测阻碍题干包含“完全不符合程度”的表述，其变化幅度需结合施测口径理解。这些说明有助于明确统计所对应的数据基础，避免将不同版本的样本或题项混用。</w:t>
      </w:r>
    </w:p>
    <w:p w14:paraId="51066071">
      <w:pPr>
        <w:pStyle w:val="4"/>
        <w:keepNext/>
        <w:spacing w:before="280" w:after="280"/>
        <w:ind w:firstLine="0"/>
        <w:rPr>
          <w:rFonts w:hint="eastAsia" w:ascii="宋体" w:hAnsi="宋体" w:eastAsia="宋体" w:cs="宋体"/>
        </w:rPr>
      </w:pPr>
      <w:bookmarkStart w:id="146" w:name="_Toc31896"/>
      <w:r>
        <w:rPr>
          <w:rFonts w:hint="eastAsia" w:ascii="宋体" w:hAnsi="宋体" w:eastAsia="宋体" w:cs="宋体"/>
          <w:b/>
          <w:sz w:val="28"/>
        </w:rPr>
        <w:t>2 四个维度的分别检验与实践意义</w:t>
      </w:r>
      <w:bookmarkEnd w:id="146"/>
    </w:p>
    <w:p w14:paraId="243A58DA">
      <w:pPr>
        <w:spacing w:before="0" w:after="0" w:line="360" w:lineRule="auto"/>
        <w:ind w:firstLine="480" w:firstLineChars="0"/>
        <w:jc w:val="both"/>
        <w:outlineLvl w:val="3"/>
        <w:rPr>
          <w:rFonts w:hint="eastAsia" w:ascii="宋体" w:hAnsi="宋体" w:eastAsia="宋体" w:cs="宋体"/>
        </w:rPr>
      </w:pPr>
      <w:bookmarkStart w:id="147" w:name="_Toc29488"/>
      <w:r>
        <w:rPr>
          <w:rFonts w:hint="eastAsia" w:ascii="宋体" w:hAnsi="宋体" w:eastAsia="宋体" w:cs="宋体"/>
          <w:b w:val="0"/>
          <w:sz w:val="24"/>
        </w:rPr>
        <w:t>1）认知与价值认同</w:t>
      </w:r>
      <w:bookmarkEnd w:id="147"/>
    </w:p>
    <w:p w14:paraId="012E0482">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表4-11  认知与价值认同前后测比较（n＝163）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784EB8C8">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7013A5D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7CB9DAC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2EB1647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7A3FCBA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540FE4E6">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310E2A5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285440BF">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496E0907">
        <w:tblPrEx>
          <w:tblCellMar>
            <w:top w:w="0" w:type="dxa"/>
            <w:left w:w="108" w:type="dxa"/>
            <w:bottom w:w="0" w:type="dxa"/>
            <w:right w:w="108" w:type="dxa"/>
          </w:tblCellMar>
        </w:tblPrEx>
        <w:trPr>
          <w:cantSplit/>
        </w:trPr>
        <w:tc>
          <w:tcPr>
            <w:tcW w:w="864" w:type="dxa"/>
            <w:vAlign w:val="center"/>
          </w:tcPr>
          <w:p w14:paraId="5B1314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029847D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4.351</w:t>
            </w:r>
          </w:p>
        </w:tc>
        <w:tc>
          <w:tcPr>
            <w:tcW w:w="937" w:type="dxa"/>
            <w:vAlign w:val="center"/>
          </w:tcPr>
          <w:p w14:paraId="15D350C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0.745</w:t>
            </w:r>
          </w:p>
        </w:tc>
        <w:tc>
          <w:tcPr>
            <w:tcW w:w="1152" w:type="dxa"/>
            <w:vAlign w:val="center"/>
          </w:tcPr>
          <w:p w14:paraId="62F223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0.414</w:t>
            </w:r>
          </w:p>
        </w:tc>
        <w:tc>
          <w:tcPr>
            <w:tcW w:w="2447" w:type="dxa"/>
            <w:vAlign w:val="center"/>
          </w:tcPr>
          <w:p w14:paraId="0C0A122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0.235～0.593</w:t>
            </w:r>
          </w:p>
        </w:tc>
        <w:tc>
          <w:tcPr>
            <w:tcW w:w="1225" w:type="dxa"/>
            <w:vAlign w:val="center"/>
          </w:tcPr>
          <w:p w14:paraId="0F0A80F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4.559</w:t>
            </w:r>
          </w:p>
        </w:tc>
        <w:tc>
          <w:tcPr>
            <w:tcW w:w="1080" w:type="dxa"/>
            <w:vAlign w:val="center"/>
          </w:tcPr>
          <w:p w14:paraId="76560C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DBA215A">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7DCDB4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0E6F28B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4.764</w:t>
            </w:r>
          </w:p>
        </w:tc>
        <w:tc>
          <w:tcPr>
            <w:tcW w:w="937" w:type="dxa"/>
            <w:tcBorders>
              <w:bottom w:val="single" w:color="000000" w:sz="8" w:space="0"/>
            </w:tcBorders>
            <w:vAlign w:val="center"/>
          </w:tcPr>
          <w:p w14:paraId="2897B3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0.865</w:t>
            </w:r>
          </w:p>
        </w:tc>
        <w:tc>
          <w:tcPr>
            <w:tcW w:w="1152" w:type="dxa"/>
            <w:tcBorders>
              <w:bottom w:val="single" w:color="000000" w:sz="8" w:space="0"/>
            </w:tcBorders>
            <w:vAlign w:val="center"/>
          </w:tcPr>
          <w:p w14:paraId="0D13A55D">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341AD959">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3C9048BC">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1322239C">
            <w:pPr>
              <w:keepNext/>
              <w:spacing w:before="0" w:after="0" w:line="240" w:lineRule="auto"/>
              <w:ind w:firstLine="0"/>
              <w:jc w:val="center"/>
              <w:rPr>
                <w:rFonts w:hint="eastAsia" w:ascii="宋体" w:hAnsi="宋体" w:eastAsia="宋体" w:cs="宋体"/>
              </w:rPr>
            </w:pPr>
          </w:p>
        </w:tc>
      </w:tr>
    </w:tbl>
    <w:p w14:paraId="6E54C2CE">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注：差值为后测减前测；df＝162；配对差SD＝1.158；dz＝0.357；Holm校正后p＜0.001。</w:t>
      </w:r>
    </w:p>
    <w:p w14:paraId="27BBABE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认知与价值认同均值由4.351升至4.764，平均增加0.414分，95%CI为0.235～0.593，t（162）＝4.559，Holm校正后p＜0.001，dz＝0.357。认知与价值认同在较高前测基础上进一步提高，为课题通过理论学习与课堂实践相结合深化教师理解提供了支持。教师对高阶能力内涵、学科育人价值及教学方式调整的自评更加积极，与后测90.18%的教师认可“理解更加清晰”的结果相呼应。这为将高阶能力目标持续融入备课、任务设计和课堂评价提供了较好的认知基础。</w:t>
      </w:r>
    </w:p>
    <w:p w14:paraId="174E7C89">
      <w:pPr>
        <w:spacing w:before="0" w:after="0" w:line="360" w:lineRule="auto"/>
        <w:ind w:firstLine="480" w:firstLineChars="0"/>
        <w:jc w:val="both"/>
        <w:outlineLvl w:val="3"/>
        <w:rPr>
          <w:rFonts w:hint="eastAsia" w:ascii="宋体" w:hAnsi="宋体" w:eastAsia="宋体" w:cs="宋体"/>
        </w:rPr>
      </w:pPr>
      <w:bookmarkStart w:id="148" w:name="_Toc1115"/>
      <w:r>
        <w:rPr>
          <w:rFonts w:hint="eastAsia" w:ascii="宋体" w:hAnsi="宋体" w:eastAsia="宋体" w:cs="宋体"/>
          <w:b w:val="0"/>
          <w:sz w:val="24"/>
        </w:rPr>
        <w:t>2）课堂教学实践</w:t>
      </w:r>
      <w:bookmarkEnd w:id="148"/>
    </w:p>
    <w:p w14:paraId="108B8A00">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表4-12  课堂教学实践前后测比较（n＝163）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2AA72F75">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490522F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F08943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5A6199A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3541429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7DABD0BB">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63018FD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5B787034">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57D38ABB">
        <w:tblPrEx>
          <w:tblCellMar>
            <w:top w:w="0" w:type="dxa"/>
            <w:left w:w="108" w:type="dxa"/>
            <w:bottom w:w="0" w:type="dxa"/>
            <w:right w:w="108" w:type="dxa"/>
          </w:tblCellMar>
        </w:tblPrEx>
        <w:trPr>
          <w:cantSplit/>
        </w:trPr>
        <w:tc>
          <w:tcPr>
            <w:tcW w:w="864" w:type="dxa"/>
            <w:vAlign w:val="center"/>
          </w:tcPr>
          <w:p w14:paraId="0CF42BD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65CD769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4.260</w:t>
            </w:r>
          </w:p>
        </w:tc>
        <w:tc>
          <w:tcPr>
            <w:tcW w:w="937" w:type="dxa"/>
            <w:vAlign w:val="center"/>
          </w:tcPr>
          <w:p w14:paraId="0E16FC9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0.676</w:t>
            </w:r>
          </w:p>
        </w:tc>
        <w:tc>
          <w:tcPr>
            <w:tcW w:w="1152" w:type="dxa"/>
            <w:vAlign w:val="center"/>
          </w:tcPr>
          <w:p w14:paraId="32A8C82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0.622</w:t>
            </w:r>
          </w:p>
        </w:tc>
        <w:tc>
          <w:tcPr>
            <w:tcW w:w="2447" w:type="dxa"/>
            <w:vAlign w:val="center"/>
          </w:tcPr>
          <w:p w14:paraId="7E808EB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0.483～0.760</w:t>
            </w:r>
          </w:p>
        </w:tc>
        <w:tc>
          <w:tcPr>
            <w:tcW w:w="1225" w:type="dxa"/>
            <w:vAlign w:val="center"/>
          </w:tcPr>
          <w:p w14:paraId="7AEB8FE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8.868</w:t>
            </w:r>
          </w:p>
        </w:tc>
        <w:tc>
          <w:tcPr>
            <w:tcW w:w="1080" w:type="dxa"/>
            <w:vAlign w:val="center"/>
          </w:tcPr>
          <w:p w14:paraId="73A9EA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92484F7">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112F45E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470E8C7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4.881</w:t>
            </w:r>
          </w:p>
        </w:tc>
        <w:tc>
          <w:tcPr>
            <w:tcW w:w="937" w:type="dxa"/>
            <w:tcBorders>
              <w:bottom w:val="single" w:color="000000" w:sz="8" w:space="0"/>
            </w:tcBorders>
            <w:vAlign w:val="center"/>
          </w:tcPr>
          <w:p w14:paraId="428B097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0.524</w:t>
            </w:r>
          </w:p>
        </w:tc>
        <w:tc>
          <w:tcPr>
            <w:tcW w:w="1152" w:type="dxa"/>
            <w:tcBorders>
              <w:bottom w:val="single" w:color="000000" w:sz="8" w:space="0"/>
            </w:tcBorders>
            <w:vAlign w:val="center"/>
          </w:tcPr>
          <w:p w14:paraId="25A8565F">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027A74B">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6132CC04">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69E769E5">
            <w:pPr>
              <w:keepNext/>
              <w:spacing w:before="0" w:after="0" w:line="240" w:lineRule="auto"/>
              <w:ind w:firstLine="0"/>
              <w:jc w:val="center"/>
              <w:rPr>
                <w:rFonts w:hint="eastAsia" w:ascii="宋体" w:hAnsi="宋体" w:eastAsia="宋体" w:cs="宋体"/>
              </w:rPr>
            </w:pPr>
          </w:p>
        </w:tc>
      </w:tr>
    </w:tbl>
    <w:p w14:paraId="6134CC01">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注：差值为后测减前测；df＝162；配对差SD＝0.895；dz＝0.695；Holm校正后p＜0.001。</w:t>
      </w:r>
    </w:p>
    <w:p w14:paraId="5679363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课堂教学实践均值由4.260升至4.881，平均增加0.622分，95%CI为0.483～0.760，t（162）＝8.868，Holm校正后p＜0.001，dz＝0.695。课堂实践得分的提高，是课题论证中关于教学行动变化的直接自报证据。共同题项涉及任务设计、探究组织、真实情境、开放性提问和自主研讨时间，与课题五环教学设计的实施要求相契合。后测98.77%的教师认可已将培训方法用于课堂，94.48%认可高阶活动频率提高，开放性回答也具体提到问题链与过程反馈，三类材料相互呼应，支持研修成果逐步转化为课堂做法的判断。</w:t>
      </w:r>
    </w:p>
    <w:p w14:paraId="3A202F42">
      <w:pPr>
        <w:spacing w:before="0" w:after="0" w:line="360" w:lineRule="auto"/>
        <w:ind w:firstLine="480" w:firstLineChars="0"/>
        <w:jc w:val="both"/>
        <w:outlineLvl w:val="3"/>
        <w:rPr>
          <w:rFonts w:hint="eastAsia" w:ascii="宋体" w:hAnsi="宋体" w:eastAsia="宋体" w:cs="宋体"/>
        </w:rPr>
      </w:pPr>
      <w:bookmarkStart w:id="149" w:name="_Toc13551"/>
      <w:r>
        <w:rPr>
          <w:rFonts w:hint="eastAsia" w:ascii="宋体" w:hAnsi="宋体" w:eastAsia="宋体" w:cs="宋体"/>
          <w:b w:val="0"/>
          <w:sz w:val="24"/>
        </w:rPr>
        <w:t>3）教学自我效能</w:t>
      </w:r>
      <w:bookmarkEnd w:id="149"/>
    </w:p>
    <w:p w14:paraId="5A61C92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表4-13  教学自我效能前后测比较（n＝163）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643616B2">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585865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2049276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E0C4A6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7FF4A9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248D3A8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0664A29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587486F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6F68CCF6">
        <w:tblPrEx>
          <w:tblCellMar>
            <w:top w:w="0" w:type="dxa"/>
            <w:left w:w="108" w:type="dxa"/>
            <w:bottom w:w="0" w:type="dxa"/>
            <w:right w:w="108" w:type="dxa"/>
          </w:tblCellMar>
        </w:tblPrEx>
        <w:trPr>
          <w:cantSplit/>
        </w:trPr>
        <w:tc>
          <w:tcPr>
            <w:tcW w:w="864" w:type="dxa"/>
            <w:vAlign w:val="center"/>
          </w:tcPr>
          <w:p w14:paraId="4309A71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23AF823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4.090</w:t>
            </w:r>
          </w:p>
        </w:tc>
        <w:tc>
          <w:tcPr>
            <w:tcW w:w="937" w:type="dxa"/>
            <w:vAlign w:val="center"/>
          </w:tcPr>
          <w:p w14:paraId="02D45B6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0.699</w:t>
            </w:r>
          </w:p>
        </w:tc>
        <w:tc>
          <w:tcPr>
            <w:tcW w:w="1152" w:type="dxa"/>
            <w:vAlign w:val="center"/>
          </w:tcPr>
          <w:p w14:paraId="3A54BD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0.663</w:t>
            </w:r>
          </w:p>
        </w:tc>
        <w:tc>
          <w:tcPr>
            <w:tcW w:w="2447" w:type="dxa"/>
            <w:vAlign w:val="center"/>
          </w:tcPr>
          <w:p w14:paraId="27588B9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0.502～0.823</w:t>
            </w:r>
          </w:p>
        </w:tc>
        <w:tc>
          <w:tcPr>
            <w:tcW w:w="1225" w:type="dxa"/>
            <w:vAlign w:val="center"/>
          </w:tcPr>
          <w:p w14:paraId="7F058F6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8.168</w:t>
            </w:r>
          </w:p>
        </w:tc>
        <w:tc>
          <w:tcPr>
            <w:tcW w:w="1080" w:type="dxa"/>
            <w:vAlign w:val="center"/>
          </w:tcPr>
          <w:p w14:paraId="62DB01C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5AD615CB">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0C59BE8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2C85E09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4.753</w:t>
            </w:r>
          </w:p>
        </w:tc>
        <w:tc>
          <w:tcPr>
            <w:tcW w:w="937" w:type="dxa"/>
            <w:tcBorders>
              <w:bottom w:val="single" w:color="000000" w:sz="8" w:space="0"/>
            </w:tcBorders>
            <w:vAlign w:val="center"/>
          </w:tcPr>
          <w:p w14:paraId="44213C1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0.720</w:t>
            </w:r>
          </w:p>
        </w:tc>
        <w:tc>
          <w:tcPr>
            <w:tcW w:w="1152" w:type="dxa"/>
            <w:tcBorders>
              <w:bottom w:val="single" w:color="000000" w:sz="8" w:space="0"/>
            </w:tcBorders>
            <w:vAlign w:val="center"/>
          </w:tcPr>
          <w:p w14:paraId="43C86645">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7650A4CF">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77119AD">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48A53DA9">
            <w:pPr>
              <w:keepNext/>
              <w:spacing w:before="0" w:after="0" w:line="240" w:lineRule="auto"/>
              <w:ind w:firstLine="0"/>
              <w:jc w:val="center"/>
              <w:rPr>
                <w:rFonts w:hint="eastAsia" w:ascii="宋体" w:hAnsi="宋体" w:eastAsia="宋体" w:cs="宋体"/>
              </w:rPr>
            </w:pPr>
          </w:p>
        </w:tc>
      </w:tr>
    </w:tbl>
    <w:p w14:paraId="11CF73F2">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注：差值为后测减前测；df＝162；配对差SD＝1.036；dz＝0.640；Holm校正后p＜0.001。</w:t>
      </w:r>
    </w:p>
    <w:p w14:paraId="31452DC5">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学自我效能均值由4.090升至4.753，平均增加0.663分，95%CI为0.502～0.823，t（162）＝8.168，Holm校正后p＜0.001，dz＝0.640。教学自我效能的提高表明，教师对设计高阶任务、开展教学点拨和识别学生高阶表现的信心有所增强，为课题所重视的教师循证调节提供了积极条件。高阶能力培育需要教师根据学生的表达与作品及时调整支持方式，该维度的变化与这一专业要求相契合。结合后测95.09%的教师认可自身课堂教学能力有所提升，可以看到教师对阶段实践的获得感较为积极，也为后续持续改进提供动力。</w:t>
      </w:r>
    </w:p>
    <w:p w14:paraId="16F25E3C">
      <w:pPr>
        <w:spacing w:before="0" w:after="0" w:line="360" w:lineRule="auto"/>
        <w:ind w:firstLine="480" w:firstLineChars="0"/>
        <w:jc w:val="both"/>
        <w:outlineLvl w:val="3"/>
        <w:rPr>
          <w:rFonts w:hint="eastAsia" w:ascii="宋体" w:hAnsi="宋体" w:eastAsia="宋体" w:cs="宋体"/>
        </w:rPr>
      </w:pPr>
      <w:bookmarkStart w:id="150" w:name="_Toc28201"/>
      <w:r>
        <w:rPr>
          <w:rFonts w:hint="eastAsia" w:ascii="宋体" w:hAnsi="宋体" w:eastAsia="宋体" w:cs="宋体"/>
          <w:b w:val="0"/>
          <w:sz w:val="24"/>
        </w:rPr>
        <w:t>4）现实开展阻碍</w:t>
      </w:r>
      <w:bookmarkEnd w:id="150"/>
    </w:p>
    <w:p w14:paraId="0AE4ABCC">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表4-14  现实开展阻碍前后测比较（n＝163）</w:t>
      </w:r>
    </w:p>
    <w:tbl>
      <w:tblPr>
        <w:tblStyle w:val="12"/>
        <w:tblW w:w="8640" w:type="dxa"/>
        <w:tblInd w:w="108" w:type="dxa"/>
        <w:tblLayout w:type="fixed"/>
        <w:tblCellMar>
          <w:top w:w="0" w:type="dxa"/>
          <w:left w:w="108" w:type="dxa"/>
          <w:bottom w:w="0" w:type="dxa"/>
          <w:right w:w="108" w:type="dxa"/>
        </w:tblCellMar>
      </w:tblPr>
      <w:tblGrid>
        <w:gridCol w:w="864"/>
        <w:gridCol w:w="935"/>
        <w:gridCol w:w="937"/>
        <w:gridCol w:w="1152"/>
        <w:gridCol w:w="2447"/>
        <w:gridCol w:w="1225"/>
        <w:gridCol w:w="1080"/>
      </w:tblGrid>
      <w:tr w14:paraId="2A74F208">
        <w:tblPrEx>
          <w:tblCellMar>
            <w:top w:w="0" w:type="dxa"/>
            <w:left w:w="108" w:type="dxa"/>
            <w:bottom w:w="0" w:type="dxa"/>
            <w:right w:w="108" w:type="dxa"/>
          </w:tblCellMar>
        </w:tblPrEx>
        <w:trPr>
          <w:cantSplit/>
          <w:tblHeader/>
        </w:trPr>
        <w:tc>
          <w:tcPr>
            <w:tcW w:w="864" w:type="dxa"/>
            <w:tcBorders>
              <w:top w:val="single" w:color="000000" w:sz="8" w:space="0"/>
              <w:bottom w:val="single" w:color="000000" w:sz="8" w:space="0"/>
            </w:tcBorders>
            <w:vAlign w:val="center"/>
          </w:tcPr>
          <w:p w14:paraId="2A6D446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测量</w:t>
            </w:r>
          </w:p>
        </w:tc>
        <w:tc>
          <w:tcPr>
            <w:tcW w:w="935" w:type="dxa"/>
            <w:tcBorders>
              <w:top w:val="single" w:color="000000" w:sz="8" w:space="0"/>
              <w:bottom w:val="single" w:color="000000" w:sz="8" w:space="0"/>
            </w:tcBorders>
            <w:vAlign w:val="center"/>
          </w:tcPr>
          <w:p w14:paraId="47C466E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937" w:type="dxa"/>
            <w:tcBorders>
              <w:top w:val="single" w:color="000000" w:sz="8" w:space="0"/>
              <w:bottom w:val="single" w:color="000000" w:sz="8" w:space="0"/>
            </w:tcBorders>
            <w:vAlign w:val="center"/>
          </w:tcPr>
          <w:p w14:paraId="45FA5EF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1A1AEB9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均值差</w:t>
            </w:r>
          </w:p>
        </w:tc>
        <w:tc>
          <w:tcPr>
            <w:tcW w:w="2447" w:type="dxa"/>
            <w:tcBorders>
              <w:top w:val="single" w:color="000000" w:sz="8" w:space="0"/>
              <w:bottom w:val="single" w:color="000000" w:sz="8" w:space="0"/>
            </w:tcBorders>
            <w:vAlign w:val="center"/>
          </w:tcPr>
          <w:p w14:paraId="4661E5AC">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95%CI</w:t>
            </w:r>
          </w:p>
        </w:tc>
        <w:tc>
          <w:tcPr>
            <w:tcW w:w="1225" w:type="dxa"/>
            <w:tcBorders>
              <w:top w:val="single" w:color="000000" w:sz="8" w:space="0"/>
              <w:bottom w:val="single" w:color="000000" w:sz="8" w:space="0"/>
            </w:tcBorders>
            <w:vAlign w:val="center"/>
          </w:tcPr>
          <w:p w14:paraId="204CFAF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t</w:t>
            </w:r>
          </w:p>
        </w:tc>
        <w:tc>
          <w:tcPr>
            <w:tcW w:w="1080" w:type="dxa"/>
            <w:tcBorders>
              <w:top w:val="single" w:color="000000" w:sz="8" w:space="0"/>
              <w:bottom w:val="single" w:color="000000" w:sz="8" w:space="0"/>
            </w:tcBorders>
            <w:vAlign w:val="center"/>
          </w:tcPr>
          <w:p w14:paraId="724C68F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p</w:t>
            </w:r>
          </w:p>
        </w:tc>
      </w:tr>
      <w:tr w14:paraId="44C934D3">
        <w:tblPrEx>
          <w:tblCellMar>
            <w:top w:w="0" w:type="dxa"/>
            <w:left w:w="108" w:type="dxa"/>
            <w:bottom w:w="0" w:type="dxa"/>
            <w:right w:w="108" w:type="dxa"/>
          </w:tblCellMar>
        </w:tblPrEx>
        <w:trPr>
          <w:cantSplit/>
        </w:trPr>
        <w:tc>
          <w:tcPr>
            <w:tcW w:w="864" w:type="dxa"/>
            <w:vAlign w:val="center"/>
          </w:tcPr>
          <w:p w14:paraId="751E369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前测</w:t>
            </w:r>
          </w:p>
        </w:tc>
        <w:tc>
          <w:tcPr>
            <w:tcW w:w="935" w:type="dxa"/>
            <w:vAlign w:val="center"/>
          </w:tcPr>
          <w:p w14:paraId="67DD9F2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3.639</w:t>
            </w:r>
          </w:p>
        </w:tc>
        <w:tc>
          <w:tcPr>
            <w:tcW w:w="937" w:type="dxa"/>
            <w:vAlign w:val="center"/>
          </w:tcPr>
          <w:p w14:paraId="037E40C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0.952</w:t>
            </w:r>
          </w:p>
        </w:tc>
        <w:tc>
          <w:tcPr>
            <w:tcW w:w="1152" w:type="dxa"/>
            <w:vAlign w:val="center"/>
          </w:tcPr>
          <w:p w14:paraId="7782E02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-2.093</w:t>
            </w:r>
          </w:p>
        </w:tc>
        <w:tc>
          <w:tcPr>
            <w:tcW w:w="2447" w:type="dxa"/>
            <w:vAlign w:val="center"/>
          </w:tcPr>
          <w:p w14:paraId="61C984A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-2.269～-1.917</w:t>
            </w:r>
          </w:p>
        </w:tc>
        <w:tc>
          <w:tcPr>
            <w:tcW w:w="1225" w:type="dxa"/>
            <w:vAlign w:val="center"/>
          </w:tcPr>
          <w:p w14:paraId="561B541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-23.448</w:t>
            </w:r>
          </w:p>
        </w:tc>
        <w:tc>
          <w:tcPr>
            <w:tcW w:w="1080" w:type="dxa"/>
            <w:vAlign w:val="center"/>
          </w:tcPr>
          <w:p w14:paraId="579F12D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＜0.001</w:t>
            </w:r>
          </w:p>
        </w:tc>
      </w:tr>
      <w:tr w14:paraId="6B7FFDD4">
        <w:tblPrEx>
          <w:tblCellMar>
            <w:top w:w="0" w:type="dxa"/>
            <w:left w:w="108" w:type="dxa"/>
            <w:bottom w:w="0" w:type="dxa"/>
            <w:right w:w="108" w:type="dxa"/>
          </w:tblCellMar>
        </w:tblPrEx>
        <w:trPr>
          <w:cantSplit/>
        </w:trPr>
        <w:tc>
          <w:tcPr>
            <w:tcW w:w="864" w:type="dxa"/>
            <w:tcBorders>
              <w:bottom w:val="single" w:color="000000" w:sz="8" w:space="0"/>
            </w:tcBorders>
            <w:vAlign w:val="center"/>
          </w:tcPr>
          <w:p w14:paraId="0B11E1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后测</w:t>
            </w:r>
          </w:p>
        </w:tc>
        <w:tc>
          <w:tcPr>
            <w:tcW w:w="935" w:type="dxa"/>
            <w:tcBorders>
              <w:bottom w:val="single" w:color="000000" w:sz="8" w:space="0"/>
            </w:tcBorders>
            <w:vAlign w:val="center"/>
          </w:tcPr>
          <w:p w14:paraId="583F580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1.546</w:t>
            </w:r>
          </w:p>
        </w:tc>
        <w:tc>
          <w:tcPr>
            <w:tcW w:w="937" w:type="dxa"/>
            <w:tcBorders>
              <w:bottom w:val="single" w:color="000000" w:sz="8" w:space="0"/>
            </w:tcBorders>
            <w:vAlign w:val="center"/>
          </w:tcPr>
          <w:p w14:paraId="2890C830">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0.623</w:t>
            </w:r>
          </w:p>
        </w:tc>
        <w:tc>
          <w:tcPr>
            <w:tcW w:w="1152" w:type="dxa"/>
            <w:tcBorders>
              <w:bottom w:val="single" w:color="000000" w:sz="8" w:space="0"/>
            </w:tcBorders>
            <w:vAlign w:val="center"/>
          </w:tcPr>
          <w:p w14:paraId="461B6641">
            <w:pPr>
              <w:keepNext/>
              <w:spacing w:before="0" w:after="0" w:line="240" w:lineRule="auto"/>
              <w:ind w:firstLine="0"/>
              <w:jc w:val="center"/>
              <w:rPr>
                <w:rFonts w:hint="eastAsia" w:ascii="宋体" w:hAnsi="宋体" w:eastAsia="宋体" w:cs="宋体"/>
              </w:rPr>
            </w:pPr>
          </w:p>
        </w:tc>
        <w:tc>
          <w:tcPr>
            <w:tcW w:w="2447" w:type="dxa"/>
            <w:tcBorders>
              <w:bottom w:val="single" w:color="000000" w:sz="8" w:space="0"/>
            </w:tcBorders>
            <w:vAlign w:val="center"/>
          </w:tcPr>
          <w:p w14:paraId="2C4AD283">
            <w:pPr>
              <w:keepNext/>
              <w:spacing w:before="0" w:after="0" w:line="240" w:lineRule="auto"/>
              <w:ind w:firstLine="0"/>
              <w:jc w:val="center"/>
              <w:rPr>
                <w:rFonts w:hint="eastAsia" w:ascii="宋体" w:hAnsi="宋体" w:eastAsia="宋体" w:cs="宋体"/>
              </w:rPr>
            </w:pPr>
          </w:p>
        </w:tc>
        <w:tc>
          <w:tcPr>
            <w:tcW w:w="1225" w:type="dxa"/>
            <w:tcBorders>
              <w:bottom w:val="single" w:color="000000" w:sz="8" w:space="0"/>
            </w:tcBorders>
            <w:vAlign w:val="center"/>
          </w:tcPr>
          <w:p w14:paraId="196D8F9F">
            <w:pPr>
              <w:keepNext/>
              <w:spacing w:before="0" w:after="0" w:line="240" w:lineRule="auto"/>
              <w:ind w:firstLine="0"/>
              <w:jc w:val="center"/>
              <w:rPr>
                <w:rFonts w:hint="eastAsia" w:ascii="宋体" w:hAnsi="宋体" w:eastAsia="宋体" w:cs="宋体"/>
              </w:rPr>
            </w:pPr>
          </w:p>
        </w:tc>
        <w:tc>
          <w:tcPr>
            <w:tcW w:w="1080" w:type="dxa"/>
            <w:tcBorders>
              <w:bottom w:val="single" w:color="000000" w:sz="8" w:space="0"/>
            </w:tcBorders>
            <w:vAlign w:val="center"/>
          </w:tcPr>
          <w:p w14:paraId="3CE58CAC">
            <w:pPr>
              <w:keepNext/>
              <w:spacing w:before="0" w:after="0" w:line="240" w:lineRule="auto"/>
              <w:ind w:firstLine="0"/>
              <w:jc w:val="center"/>
              <w:rPr>
                <w:rFonts w:hint="eastAsia" w:ascii="宋体" w:hAnsi="宋体" w:eastAsia="宋体" w:cs="宋体"/>
              </w:rPr>
            </w:pPr>
          </w:p>
        </w:tc>
      </w:tr>
    </w:tbl>
    <w:p w14:paraId="4A3C8123">
      <w:pPr>
        <w:spacing w:line="240" w:lineRule="auto"/>
        <w:ind w:firstLine="0"/>
        <w:jc w:val="left"/>
        <w:rPr>
          <w:rFonts w:hint="eastAsia" w:ascii="宋体" w:hAnsi="宋体" w:eastAsia="宋体" w:cs="宋体"/>
        </w:rPr>
      </w:pPr>
      <w:r>
        <w:rPr>
          <w:rFonts w:hint="eastAsia" w:ascii="宋体" w:hAnsi="宋体" w:eastAsia="宋体" w:cs="宋体"/>
          <w:b w:val="0"/>
          <w:sz w:val="21"/>
        </w:rPr>
        <w:t>注：差值为后测减前测；df＝162；配对差SD＝1.140；dz＝-1.837；Holm校正后p＜0.001。</w:t>
      </w:r>
    </w:p>
    <w:p w14:paraId="412DC06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现实开展阻碍均值由3.639降至1.546，平均下降2.093分，95%CI为－2.269～－1.917，t（162）＝－23.448，Holm校正后p＜0.001，dz＝－1.837。负向差值表示教师对现实阻碍表述的认同下降。对课题实施而言，这一结果支持教师主观实施困难有所减轻的判断，为相关教学做法持续推进提供了积极线索。它与课堂实践及自我效能的提高形成呼应，表明教师在更加积极地开展教学尝试的同时，对实施可行性的感受也有所改善。开放性回答仍保留课时、分层与评价方面的困难，因此更适宜将成效概括为实施阻碍感受减轻、实践条件的主观评价改善，而非客观问题已经消除。后测阻碍题引导语与前测存在差异，仍需结合这一可比性限制解释下降幅度。</w:t>
      </w:r>
    </w:p>
    <w:p w14:paraId="63061BA7">
      <w:pPr>
        <w:pStyle w:val="4"/>
        <w:keepNext/>
        <w:spacing w:before="280" w:after="280"/>
        <w:ind w:firstLine="0"/>
        <w:rPr>
          <w:rFonts w:hint="eastAsia" w:ascii="宋体" w:hAnsi="宋体" w:eastAsia="宋体" w:cs="宋体"/>
        </w:rPr>
      </w:pPr>
      <w:bookmarkStart w:id="151" w:name="_Toc15374"/>
      <w:r>
        <w:rPr>
          <w:rFonts w:hint="eastAsia" w:ascii="宋体" w:hAnsi="宋体" w:eastAsia="宋体" w:cs="宋体"/>
          <w:b/>
          <w:sz w:val="28"/>
        </w:rPr>
        <w:t>3 后测新增题目的补充分析</w:t>
      </w:r>
      <w:bookmarkEnd w:id="151"/>
    </w:p>
    <w:p w14:paraId="02EDA2E3">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表4-15  后测新增评分题描述性结果（n＝163）</w:t>
      </w:r>
    </w:p>
    <w:tbl>
      <w:tblPr>
        <w:tblStyle w:val="12"/>
        <w:tblW w:w="9216" w:type="dxa"/>
        <w:tblInd w:w="108" w:type="dxa"/>
        <w:tblLayout w:type="fixed"/>
        <w:tblCellMar>
          <w:top w:w="0" w:type="dxa"/>
          <w:left w:w="108" w:type="dxa"/>
          <w:bottom w:w="0" w:type="dxa"/>
          <w:right w:w="108" w:type="dxa"/>
        </w:tblCellMar>
      </w:tblPr>
      <w:tblGrid>
        <w:gridCol w:w="4608"/>
        <w:gridCol w:w="1008"/>
        <w:gridCol w:w="1008"/>
        <w:gridCol w:w="1152"/>
        <w:gridCol w:w="1440"/>
      </w:tblGrid>
      <w:tr w14:paraId="2E5AAC15">
        <w:tblPrEx>
          <w:tblCellMar>
            <w:top w:w="0" w:type="dxa"/>
            <w:left w:w="108" w:type="dxa"/>
            <w:bottom w:w="0" w:type="dxa"/>
            <w:right w:w="108" w:type="dxa"/>
          </w:tblCellMar>
        </w:tblPrEx>
        <w:trPr>
          <w:cantSplit/>
          <w:tblHeader/>
        </w:trPr>
        <w:tc>
          <w:tcPr>
            <w:tcW w:w="4608" w:type="dxa"/>
            <w:tcBorders>
              <w:top w:val="single" w:color="000000" w:sz="8" w:space="0"/>
              <w:bottom w:val="single" w:color="000000" w:sz="8" w:space="0"/>
            </w:tcBorders>
            <w:vAlign w:val="center"/>
          </w:tcPr>
          <w:p w14:paraId="03CD9AD0">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题项</w:t>
            </w:r>
          </w:p>
        </w:tc>
        <w:tc>
          <w:tcPr>
            <w:tcW w:w="1008" w:type="dxa"/>
            <w:tcBorders>
              <w:top w:val="single" w:color="000000" w:sz="8" w:space="0"/>
              <w:bottom w:val="single" w:color="000000" w:sz="8" w:space="0"/>
            </w:tcBorders>
            <w:vAlign w:val="center"/>
          </w:tcPr>
          <w:p w14:paraId="7FFF62B2">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M</w:t>
            </w:r>
          </w:p>
        </w:tc>
        <w:tc>
          <w:tcPr>
            <w:tcW w:w="1008" w:type="dxa"/>
            <w:tcBorders>
              <w:top w:val="single" w:color="000000" w:sz="8" w:space="0"/>
              <w:bottom w:val="single" w:color="000000" w:sz="8" w:space="0"/>
            </w:tcBorders>
            <w:vAlign w:val="center"/>
          </w:tcPr>
          <w:p w14:paraId="1191DFDA">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SD</w:t>
            </w:r>
          </w:p>
        </w:tc>
        <w:tc>
          <w:tcPr>
            <w:tcW w:w="1152" w:type="dxa"/>
            <w:tcBorders>
              <w:top w:val="single" w:color="000000" w:sz="8" w:space="0"/>
              <w:bottom w:val="single" w:color="000000" w:sz="8" w:space="0"/>
            </w:tcBorders>
            <w:vAlign w:val="center"/>
          </w:tcPr>
          <w:p w14:paraId="394EAF23">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积极人数</w:t>
            </w:r>
          </w:p>
        </w:tc>
        <w:tc>
          <w:tcPr>
            <w:tcW w:w="1440" w:type="dxa"/>
            <w:tcBorders>
              <w:top w:val="single" w:color="000000" w:sz="8" w:space="0"/>
              <w:bottom w:val="single" w:color="000000" w:sz="8" w:space="0"/>
            </w:tcBorders>
            <w:vAlign w:val="center"/>
          </w:tcPr>
          <w:p w14:paraId="753CE5C5">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比例（%）</w:t>
            </w:r>
          </w:p>
        </w:tc>
      </w:tr>
      <w:tr w14:paraId="376642F4">
        <w:tblPrEx>
          <w:tblCellMar>
            <w:top w:w="0" w:type="dxa"/>
            <w:left w:w="108" w:type="dxa"/>
            <w:bottom w:w="0" w:type="dxa"/>
            <w:right w:w="108" w:type="dxa"/>
          </w:tblCellMar>
        </w:tblPrEx>
        <w:trPr>
          <w:cantSplit/>
        </w:trPr>
        <w:tc>
          <w:tcPr>
            <w:tcW w:w="4608" w:type="dxa"/>
            <w:vAlign w:val="center"/>
          </w:tcPr>
          <w:p w14:paraId="5C16140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我对什么是高阶能力的理解更加清晰了</w:t>
            </w:r>
          </w:p>
        </w:tc>
        <w:tc>
          <w:tcPr>
            <w:tcW w:w="1008" w:type="dxa"/>
            <w:vAlign w:val="center"/>
          </w:tcPr>
          <w:p w14:paraId="21A01521">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4.718</w:t>
            </w:r>
          </w:p>
        </w:tc>
        <w:tc>
          <w:tcPr>
            <w:tcW w:w="1008" w:type="dxa"/>
            <w:vAlign w:val="center"/>
          </w:tcPr>
          <w:p w14:paraId="6B10E0D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0.906</w:t>
            </w:r>
          </w:p>
        </w:tc>
        <w:tc>
          <w:tcPr>
            <w:tcW w:w="1152" w:type="dxa"/>
            <w:vAlign w:val="center"/>
          </w:tcPr>
          <w:p w14:paraId="2B20C53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147</w:t>
            </w:r>
          </w:p>
        </w:tc>
        <w:tc>
          <w:tcPr>
            <w:tcW w:w="1440" w:type="dxa"/>
            <w:vAlign w:val="center"/>
          </w:tcPr>
          <w:p w14:paraId="2520635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90.18</w:t>
            </w:r>
          </w:p>
        </w:tc>
      </w:tr>
      <w:tr w14:paraId="7C056E2F">
        <w:tblPrEx>
          <w:tblCellMar>
            <w:top w:w="0" w:type="dxa"/>
            <w:left w:w="108" w:type="dxa"/>
            <w:bottom w:w="0" w:type="dxa"/>
            <w:right w:w="108" w:type="dxa"/>
          </w:tblCellMar>
        </w:tblPrEx>
        <w:trPr>
          <w:cantSplit/>
        </w:trPr>
        <w:tc>
          <w:tcPr>
            <w:tcW w:w="4608" w:type="dxa"/>
            <w:vAlign w:val="center"/>
          </w:tcPr>
          <w:p w14:paraId="0F5B951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我认为高阶能力培育与学科教学质量提升并不矛盾，可以协同推进</w:t>
            </w:r>
          </w:p>
        </w:tc>
        <w:tc>
          <w:tcPr>
            <w:tcW w:w="1008" w:type="dxa"/>
            <w:vAlign w:val="center"/>
          </w:tcPr>
          <w:p w14:paraId="69368112">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4.748</w:t>
            </w:r>
          </w:p>
        </w:tc>
        <w:tc>
          <w:tcPr>
            <w:tcW w:w="1008" w:type="dxa"/>
            <w:vAlign w:val="center"/>
          </w:tcPr>
          <w:p w14:paraId="3D918A1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0.891</w:t>
            </w:r>
          </w:p>
        </w:tc>
        <w:tc>
          <w:tcPr>
            <w:tcW w:w="1152" w:type="dxa"/>
            <w:vAlign w:val="center"/>
          </w:tcPr>
          <w:p w14:paraId="38294DD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150</w:t>
            </w:r>
          </w:p>
        </w:tc>
        <w:tc>
          <w:tcPr>
            <w:tcW w:w="1440" w:type="dxa"/>
            <w:vAlign w:val="center"/>
          </w:tcPr>
          <w:p w14:paraId="7167A05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92.02</w:t>
            </w:r>
          </w:p>
        </w:tc>
      </w:tr>
      <w:tr w14:paraId="4400FF88">
        <w:tblPrEx>
          <w:tblCellMar>
            <w:top w:w="0" w:type="dxa"/>
            <w:left w:w="108" w:type="dxa"/>
            <w:bottom w:w="0" w:type="dxa"/>
            <w:right w:w="108" w:type="dxa"/>
          </w:tblCellMar>
        </w:tblPrEx>
        <w:trPr>
          <w:cantSplit/>
        </w:trPr>
        <w:tc>
          <w:tcPr>
            <w:tcW w:w="4608" w:type="dxa"/>
            <w:vAlign w:val="center"/>
          </w:tcPr>
          <w:p w14:paraId="753F306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本阶段教学中，我已把培训中学到的某些方法实际用到课堂上</w:t>
            </w:r>
          </w:p>
        </w:tc>
        <w:tc>
          <w:tcPr>
            <w:tcW w:w="1008" w:type="dxa"/>
            <w:vAlign w:val="center"/>
          </w:tcPr>
          <w:p w14:paraId="3EE56D8E">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4.963</w:t>
            </w:r>
          </w:p>
        </w:tc>
        <w:tc>
          <w:tcPr>
            <w:tcW w:w="1008" w:type="dxa"/>
            <w:vAlign w:val="center"/>
          </w:tcPr>
          <w:p w14:paraId="689E0E8E">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0.349</w:t>
            </w:r>
          </w:p>
        </w:tc>
        <w:tc>
          <w:tcPr>
            <w:tcW w:w="1152" w:type="dxa"/>
            <w:vAlign w:val="center"/>
          </w:tcPr>
          <w:p w14:paraId="604E46E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161</w:t>
            </w:r>
          </w:p>
        </w:tc>
        <w:tc>
          <w:tcPr>
            <w:tcW w:w="1440" w:type="dxa"/>
            <w:vAlign w:val="center"/>
          </w:tcPr>
          <w:p w14:paraId="4BF4A09A">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98.77</w:t>
            </w:r>
          </w:p>
        </w:tc>
      </w:tr>
      <w:tr w14:paraId="7D7DB54D">
        <w:tblPrEx>
          <w:tblCellMar>
            <w:top w:w="0" w:type="dxa"/>
            <w:left w:w="108" w:type="dxa"/>
            <w:bottom w:w="0" w:type="dxa"/>
            <w:right w:w="108" w:type="dxa"/>
          </w:tblCellMar>
        </w:tblPrEx>
        <w:trPr>
          <w:cantSplit/>
        </w:trPr>
        <w:tc>
          <w:tcPr>
            <w:tcW w:w="4608" w:type="dxa"/>
            <w:vAlign w:val="center"/>
          </w:tcPr>
          <w:p w14:paraId="6F935F0C">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相比前期，我在课堂上开展高阶活动的频率有所提高</w:t>
            </w:r>
          </w:p>
        </w:tc>
        <w:tc>
          <w:tcPr>
            <w:tcW w:w="1008" w:type="dxa"/>
            <w:vAlign w:val="center"/>
          </w:tcPr>
          <w:p w14:paraId="6627DFBA">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4.822</w:t>
            </w:r>
          </w:p>
        </w:tc>
        <w:tc>
          <w:tcPr>
            <w:tcW w:w="1008" w:type="dxa"/>
            <w:vAlign w:val="center"/>
          </w:tcPr>
          <w:p w14:paraId="6C873D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0.769</w:t>
            </w:r>
          </w:p>
        </w:tc>
        <w:tc>
          <w:tcPr>
            <w:tcW w:w="1152" w:type="dxa"/>
            <w:vAlign w:val="center"/>
          </w:tcPr>
          <w:p w14:paraId="7F91078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154</w:t>
            </w:r>
          </w:p>
        </w:tc>
        <w:tc>
          <w:tcPr>
            <w:tcW w:w="1440" w:type="dxa"/>
            <w:vAlign w:val="center"/>
          </w:tcPr>
          <w:p w14:paraId="24E9624F">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94.48</w:t>
            </w:r>
          </w:p>
        </w:tc>
      </w:tr>
      <w:tr w14:paraId="4568C3C7">
        <w:tblPrEx>
          <w:tblCellMar>
            <w:top w:w="0" w:type="dxa"/>
            <w:left w:w="108" w:type="dxa"/>
            <w:bottom w:w="0" w:type="dxa"/>
            <w:right w:w="108" w:type="dxa"/>
          </w:tblCellMar>
        </w:tblPrEx>
        <w:trPr>
          <w:cantSplit/>
        </w:trPr>
        <w:tc>
          <w:tcPr>
            <w:tcW w:w="4608" w:type="dxa"/>
            <w:tcBorders>
              <w:bottom w:val="single" w:color="000000" w:sz="8" w:space="0"/>
            </w:tcBorders>
            <w:vAlign w:val="center"/>
          </w:tcPr>
          <w:p w14:paraId="39E3E10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总体而言，本阶段我的高阶能力课堂教学能力相比之前有所提升</w:t>
            </w:r>
          </w:p>
        </w:tc>
        <w:tc>
          <w:tcPr>
            <w:tcW w:w="1008" w:type="dxa"/>
            <w:tcBorders>
              <w:bottom w:val="single" w:color="000000" w:sz="8" w:space="0"/>
            </w:tcBorders>
            <w:vAlign w:val="center"/>
          </w:tcPr>
          <w:p w14:paraId="39B9E4A9">
            <w:pPr>
              <w:keepNext/>
              <w:spacing w:before="0" w:after="0" w:line="240" w:lineRule="auto"/>
              <w:ind w:firstLine="0"/>
              <w:jc w:val="left"/>
              <w:rPr>
                <w:rFonts w:hint="eastAsia" w:ascii="宋体" w:hAnsi="宋体" w:eastAsia="宋体" w:cs="宋体"/>
              </w:rPr>
            </w:pPr>
            <w:r>
              <w:rPr>
                <w:rFonts w:hint="eastAsia" w:ascii="宋体" w:hAnsi="宋体" w:eastAsia="宋体" w:cs="宋体"/>
                <w:b w:val="0"/>
                <w:color w:val="000000"/>
                <w:sz w:val="21"/>
              </w:rPr>
              <w:t>4.693</w:t>
            </w:r>
          </w:p>
        </w:tc>
        <w:tc>
          <w:tcPr>
            <w:tcW w:w="1008" w:type="dxa"/>
            <w:tcBorders>
              <w:bottom w:val="single" w:color="000000" w:sz="8" w:space="0"/>
            </w:tcBorders>
            <w:vAlign w:val="center"/>
          </w:tcPr>
          <w:p w14:paraId="3411A87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0.697</w:t>
            </w:r>
          </w:p>
        </w:tc>
        <w:tc>
          <w:tcPr>
            <w:tcW w:w="1152" w:type="dxa"/>
            <w:tcBorders>
              <w:bottom w:val="single" w:color="000000" w:sz="8" w:space="0"/>
            </w:tcBorders>
            <w:vAlign w:val="center"/>
          </w:tcPr>
          <w:p w14:paraId="1F6307D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155</w:t>
            </w:r>
          </w:p>
        </w:tc>
        <w:tc>
          <w:tcPr>
            <w:tcW w:w="1440" w:type="dxa"/>
            <w:tcBorders>
              <w:bottom w:val="single" w:color="000000" w:sz="8" w:space="0"/>
            </w:tcBorders>
            <w:vAlign w:val="center"/>
          </w:tcPr>
          <w:p w14:paraId="07AC9B8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95.09</w:t>
            </w:r>
          </w:p>
        </w:tc>
      </w:tr>
    </w:tbl>
    <w:p w14:paraId="4A08A00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积极选择指“符合”与“完全符合”。新增题目中，161位教师（98.77%）认可将培训方法实际用于课堂，154位（94.48%）认可高阶活动频率提高。两项结果与课堂实践维度的提高相呼应，使阶段成效不只停留在理念认同，而进一步涉及方法应用和活动安排。147位（90.18%）认可理解更加清晰，150位（92.02%）认可高阶能力培育与学科教学质量可以协同推进，为课题融入日常学科教学提供积极的认知条件。</w:t>
      </w:r>
    </w:p>
    <w:p w14:paraId="040C053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155位教师（95.09%）认可自身高阶能力课堂教学能力有所提升。此外，146位教师对培训或教研表示“满意”或“很满意”，占89.57%；121位认为“有较大帮助”或“帮助很大”，占74.23%。这些结果支持相关研修具有较高接受度和主观实用性，为学校持续组织课例研究与实践改进提供基础。新增题目没有相同前测基线，其均值和比例仅作为后测描述，不能另行解释为经过配对检验的提升幅度。</w:t>
      </w:r>
    </w:p>
    <w:p w14:paraId="7881F30D">
      <w:pPr>
        <w:pStyle w:val="4"/>
        <w:keepNext/>
        <w:spacing w:before="280" w:after="280"/>
        <w:ind w:firstLine="0"/>
        <w:rPr>
          <w:rFonts w:hint="eastAsia" w:ascii="宋体" w:hAnsi="宋体" w:eastAsia="宋体" w:cs="宋体"/>
        </w:rPr>
      </w:pPr>
      <w:bookmarkStart w:id="152" w:name="_Toc5715"/>
      <w:r>
        <w:rPr>
          <w:rFonts w:hint="eastAsia" w:ascii="宋体" w:hAnsi="宋体" w:eastAsia="宋体" w:cs="宋体"/>
          <w:b/>
          <w:sz w:val="28"/>
        </w:rPr>
        <w:t>4 开放性回答中的专业关注变化</w:t>
      </w:r>
      <w:bookmarkEnd w:id="152"/>
    </w:p>
    <w:p w14:paraId="35D250E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前测开放题关注想法、顾虑与建议，后测关注变化、困难与建议，研究以任务设计、学习评价、差异支持和专业资源等共同主题进行对照。前测较多围绕如何落实、课时与学情限制、评价标准和案例支持表达需求，后测则出现开放性问题、问题链、生成性问题、过程反馈等具体教学表述。由于题目不同，本节不以频次差异推断变化比例，而通过代表性回答观察专业讨论进入实践细节的线索。</w:t>
      </w:r>
    </w:p>
    <w:p w14:paraId="2BE6CD1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前测回答提出“除了理念灌输，更重要的是通过实训、具体指导提升教师相关教学设计能力”，表明教师需要把概念转化为操作。后测“对于开放性问题及课堂问题链设计更熟悉”“课堂会更注重学生的生成性问题，过程性问题的设计和反馈。”等表述，回应了这一需求。其论证意义在于，教师能够描述具体设计对象与反馈环节，与课堂实践、自我效能的量化变化共同支持专业学习向课堂应用转化的判断。</w:t>
      </w:r>
    </w:p>
    <w:p w14:paraId="3015ACA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后测仍有“变化不大，有想法，难推进”等回答，也保留了课时紧张、分层困难和评价工具不足等问题。积极变化与持续困难并存，说明课题支持需要针对不同教师和任务继续细化。后续研修可从同一任务的学生初始表现出发，比较不同支架、追问与反馈产生的差异，使教师获得可以直接用于判断和调整的证据，而不是只增加教学方法介绍。</w:t>
      </w:r>
    </w:p>
    <w:p w14:paraId="0F87B200">
      <w:pPr>
        <w:pStyle w:val="4"/>
        <w:keepNext/>
        <w:spacing w:before="280" w:after="280"/>
        <w:ind w:firstLine="0"/>
        <w:rPr>
          <w:rFonts w:hint="eastAsia" w:ascii="宋体" w:hAnsi="宋体" w:eastAsia="宋体" w:cs="宋体"/>
        </w:rPr>
      </w:pPr>
      <w:bookmarkStart w:id="153" w:name="_Toc27035"/>
      <w:r>
        <w:rPr>
          <w:rFonts w:hint="eastAsia" w:ascii="宋体" w:hAnsi="宋体" w:eastAsia="宋体" w:cs="宋体"/>
          <w:b/>
          <w:sz w:val="28"/>
        </w:rPr>
        <w:t>5 研究课专业评价与AI课堂过程证据</w:t>
      </w:r>
      <w:bookmarkEnd w:id="153"/>
    </w:p>
    <w:p w14:paraId="1C1AE959">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已汇总的10节研究课共获得46份有效评课表，总分均值90.83分，标准差4.85分；90分及以上35份，占76.09%，80分及以上累计45份，占97.83%。本节沿用这一明确分母，不将评课份数视为独立课堂数量。评价对象是经过选择和设计的研究课，因而结果反映这些课堂的支持质量，不能直接代表全校所有日常课堂，也不能在缺少前测评课时解释为评分提升。</w:t>
      </w:r>
    </w:p>
    <w:p w14:paraId="1A173289">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表4-16  研究课五维专业评价结果</w:t>
      </w:r>
    </w:p>
    <w:tbl>
      <w:tblPr>
        <w:tblStyle w:val="12"/>
        <w:tblW w:w="9216" w:type="dxa"/>
        <w:tblInd w:w="108" w:type="dxa"/>
        <w:tblLayout w:type="fixed"/>
        <w:tblCellMar>
          <w:top w:w="0" w:type="dxa"/>
          <w:left w:w="108" w:type="dxa"/>
          <w:bottom w:w="0" w:type="dxa"/>
          <w:right w:w="108" w:type="dxa"/>
        </w:tblCellMar>
      </w:tblPr>
      <w:tblGrid>
        <w:gridCol w:w="3887"/>
        <w:gridCol w:w="5329"/>
      </w:tblGrid>
      <w:tr w14:paraId="0C6DD619">
        <w:tblPrEx>
          <w:tblCellMar>
            <w:top w:w="0" w:type="dxa"/>
            <w:left w:w="108" w:type="dxa"/>
            <w:bottom w:w="0" w:type="dxa"/>
            <w:right w:w="108" w:type="dxa"/>
          </w:tblCellMar>
        </w:tblPrEx>
        <w:trPr>
          <w:cantSplit/>
          <w:tblHeader/>
        </w:trPr>
        <w:tc>
          <w:tcPr>
            <w:tcW w:w="3887" w:type="dxa"/>
            <w:tcBorders>
              <w:top w:val="single" w:color="000000" w:sz="8" w:space="0"/>
              <w:bottom w:val="single" w:color="000000" w:sz="8" w:space="0"/>
            </w:tcBorders>
            <w:vAlign w:val="center"/>
          </w:tcPr>
          <w:p w14:paraId="30CC620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维度</w:t>
            </w:r>
          </w:p>
        </w:tc>
        <w:tc>
          <w:tcPr>
            <w:tcW w:w="5329" w:type="dxa"/>
            <w:tcBorders>
              <w:top w:val="single" w:color="000000" w:sz="8" w:space="0"/>
              <w:bottom w:val="single" w:color="000000" w:sz="8" w:space="0"/>
            </w:tcBorders>
            <w:vAlign w:val="center"/>
          </w:tcPr>
          <w:p w14:paraId="6C3127ED">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达成度（%）</w:t>
            </w:r>
          </w:p>
        </w:tc>
      </w:tr>
      <w:tr w14:paraId="4F8A24FE">
        <w:tblPrEx>
          <w:tblCellMar>
            <w:top w:w="0" w:type="dxa"/>
            <w:left w:w="108" w:type="dxa"/>
            <w:bottom w:w="0" w:type="dxa"/>
            <w:right w:w="108" w:type="dxa"/>
          </w:tblCellMar>
        </w:tblPrEx>
        <w:trPr>
          <w:cantSplit/>
        </w:trPr>
        <w:tc>
          <w:tcPr>
            <w:tcW w:w="3887" w:type="dxa"/>
            <w:vAlign w:val="center"/>
          </w:tcPr>
          <w:p w14:paraId="3F62447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社会情感支持</w:t>
            </w:r>
          </w:p>
        </w:tc>
        <w:tc>
          <w:tcPr>
            <w:tcW w:w="5329" w:type="dxa"/>
            <w:vAlign w:val="center"/>
          </w:tcPr>
          <w:p w14:paraId="5E55880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94.80</w:t>
            </w:r>
          </w:p>
        </w:tc>
      </w:tr>
      <w:tr w14:paraId="033B1FFB">
        <w:tblPrEx>
          <w:tblCellMar>
            <w:top w:w="0" w:type="dxa"/>
            <w:left w:w="108" w:type="dxa"/>
            <w:bottom w:w="0" w:type="dxa"/>
            <w:right w:w="108" w:type="dxa"/>
          </w:tblCellMar>
        </w:tblPrEx>
        <w:trPr>
          <w:cantSplit/>
        </w:trPr>
        <w:tc>
          <w:tcPr>
            <w:tcW w:w="3887" w:type="dxa"/>
            <w:vAlign w:val="center"/>
          </w:tcPr>
          <w:p w14:paraId="63A311E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学科内容建构</w:t>
            </w:r>
          </w:p>
        </w:tc>
        <w:tc>
          <w:tcPr>
            <w:tcW w:w="5329" w:type="dxa"/>
            <w:vAlign w:val="center"/>
          </w:tcPr>
          <w:p w14:paraId="4DE5E84D">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92.70</w:t>
            </w:r>
          </w:p>
        </w:tc>
      </w:tr>
      <w:tr w14:paraId="6532856D">
        <w:tblPrEx>
          <w:tblCellMar>
            <w:top w:w="0" w:type="dxa"/>
            <w:left w:w="108" w:type="dxa"/>
            <w:bottom w:w="0" w:type="dxa"/>
            <w:right w:w="108" w:type="dxa"/>
          </w:tblCellMar>
        </w:tblPrEx>
        <w:trPr>
          <w:cantSplit/>
        </w:trPr>
        <w:tc>
          <w:tcPr>
            <w:tcW w:w="3887" w:type="dxa"/>
            <w:vAlign w:val="center"/>
          </w:tcPr>
          <w:p w14:paraId="711EB522">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认知参与</w:t>
            </w:r>
          </w:p>
        </w:tc>
        <w:tc>
          <w:tcPr>
            <w:tcW w:w="5329" w:type="dxa"/>
            <w:vAlign w:val="center"/>
          </w:tcPr>
          <w:p w14:paraId="0E713E9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89.70</w:t>
            </w:r>
          </w:p>
        </w:tc>
      </w:tr>
      <w:tr w14:paraId="7027AF9B">
        <w:tblPrEx>
          <w:tblCellMar>
            <w:top w:w="0" w:type="dxa"/>
            <w:left w:w="108" w:type="dxa"/>
            <w:bottom w:w="0" w:type="dxa"/>
            <w:right w:w="108" w:type="dxa"/>
          </w:tblCellMar>
        </w:tblPrEx>
        <w:trPr>
          <w:cantSplit/>
        </w:trPr>
        <w:tc>
          <w:tcPr>
            <w:tcW w:w="3887" w:type="dxa"/>
            <w:vAlign w:val="center"/>
          </w:tcPr>
          <w:p w14:paraId="4D1FADA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课堂互动</w:t>
            </w:r>
          </w:p>
        </w:tc>
        <w:tc>
          <w:tcPr>
            <w:tcW w:w="5329" w:type="dxa"/>
            <w:vAlign w:val="center"/>
          </w:tcPr>
          <w:p w14:paraId="4A03CB73">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88.70</w:t>
            </w:r>
          </w:p>
        </w:tc>
      </w:tr>
      <w:tr w14:paraId="4070021B">
        <w:tblPrEx>
          <w:tblCellMar>
            <w:top w:w="0" w:type="dxa"/>
            <w:left w:w="108" w:type="dxa"/>
            <w:bottom w:w="0" w:type="dxa"/>
            <w:right w:w="108" w:type="dxa"/>
          </w:tblCellMar>
        </w:tblPrEx>
        <w:trPr>
          <w:cantSplit/>
        </w:trPr>
        <w:tc>
          <w:tcPr>
            <w:tcW w:w="3887" w:type="dxa"/>
            <w:tcBorders>
              <w:bottom w:val="single" w:color="000000" w:sz="8" w:space="0"/>
            </w:tcBorders>
            <w:vAlign w:val="center"/>
          </w:tcPr>
          <w:p w14:paraId="08D8276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形成性评价</w:t>
            </w:r>
          </w:p>
        </w:tc>
        <w:tc>
          <w:tcPr>
            <w:tcW w:w="5329" w:type="dxa"/>
            <w:tcBorders>
              <w:bottom w:val="single" w:color="000000" w:sz="8" w:space="0"/>
            </w:tcBorders>
            <w:vAlign w:val="center"/>
          </w:tcPr>
          <w:p w14:paraId="7B4E3167">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88.40</w:t>
            </w:r>
          </w:p>
        </w:tc>
      </w:tr>
    </w:tbl>
    <w:p w14:paraId="6FD9852B">
      <w:pPr>
        <w:spacing w:line="240" w:lineRule="auto"/>
        <w:ind w:firstLine="0"/>
        <w:jc w:val="left"/>
        <w:rPr>
          <w:rFonts w:hint="eastAsia" w:ascii="宋体" w:hAnsi="宋体" w:eastAsia="宋体" w:cs="宋体"/>
        </w:rPr>
      </w:pPr>
      <w:r>
        <w:rPr>
          <w:rFonts w:hint="eastAsia" w:ascii="宋体" w:hAnsi="宋体" w:eastAsia="宋体" w:cs="宋体"/>
          <w:b w:val="0"/>
          <w:sz w:val="21"/>
        </w:rPr>
        <w:t>注：各维度满分20分，达成度为维度均值与满分之比；本表依据已汇总的评课资料呈现。</w:t>
      </w:r>
    </w:p>
    <w:p w14:paraId="699BDB3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五个维度达成度均超过88%，说明所观察研究课已经具备学科内容、认知参与、互动组织、情感支持与过程评价相结合的教学支持。社会情感支持与学科内容建构相对突出，为理解学生责任、合作与学习投入的积极自评提供了课堂环境层面的参照。课堂互动和形成性评价相对较低，则提示后续研修应进一步关注互动是否推进理由澄清、反馈是否引发实际修改，而不只关注参与是否热烈和评价是否及时。</w:t>
      </w:r>
    </w:p>
    <w:p w14:paraId="37FC433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在6节具有完整认知层级记录的课例中，评价与创造类问题合计约8.6%，提示高阶任务的机会结构仍可完善。教师可以围绕同一核心问题增加判断标准、竞争性解释、反例检验和条件变化等要求，使学生不仅提出答案，还能说明为什么采用这一方案、何种证据会改变判断。AI在这里的价值是帮助定位值得回看的片段，专业判断仍由教师结合学科内容和原始记录完成。</w:t>
      </w:r>
    </w:p>
    <w:p w14:paraId="6B4B6BEF">
      <w:pPr>
        <w:pStyle w:val="4"/>
        <w:keepNext/>
        <w:spacing w:before="280" w:after="280"/>
        <w:ind w:firstLine="0"/>
        <w:rPr>
          <w:rFonts w:hint="eastAsia" w:ascii="宋体" w:hAnsi="宋体" w:eastAsia="宋体" w:cs="宋体"/>
        </w:rPr>
      </w:pPr>
      <w:bookmarkStart w:id="154" w:name="_Toc32683"/>
      <w:r>
        <w:rPr>
          <w:rFonts w:hint="eastAsia" w:ascii="宋体" w:hAnsi="宋体" w:eastAsia="宋体" w:cs="宋体"/>
          <w:b/>
          <w:sz w:val="28"/>
        </w:rPr>
        <w:t>6 教师专业行动中的循证调节</w:t>
      </w:r>
      <w:bookmarkEnd w:id="154"/>
    </w:p>
    <w:p w14:paraId="272E5A1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教师专业实践的变化还体现在研讨问题更加具体：学生在哪一步出现困难，什么表现说明其理解改变，反馈后是否出现新的回答，原有支架是否适合当前学情。课堂评价、行为记录、学生作品和反思共同进入讨论，使诊断、设计、实施与评估之间具有可以追踪的联系。这与新版模型的教与学协同逻辑相呼应，支持模型从教学环节组织进一步走向依据学生表现持续调节的专业行动。</w:t>
      </w:r>
    </w:p>
    <w:p w14:paraId="63D12393">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这种协同的教育价值在于，使学生的再次学习具有条件。学生表达后，教师能够定位依据不足或方法不适，安排追问、同伴比较和修改机会；再次表现则让师生判断支持是否奏效。评价、创造等维度的积极自评与相关案例可以相互参照，但问卷未直接测量每一次调节的作用，因此本研究将其解释为过程材料支持的实践联系，尚不确定各环节对能力变化的独立贡献。</w:t>
      </w:r>
    </w:p>
    <w:p w14:paraId="65B239AE">
      <w:pPr>
        <w:pStyle w:val="3"/>
        <w:keepNext/>
        <w:ind w:firstLine="0"/>
        <w:rPr>
          <w:rFonts w:hint="eastAsia" w:ascii="宋体" w:hAnsi="宋体" w:eastAsia="宋体" w:cs="宋体"/>
        </w:rPr>
      </w:pPr>
      <w:bookmarkStart w:id="155" w:name="_Toc11058"/>
      <w:r>
        <w:rPr>
          <w:rFonts w:hint="eastAsia" w:ascii="宋体" w:hAnsi="宋体" w:eastAsia="宋体" w:cs="宋体"/>
          <w:b/>
          <w:sz w:val="28"/>
        </w:rPr>
        <w:t>（四）学科奠基与科创拓展的实践成效</w:t>
      </w:r>
      <w:bookmarkEnd w:id="155"/>
    </w:p>
    <w:p w14:paraId="08D80C60">
      <w:pPr>
        <w:pStyle w:val="4"/>
        <w:keepNext/>
        <w:spacing w:before="280" w:after="280"/>
        <w:ind w:firstLine="0"/>
        <w:rPr>
          <w:rFonts w:hint="eastAsia" w:ascii="宋体" w:hAnsi="宋体" w:eastAsia="宋体" w:cs="宋体"/>
        </w:rPr>
      </w:pPr>
      <w:bookmarkStart w:id="156" w:name="_Toc18219"/>
      <w:r>
        <w:rPr>
          <w:rFonts w:hint="eastAsia" w:ascii="宋体" w:hAnsi="宋体" w:eastAsia="宋体" w:cs="宋体"/>
          <w:b/>
          <w:sz w:val="28"/>
        </w:rPr>
        <w:t>1 学科四要素促进任务与评价相互衔接</w:t>
      </w:r>
      <w:bookmarkEnd w:id="156"/>
    </w:p>
    <w:p w14:paraId="33D5D23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科四要素的实践价值体现在知识、目标、实践与评价共同指向具体表现。状物写作依据初稿问题确定准确、生动、真实与取舍的要求，通过同一物件的观察、图文比较和修订联系目标与评价；《光的折射》以叉鱼光路图连接概念、解释和模型检查；《拿来主义》通过分类依据与段落关系组织文本论证。不同学科保留各自判断标准，同时使目标、任务和评价之间形成可核查的联系，构成课题可供复用的实施成果。</w:t>
      </w:r>
    </w:p>
    <w:p w14:paraId="1840AA42">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英语写作案例进一步说明评价如何作用于思考。教师从草稿中识别两条建议实质重复、缺少理由的问题，将反馈指向建议区分与论证完整性；同伴依据观点、支持理由与连贯性进行判断，学生再说明修改办法。现有材料支持反馈运用的个案解释，未提供全班稿次等级统计，因此不能另行报告全班提升比例。其成效在于形成围绕同一标准开展诊断、互评与修订的实践路径。</w:t>
      </w:r>
    </w:p>
    <w:p w14:paraId="586DF5A7">
      <w:pPr>
        <w:pStyle w:val="4"/>
        <w:keepNext/>
        <w:spacing w:before="280" w:after="280"/>
        <w:ind w:firstLine="0"/>
        <w:rPr>
          <w:rFonts w:hint="eastAsia" w:ascii="宋体" w:hAnsi="宋体" w:eastAsia="宋体" w:cs="宋体"/>
        </w:rPr>
      </w:pPr>
      <w:bookmarkStart w:id="157" w:name="_Toc8328"/>
      <w:r>
        <w:rPr>
          <w:rFonts w:hint="eastAsia" w:ascii="宋体" w:hAnsi="宋体" w:eastAsia="宋体" w:cs="宋体"/>
          <w:b/>
          <w:sz w:val="28"/>
        </w:rPr>
        <w:t>2 方案要素推动科创从活动参与走向设计与验证</w:t>
      </w:r>
      <w:bookmarkEnd w:id="157"/>
    </w:p>
    <w:p w14:paraId="1D80B32B">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水足迹”项目呈现了方案由倡议走向有依据行动的过程。学生整理家庭直接用水数据后提出双语节水建议，经模拟听证中的同伴与教师追问，补充冷水再利用的具体用途和淋浴时间等内容。修改清单能够对应反馈与修改决定，说明方案要素使知识、证据与行动路径成为讨论对象。数据记录、措施表达与听众质询共同服务于方案完善，但估计节水量尚未通过家庭试行验证，不能将预估数字作为实际节水成效。</w:t>
      </w:r>
    </w:p>
    <w:p w14:paraId="3A642FB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机械臂项目将学科中的空间关系与方法选择拓展至安全、效率和运行条件的权衡。初始草图只以水平直线连接抓取点和投放点，教师批注指出抬升与空间约束；故障单通过现象、猜想、验证和修改组织排查，使学生需要说明参数调整的依据。现有材料支持方案可视化与故障分析的实践价值，完整双路径实测仍需补充，不将不同小组的初始与迁移草图作为同组前后对照。</w:t>
      </w:r>
    </w:p>
    <w:p w14:paraId="442E8878">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TOF导盲辅助系统进一步提供系统方案、原型和阶段测试的联系。项目将环境深度信息转换为可辨识触觉信号，涉及测距、程序处理、电机编码与佩戴结构。2025年9月18—22日的多障碍物调试记录显示，多目标识别准确率由70%升至75%，响应延迟由0.55秒降至0.38秒，误报率由10%降至5%。这些数值支持该轮系统修改与部分测试表现改善相联系，使反馈迭代具有功能验证依据。</w:t>
      </w:r>
    </w:p>
    <w:p w14:paraId="61189D8D">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表4-17  TOF导盲系统阶段调试记录的描述性变化</w:t>
      </w:r>
    </w:p>
    <w:tbl>
      <w:tblPr>
        <w:tblStyle w:val="12"/>
        <w:tblW w:w="8453" w:type="dxa"/>
        <w:jc w:val="center"/>
        <w:tblLayout w:type="fixed"/>
        <w:tblCellMar>
          <w:top w:w="95" w:type="dxa"/>
          <w:left w:w="75" w:type="dxa"/>
          <w:bottom w:w="95" w:type="dxa"/>
          <w:right w:w="75" w:type="dxa"/>
        </w:tblCellMar>
      </w:tblPr>
      <w:tblGrid>
        <w:gridCol w:w="3020"/>
        <w:gridCol w:w="1379"/>
        <w:gridCol w:w="1381"/>
        <w:gridCol w:w="2673"/>
      </w:tblGrid>
      <w:tr w14:paraId="084F8F5B">
        <w:tblPrEx>
          <w:tblCellMar>
            <w:top w:w="95" w:type="dxa"/>
            <w:left w:w="75" w:type="dxa"/>
            <w:bottom w:w="95" w:type="dxa"/>
            <w:right w:w="75" w:type="dxa"/>
          </w:tblCellMar>
        </w:tblPrEx>
        <w:trPr>
          <w:cantSplit/>
          <w:tblHeader/>
          <w:jc w:val="center"/>
        </w:trPr>
        <w:tc>
          <w:tcPr>
            <w:tcW w:w="3020" w:type="dxa"/>
            <w:tcBorders>
              <w:top w:val="single" w:color="000000" w:sz="12" w:space="0"/>
            </w:tcBorders>
            <w:vAlign w:val="center"/>
          </w:tcPr>
          <w:p w14:paraId="4C00D264">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记录指标</w:t>
            </w:r>
          </w:p>
        </w:tc>
        <w:tc>
          <w:tcPr>
            <w:tcW w:w="1379" w:type="dxa"/>
            <w:tcBorders>
              <w:top w:val="single" w:color="000000" w:sz="12" w:space="0"/>
            </w:tcBorders>
            <w:vAlign w:val="center"/>
          </w:tcPr>
          <w:p w14:paraId="4E71E70A">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修改前</w:t>
            </w:r>
          </w:p>
        </w:tc>
        <w:tc>
          <w:tcPr>
            <w:tcW w:w="1381" w:type="dxa"/>
            <w:tcBorders>
              <w:top w:val="single" w:color="000000" w:sz="12" w:space="0"/>
            </w:tcBorders>
            <w:vAlign w:val="center"/>
          </w:tcPr>
          <w:p w14:paraId="156A8DF5">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修改后</w:t>
            </w:r>
          </w:p>
        </w:tc>
        <w:tc>
          <w:tcPr>
            <w:tcW w:w="2673" w:type="dxa"/>
            <w:tcBorders>
              <w:top w:val="single" w:color="000000" w:sz="12" w:space="0"/>
            </w:tcBorders>
            <w:vAlign w:val="center"/>
          </w:tcPr>
          <w:p w14:paraId="17AA2456">
            <w:pPr>
              <w:snapToGrid w:val="0"/>
              <w:spacing w:before="0" w:after="0" w:line="240" w:lineRule="auto"/>
              <w:ind w:left="0" w:right="0" w:firstLine="0"/>
              <w:jc w:val="center"/>
              <w:rPr>
                <w:rFonts w:hint="eastAsia" w:ascii="宋体" w:hAnsi="宋体" w:eastAsia="宋体" w:cs="宋体"/>
                <w:b/>
                <w:sz w:val="20"/>
              </w:rPr>
            </w:pPr>
            <w:r>
              <w:rPr>
                <w:rFonts w:hint="eastAsia" w:ascii="宋体" w:hAnsi="宋体" w:eastAsia="宋体" w:cs="宋体"/>
                <w:b/>
                <w:color w:val="000000"/>
                <w:sz w:val="21"/>
              </w:rPr>
              <w:t>描述性变化</w:t>
            </w:r>
          </w:p>
        </w:tc>
      </w:tr>
      <w:tr w14:paraId="3C2817F4">
        <w:tblPrEx>
          <w:tblCellMar>
            <w:top w:w="95" w:type="dxa"/>
            <w:left w:w="75" w:type="dxa"/>
            <w:bottom w:w="95" w:type="dxa"/>
            <w:right w:w="75" w:type="dxa"/>
          </w:tblCellMar>
        </w:tblPrEx>
        <w:trPr>
          <w:cantSplit/>
          <w:jc w:val="center"/>
        </w:trPr>
        <w:tc>
          <w:tcPr>
            <w:tcW w:w="3020" w:type="dxa"/>
            <w:tcBorders>
              <w:top w:val="single" w:color="000000" w:sz="4" w:space="0"/>
            </w:tcBorders>
            <w:vAlign w:val="center"/>
          </w:tcPr>
          <w:p w14:paraId="511F3FB0">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多目标识别准确率</w:t>
            </w:r>
          </w:p>
        </w:tc>
        <w:tc>
          <w:tcPr>
            <w:tcW w:w="1379" w:type="dxa"/>
            <w:tcBorders>
              <w:top w:val="single" w:color="000000" w:sz="4" w:space="0"/>
            </w:tcBorders>
            <w:vAlign w:val="center"/>
          </w:tcPr>
          <w:p w14:paraId="7B7E7C61">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70%</w:t>
            </w:r>
          </w:p>
        </w:tc>
        <w:tc>
          <w:tcPr>
            <w:tcW w:w="1381" w:type="dxa"/>
            <w:tcBorders>
              <w:top w:val="single" w:color="000000" w:sz="4" w:space="0"/>
            </w:tcBorders>
            <w:vAlign w:val="center"/>
          </w:tcPr>
          <w:p w14:paraId="21EC7ED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75%</w:t>
            </w:r>
          </w:p>
        </w:tc>
        <w:tc>
          <w:tcPr>
            <w:tcW w:w="2673" w:type="dxa"/>
            <w:tcBorders>
              <w:top w:val="single" w:color="000000" w:sz="4" w:space="0"/>
            </w:tcBorders>
            <w:vAlign w:val="center"/>
          </w:tcPr>
          <w:p w14:paraId="32BE0968">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提高5个百分点</w:t>
            </w:r>
          </w:p>
        </w:tc>
      </w:tr>
      <w:tr w14:paraId="46F08EC8">
        <w:tblPrEx>
          <w:tblCellMar>
            <w:top w:w="95" w:type="dxa"/>
            <w:left w:w="75" w:type="dxa"/>
            <w:bottom w:w="95" w:type="dxa"/>
            <w:right w:w="75" w:type="dxa"/>
          </w:tblCellMar>
        </w:tblPrEx>
        <w:trPr>
          <w:cantSplit/>
          <w:jc w:val="center"/>
        </w:trPr>
        <w:tc>
          <w:tcPr>
            <w:tcW w:w="3020" w:type="dxa"/>
            <w:vAlign w:val="center"/>
          </w:tcPr>
          <w:p w14:paraId="6219893B">
            <w:pPr>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响应延迟</w:t>
            </w:r>
          </w:p>
        </w:tc>
        <w:tc>
          <w:tcPr>
            <w:tcW w:w="1379" w:type="dxa"/>
            <w:vAlign w:val="center"/>
          </w:tcPr>
          <w:p w14:paraId="125C0F5B">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0.55秒</w:t>
            </w:r>
          </w:p>
        </w:tc>
        <w:tc>
          <w:tcPr>
            <w:tcW w:w="1381" w:type="dxa"/>
            <w:vAlign w:val="center"/>
          </w:tcPr>
          <w:p w14:paraId="77E24217">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0.38秒</w:t>
            </w:r>
          </w:p>
        </w:tc>
        <w:tc>
          <w:tcPr>
            <w:tcW w:w="2673" w:type="dxa"/>
            <w:vAlign w:val="center"/>
          </w:tcPr>
          <w:p w14:paraId="26755F39">
            <w:pPr>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缩短0.17秒</w:t>
            </w:r>
          </w:p>
        </w:tc>
      </w:tr>
      <w:tr w14:paraId="4BBCA28E">
        <w:tblPrEx>
          <w:tblCellMar>
            <w:top w:w="95" w:type="dxa"/>
            <w:left w:w="75" w:type="dxa"/>
            <w:bottom w:w="95" w:type="dxa"/>
            <w:right w:w="75" w:type="dxa"/>
          </w:tblCellMar>
        </w:tblPrEx>
        <w:trPr>
          <w:cantSplit/>
          <w:jc w:val="center"/>
        </w:trPr>
        <w:tc>
          <w:tcPr>
            <w:tcW w:w="3020" w:type="dxa"/>
            <w:tcBorders>
              <w:bottom w:val="single" w:color="000000" w:sz="12" w:space="0"/>
            </w:tcBorders>
            <w:vAlign w:val="center"/>
          </w:tcPr>
          <w:p w14:paraId="2A2513BF">
            <w:pPr>
              <w:keepNext/>
              <w:snapToGrid w:val="0"/>
              <w:spacing w:before="0" w:after="0" w:line="240" w:lineRule="auto"/>
              <w:ind w:left="0" w:right="0" w:firstLine="0"/>
              <w:jc w:val="left"/>
              <w:rPr>
                <w:rFonts w:hint="eastAsia" w:ascii="宋体" w:hAnsi="宋体" w:eastAsia="宋体" w:cs="宋体"/>
                <w:sz w:val="20"/>
              </w:rPr>
            </w:pPr>
            <w:r>
              <w:rPr>
                <w:rFonts w:hint="eastAsia" w:ascii="宋体" w:hAnsi="宋体" w:eastAsia="宋体" w:cs="宋体"/>
                <w:b w:val="0"/>
                <w:color w:val="000000"/>
                <w:sz w:val="21"/>
              </w:rPr>
              <w:t>误报率</w:t>
            </w:r>
          </w:p>
        </w:tc>
        <w:tc>
          <w:tcPr>
            <w:tcW w:w="1379" w:type="dxa"/>
            <w:tcBorders>
              <w:bottom w:val="single" w:color="000000" w:sz="12" w:space="0"/>
            </w:tcBorders>
            <w:vAlign w:val="center"/>
          </w:tcPr>
          <w:p w14:paraId="20EC45F9">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10%</w:t>
            </w:r>
          </w:p>
        </w:tc>
        <w:tc>
          <w:tcPr>
            <w:tcW w:w="1381" w:type="dxa"/>
            <w:tcBorders>
              <w:bottom w:val="single" w:color="000000" w:sz="12" w:space="0"/>
            </w:tcBorders>
            <w:vAlign w:val="center"/>
          </w:tcPr>
          <w:p w14:paraId="02414995">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5%</w:t>
            </w:r>
          </w:p>
        </w:tc>
        <w:tc>
          <w:tcPr>
            <w:tcW w:w="2673" w:type="dxa"/>
            <w:tcBorders>
              <w:bottom w:val="single" w:color="000000" w:sz="12" w:space="0"/>
            </w:tcBorders>
            <w:vAlign w:val="center"/>
          </w:tcPr>
          <w:p w14:paraId="6CF8F179">
            <w:pPr>
              <w:keepNext/>
              <w:snapToGrid w:val="0"/>
              <w:spacing w:before="0" w:after="0" w:line="240" w:lineRule="auto"/>
              <w:ind w:left="0" w:right="0" w:firstLine="0"/>
              <w:jc w:val="center"/>
              <w:rPr>
                <w:rFonts w:hint="eastAsia" w:ascii="宋体" w:hAnsi="宋体" w:eastAsia="宋体" w:cs="宋体"/>
                <w:sz w:val="20"/>
              </w:rPr>
            </w:pPr>
            <w:r>
              <w:rPr>
                <w:rFonts w:hint="eastAsia" w:ascii="宋体" w:hAnsi="宋体" w:eastAsia="宋体" w:cs="宋体"/>
                <w:b w:val="0"/>
                <w:color w:val="000000"/>
                <w:sz w:val="21"/>
              </w:rPr>
              <w:t>降低5个百分点</w:t>
            </w:r>
          </w:p>
        </w:tc>
      </w:tr>
    </w:tbl>
    <w:p w14:paraId="60AB791A">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测试结果属于项目性能证据，不能换算为学生能力增分。原记录仍反映振动强度分级辨识不足，且缺少完整试次、样本量与单因素对照，故不作统计显著性或普遍适用性判断。其教育价值在于将负面结果纳入设计决策，要求学生解释问题来源、修改理由及下一次验证重点。</w:t>
      </w:r>
    </w:p>
    <w:p w14:paraId="71DEDE88">
      <w:pPr>
        <w:pStyle w:val="4"/>
        <w:keepNext/>
        <w:spacing w:before="280" w:after="280"/>
        <w:ind w:firstLine="0"/>
        <w:rPr>
          <w:rFonts w:hint="eastAsia" w:ascii="宋体" w:hAnsi="宋体" w:eastAsia="宋体" w:cs="宋体"/>
        </w:rPr>
      </w:pPr>
      <w:bookmarkStart w:id="158" w:name="_Toc12745"/>
      <w:r>
        <w:rPr>
          <w:rFonts w:hint="eastAsia" w:ascii="宋体" w:hAnsi="宋体" w:eastAsia="宋体" w:cs="宋体"/>
          <w:b/>
          <w:sz w:val="28"/>
        </w:rPr>
        <w:t>3 项目经验反馈学科理解与方法深化</w:t>
      </w:r>
      <w:bookmarkEnd w:id="158"/>
    </w:p>
    <w:p w14:paraId="3F31DA0F">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三个科创案例分别呈现行动方案、工程路径与系统开发的拓展方式。“水足迹”将统计和语言表达用于真实倡议，机械臂将空间分析用于约束权衡，TOF将物理、信息科技与结构设计用于信息转换。共同成效在于形成从知识理解、方案论证到实践检验的学习路径。项目中的分类与比例错误、故障原因区分及触觉辨识困难，又可成为返回学科学习的具体问题，为两域反馈提供可分析的入口。是否形成稳定的学科反哺效果，仍需通过后续连续任务追踪。</w:t>
      </w:r>
    </w:p>
    <w:p w14:paraId="35EDF337">
      <w:pPr>
        <w:pStyle w:val="4"/>
        <w:keepNext/>
        <w:spacing w:before="280" w:after="280"/>
        <w:ind w:firstLine="0"/>
        <w:rPr>
          <w:rFonts w:hint="eastAsia" w:ascii="宋体" w:hAnsi="宋体" w:eastAsia="宋体" w:cs="宋体"/>
        </w:rPr>
      </w:pPr>
      <w:bookmarkStart w:id="159" w:name="_Toc30314"/>
      <w:r>
        <w:rPr>
          <w:rFonts w:hint="eastAsia" w:ascii="宋体" w:hAnsi="宋体" w:eastAsia="宋体" w:cs="宋体"/>
          <w:b/>
          <w:sz w:val="28"/>
        </w:rPr>
        <w:t>4 学生科创获奖呈现多领域实践与高层级成果</w:t>
      </w:r>
      <w:bookmarkEnd w:id="159"/>
    </w:p>
    <w:p w14:paraId="78FB8F2F">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学生科创获奖为项目学习成果提供了校外评选层面的补充证据。依据《2023—2025科创获奖情况统计》，按原表“时间（年份）”归属和“总获奖数量”逐行汇总，共有64条奖项记录、539获奖项次，其中国家级48项次、市级224项次、区级267项次。三年均有国家级、市级和区级成果，表明学校科创实践形成了跨年度、多层级的成果积累。</w:t>
      </w:r>
    </w:p>
    <w:p w14:paraId="1A2F1ECB">
      <w:pPr>
        <w:rPr>
          <w:rFonts w:hint="eastAsia" w:ascii="宋体" w:hAnsi="宋体" w:eastAsia="宋体" w:cs="宋体"/>
        </w:rPr>
      </w:pPr>
      <w:r>
        <w:rPr>
          <w:rFonts w:hint="eastAsia" w:ascii="宋体" w:hAnsi="宋体" w:eastAsia="宋体" w:cs="宋体"/>
          <w:b w:val="0"/>
          <w:sz w:val="21"/>
        </w:rPr>
        <w:t>表4-18  2023—2025年学生科创获奖年度与层级分布</w:t>
      </w:r>
    </w:p>
    <w:tbl>
      <w:tblPr>
        <w:tblStyle w:val="12"/>
        <w:tblW w:w="9604" w:type="dxa"/>
        <w:tblInd w:w="108" w:type="dxa"/>
        <w:tblLayout w:type="fixed"/>
        <w:tblCellMar>
          <w:top w:w="0" w:type="dxa"/>
          <w:left w:w="108" w:type="dxa"/>
          <w:bottom w:w="0" w:type="dxa"/>
          <w:right w:w="108" w:type="dxa"/>
        </w:tblCellMar>
      </w:tblPr>
      <w:tblGrid>
        <w:gridCol w:w="1372"/>
        <w:gridCol w:w="1371"/>
        <w:gridCol w:w="1373"/>
        <w:gridCol w:w="1371"/>
        <w:gridCol w:w="1373"/>
        <w:gridCol w:w="1371"/>
        <w:gridCol w:w="1373"/>
      </w:tblGrid>
      <w:tr w14:paraId="41903432">
        <w:tblPrEx>
          <w:tblCellMar>
            <w:top w:w="0" w:type="dxa"/>
            <w:left w:w="108" w:type="dxa"/>
            <w:bottom w:w="0" w:type="dxa"/>
            <w:right w:w="108" w:type="dxa"/>
          </w:tblCellMar>
        </w:tblPrEx>
        <w:trPr>
          <w:cantSplit/>
          <w:tblHeader/>
        </w:trPr>
        <w:tc>
          <w:tcPr>
            <w:tcW w:w="1372" w:type="dxa"/>
            <w:tcBorders>
              <w:top w:val="single" w:color="000000" w:sz="12" w:space="0"/>
              <w:bottom w:val="single" w:color="000000" w:sz="6" w:space="0"/>
            </w:tcBorders>
          </w:tcPr>
          <w:p w14:paraId="19A50309">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年度</w:t>
            </w:r>
          </w:p>
        </w:tc>
        <w:tc>
          <w:tcPr>
            <w:tcW w:w="1371" w:type="dxa"/>
            <w:tcBorders>
              <w:top w:val="single" w:color="000000" w:sz="12" w:space="0"/>
              <w:bottom w:val="single" w:color="000000" w:sz="6" w:space="0"/>
            </w:tcBorders>
          </w:tcPr>
          <w:p w14:paraId="2228377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国家级</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0A0DFB5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w:t>
            </w:r>
            <w:r>
              <w:rPr>
                <w:rFonts w:hint="eastAsia" w:ascii="宋体" w:hAnsi="宋体" w:eastAsia="宋体" w:cs="宋体"/>
                <w:sz w:val="21"/>
              </w:rPr>
              <w:br w:type="textWrapping"/>
            </w:r>
            <w:r>
              <w:rPr>
                <w:rFonts w:hint="eastAsia" w:ascii="宋体" w:hAnsi="宋体" w:eastAsia="宋体" w:cs="宋体"/>
                <w:sz w:val="21"/>
              </w:rPr>
              <w:t>（项次）</w:t>
            </w:r>
          </w:p>
        </w:tc>
        <w:tc>
          <w:tcPr>
            <w:tcW w:w="1371" w:type="dxa"/>
            <w:tcBorders>
              <w:top w:val="single" w:color="000000" w:sz="12" w:space="0"/>
              <w:bottom w:val="single" w:color="000000" w:sz="6" w:space="0"/>
            </w:tcBorders>
          </w:tcPr>
          <w:p w14:paraId="58DFB3A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区级</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06761FD3">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合计</w:t>
            </w:r>
            <w:r>
              <w:rPr>
                <w:rFonts w:hint="eastAsia" w:ascii="宋体" w:hAnsi="宋体" w:eastAsia="宋体" w:cs="宋体"/>
                <w:sz w:val="21"/>
              </w:rPr>
              <w:br w:type="textWrapping"/>
            </w:r>
            <w:r>
              <w:rPr>
                <w:rFonts w:hint="eastAsia" w:ascii="宋体" w:hAnsi="宋体" w:eastAsia="宋体" w:cs="宋体"/>
                <w:sz w:val="21"/>
              </w:rPr>
              <w:t>（项次）</w:t>
            </w:r>
          </w:p>
        </w:tc>
        <w:tc>
          <w:tcPr>
            <w:tcW w:w="1371" w:type="dxa"/>
            <w:tcBorders>
              <w:top w:val="single" w:color="000000" w:sz="12" w:space="0"/>
              <w:bottom w:val="single" w:color="000000" w:sz="6" w:space="0"/>
            </w:tcBorders>
          </w:tcPr>
          <w:p w14:paraId="1B18A33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市级及以上</w:t>
            </w:r>
            <w:r>
              <w:rPr>
                <w:rFonts w:hint="eastAsia" w:ascii="宋体" w:hAnsi="宋体" w:eastAsia="宋体" w:cs="宋体"/>
                <w:sz w:val="21"/>
              </w:rPr>
              <w:br w:type="textWrapping"/>
            </w:r>
            <w:r>
              <w:rPr>
                <w:rFonts w:hint="eastAsia" w:ascii="宋体" w:hAnsi="宋体" w:eastAsia="宋体" w:cs="宋体"/>
                <w:sz w:val="21"/>
              </w:rPr>
              <w:t>（项次）</w:t>
            </w:r>
          </w:p>
        </w:tc>
        <w:tc>
          <w:tcPr>
            <w:tcW w:w="1373" w:type="dxa"/>
            <w:tcBorders>
              <w:top w:val="single" w:color="000000" w:sz="12" w:space="0"/>
              <w:bottom w:val="single" w:color="000000" w:sz="6" w:space="0"/>
            </w:tcBorders>
          </w:tcPr>
          <w:p w14:paraId="72365C5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市级及以上</w:t>
            </w:r>
            <w:r>
              <w:rPr>
                <w:rFonts w:hint="eastAsia" w:ascii="宋体" w:hAnsi="宋体" w:eastAsia="宋体" w:cs="宋体"/>
                <w:sz w:val="21"/>
              </w:rPr>
              <w:br w:type="textWrapping"/>
            </w:r>
            <w:r>
              <w:rPr>
                <w:rFonts w:hint="eastAsia" w:ascii="宋体" w:hAnsi="宋体" w:eastAsia="宋体" w:cs="宋体"/>
                <w:sz w:val="21"/>
              </w:rPr>
              <w:t>占比（%）</w:t>
            </w:r>
          </w:p>
        </w:tc>
      </w:tr>
      <w:tr w14:paraId="0150630D">
        <w:tblPrEx>
          <w:tblCellMar>
            <w:top w:w="0" w:type="dxa"/>
            <w:left w:w="108" w:type="dxa"/>
            <w:bottom w:w="0" w:type="dxa"/>
            <w:right w:w="108" w:type="dxa"/>
          </w:tblCellMar>
        </w:tblPrEx>
        <w:trPr>
          <w:cantSplit/>
        </w:trPr>
        <w:tc>
          <w:tcPr>
            <w:tcW w:w="1372" w:type="dxa"/>
          </w:tcPr>
          <w:p w14:paraId="6D0EF03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2023</w:t>
            </w:r>
          </w:p>
        </w:tc>
        <w:tc>
          <w:tcPr>
            <w:tcW w:w="1371" w:type="dxa"/>
          </w:tcPr>
          <w:p w14:paraId="05E33EAA">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5</w:t>
            </w:r>
          </w:p>
        </w:tc>
        <w:tc>
          <w:tcPr>
            <w:tcW w:w="1373" w:type="dxa"/>
          </w:tcPr>
          <w:p w14:paraId="3802EAE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87</w:t>
            </w:r>
          </w:p>
        </w:tc>
        <w:tc>
          <w:tcPr>
            <w:tcW w:w="1371" w:type="dxa"/>
          </w:tcPr>
          <w:p w14:paraId="512CD78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193</w:t>
            </w:r>
          </w:p>
        </w:tc>
        <w:tc>
          <w:tcPr>
            <w:tcW w:w="1373" w:type="dxa"/>
          </w:tcPr>
          <w:p w14:paraId="0093BE7F">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285</w:t>
            </w:r>
          </w:p>
        </w:tc>
        <w:tc>
          <w:tcPr>
            <w:tcW w:w="1371" w:type="dxa"/>
          </w:tcPr>
          <w:p w14:paraId="3AAE0A82">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92</w:t>
            </w:r>
          </w:p>
        </w:tc>
        <w:tc>
          <w:tcPr>
            <w:tcW w:w="1373" w:type="dxa"/>
          </w:tcPr>
          <w:p w14:paraId="6331CB6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32.28</w:t>
            </w:r>
          </w:p>
        </w:tc>
      </w:tr>
      <w:tr w14:paraId="1AB3A703">
        <w:tblPrEx>
          <w:tblCellMar>
            <w:top w:w="0" w:type="dxa"/>
            <w:left w:w="108" w:type="dxa"/>
            <w:bottom w:w="0" w:type="dxa"/>
            <w:right w:w="108" w:type="dxa"/>
          </w:tblCellMar>
        </w:tblPrEx>
        <w:trPr>
          <w:cantSplit/>
        </w:trPr>
        <w:tc>
          <w:tcPr>
            <w:tcW w:w="1372" w:type="dxa"/>
          </w:tcPr>
          <w:p w14:paraId="6DCA846D">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2024</w:t>
            </w:r>
          </w:p>
        </w:tc>
        <w:tc>
          <w:tcPr>
            <w:tcW w:w="1371" w:type="dxa"/>
          </w:tcPr>
          <w:p w14:paraId="5B72F290">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w:t>
            </w:r>
          </w:p>
        </w:tc>
        <w:tc>
          <w:tcPr>
            <w:tcW w:w="1373" w:type="dxa"/>
          </w:tcPr>
          <w:p w14:paraId="1FE82C6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70</w:t>
            </w:r>
          </w:p>
        </w:tc>
        <w:tc>
          <w:tcPr>
            <w:tcW w:w="1371" w:type="dxa"/>
          </w:tcPr>
          <w:p w14:paraId="0ECC6C4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29</w:t>
            </w:r>
          </w:p>
        </w:tc>
        <w:tc>
          <w:tcPr>
            <w:tcW w:w="1373" w:type="dxa"/>
          </w:tcPr>
          <w:p w14:paraId="1C08B968">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100</w:t>
            </w:r>
          </w:p>
        </w:tc>
        <w:tc>
          <w:tcPr>
            <w:tcW w:w="1371" w:type="dxa"/>
          </w:tcPr>
          <w:p w14:paraId="41DA59FC">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71</w:t>
            </w:r>
          </w:p>
        </w:tc>
        <w:tc>
          <w:tcPr>
            <w:tcW w:w="1373" w:type="dxa"/>
          </w:tcPr>
          <w:p w14:paraId="7E7A366B">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71.00</w:t>
            </w:r>
          </w:p>
        </w:tc>
      </w:tr>
      <w:tr w14:paraId="4D68553A">
        <w:tblPrEx>
          <w:tblCellMar>
            <w:top w:w="0" w:type="dxa"/>
            <w:left w:w="108" w:type="dxa"/>
            <w:bottom w:w="0" w:type="dxa"/>
            <w:right w:w="108" w:type="dxa"/>
          </w:tblCellMar>
        </w:tblPrEx>
        <w:trPr>
          <w:cantSplit/>
        </w:trPr>
        <w:tc>
          <w:tcPr>
            <w:tcW w:w="1372" w:type="dxa"/>
          </w:tcPr>
          <w:p w14:paraId="218CC4B5">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2025</w:t>
            </w:r>
          </w:p>
        </w:tc>
        <w:tc>
          <w:tcPr>
            <w:tcW w:w="1371" w:type="dxa"/>
          </w:tcPr>
          <w:p w14:paraId="0177128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42</w:t>
            </w:r>
          </w:p>
        </w:tc>
        <w:tc>
          <w:tcPr>
            <w:tcW w:w="1373" w:type="dxa"/>
          </w:tcPr>
          <w:p w14:paraId="3CA162FE">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67</w:t>
            </w:r>
          </w:p>
        </w:tc>
        <w:tc>
          <w:tcPr>
            <w:tcW w:w="1371" w:type="dxa"/>
          </w:tcPr>
          <w:p w14:paraId="13373E5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45</w:t>
            </w:r>
          </w:p>
        </w:tc>
        <w:tc>
          <w:tcPr>
            <w:tcW w:w="1373" w:type="dxa"/>
          </w:tcPr>
          <w:p w14:paraId="58BCCF67">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154</w:t>
            </w:r>
          </w:p>
        </w:tc>
        <w:tc>
          <w:tcPr>
            <w:tcW w:w="1371" w:type="dxa"/>
          </w:tcPr>
          <w:p w14:paraId="3E1242C6">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109</w:t>
            </w:r>
          </w:p>
        </w:tc>
        <w:tc>
          <w:tcPr>
            <w:tcW w:w="1373" w:type="dxa"/>
          </w:tcPr>
          <w:p w14:paraId="7913BDF4">
            <w:pPr>
              <w:keepNext/>
              <w:spacing w:before="0" w:after="0" w:line="240" w:lineRule="auto"/>
              <w:ind w:firstLine="0"/>
              <w:jc w:val="center"/>
              <w:rPr>
                <w:rFonts w:hint="eastAsia" w:ascii="宋体" w:hAnsi="宋体" w:eastAsia="宋体" w:cs="宋体"/>
              </w:rPr>
            </w:pPr>
            <w:r>
              <w:rPr>
                <w:rFonts w:hint="eastAsia" w:ascii="宋体" w:hAnsi="宋体" w:eastAsia="宋体" w:cs="宋体"/>
                <w:sz w:val="21"/>
              </w:rPr>
              <w:t>70.78</w:t>
            </w:r>
          </w:p>
        </w:tc>
      </w:tr>
      <w:tr w14:paraId="00D59A01">
        <w:tblPrEx>
          <w:tblCellMar>
            <w:top w:w="0" w:type="dxa"/>
            <w:left w:w="108" w:type="dxa"/>
            <w:bottom w:w="0" w:type="dxa"/>
            <w:right w:w="108" w:type="dxa"/>
          </w:tblCellMar>
        </w:tblPrEx>
        <w:trPr>
          <w:cantSplit/>
        </w:trPr>
        <w:tc>
          <w:tcPr>
            <w:tcW w:w="1372" w:type="dxa"/>
            <w:tcBorders>
              <w:bottom w:val="single" w:color="000000" w:sz="12" w:space="0"/>
            </w:tcBorders>
          </w:tcPr>
          <w:p w14:paraId="33DAACE2">
            <w:pPr>
              <w:spacing w:before="0" w:after="0" w:line="240" w:lineRule="auto"/>
              <w:ind w:firstLine="0"/>
              <w:jc w:val="center"/>
              <w:rPr>
                <w:rFonts w:hint="eastAsia" w:ascii="宋体" w:hAnsi="宋体" w:eastAsia="宋体" w:cs="宋体"/>
              </w:rPr>
            </w:pPr>
            <w:r>
              <w:rPr>
                <w:rFonts w:hint="eastAsia" w:ascii="宋体" w:hAnsi="宋体" w:eastAsia="宋体" w:cs="宋体"/>
                <w:sz w:val="21"/>
              </w:rPr>
              <w:t>合计</w:t>
            </w:r>
          </w:p>
        </w:tc>
        <w:tc>
          <w:tcPr>
            <w:tcW w:w="1371" w:type="dxa"/>
            <w:tcBorders>
              <w:bottom w:val="single" w:color="000000" w:sz="12" w:space="0"/>
            </w:tcBorders>
          </w:tcPr>
          <w:p w14:paraId="1ACD0405">
            <w:pPr>
              <w:spacing w:before="0" w:after="0" w:line="240" w:lineRule="auto"/>
              <w:ind w:firstLine="0"/>
              <w:jc w:val="center"/>
              <w:rPr>
                <w:rFonts w:hint="eastAsia" w:ascii="宋体" w:hAnsi="宋体" w:eastAsia="宋体" w:cs="宋体"/>
              </w:rPr>
            </w:pPr>
            <w:r>
              <w:rPr>
                <w:rFonts w:hint="eastAsia" w:ascii="宋体" w:hAnsi="宋体" w:eastAsia="宋体" w:cs="宋体"/>
                <w:sz w:val="21"/>
              </w:rPr>
              <w:t>48</w:t>
            </w:r>
          </w:p>
        </w:tc>
        <w:tc>
          <w:tcPr>
            <w:tcW w:w="1373" w:type="dxa"/>
            <w:tcBorders>
              <w:bottom w:val="single" w:color="000000" w:sz="12" w:space="0"/>
            </w:tcBorders>
          </w:tcPr>
          <w:p w14:paraId="2D3E6F1C">
            <w:pPr>
              <w:spacing w:before="0" w:after="0" w:line="240" w:lineRule="auto"/>
              <w:ind w:firstLine="0"/>
              <w:jc w:val="center"/>
              <w:rPr>
                <w:rFonts w:hint="eastAsia" w:ascii="宋体" w:hAnsi="宋体" w:eastAsia="宋体" w:cs="宋体"/>
              </w:rPr>
            </w:pPr>
            <w:r>
              <w:rPr>
                <w:rFonts w:hint="eastAsia" w:ascii="宋体" w:hAnsi="宋体" w:eastAsia="宋体" w:cs="宋体"/>
                <w:sz w:val="21"/>
              </w:rPr>
              <w:t>224</w:t>
            </w:r>
          </w:p>
        </w:tc>
        <w:tc>
          <w:tcPr>
            <w:tcW w:w="1371" w:type="dxa"/>
            <w:tcBorders>
              <w:bottom w:val="single" w:color="000000" w:sz="12" w:space="0"/>
            </w:tcBorders>
          </w:tcPr>
          <w:p w14:paraId="3F4D1A38">
            <w:pPr>
              <w:spacing w:before="0" w:after="0" w:line="240" w:lineRule="auto"/>
              <w:ind w:firstLine="0"/>
              <w:jc w:val="center"/>
              <w:rPr>
                <w:rFonts w:hint="eastAsia" w:ascii="宋体" w:hAnsi="宋体" w:eastAsia="宋体" w:cs="宋体"/>
              </w:rPr>
            </w:pPr>
            <w:r>
              <w:rPr>
                <w:rFonts w:hint="eastAsia" w:ascii="宋体" w:hAnsi="宋体" w:eastAsia="宋体" w:cs="宋体"/>
                <w:sz w:val="21"/>
              </w:rPr>
              <w:t>267</w:t>
            </w:r>
          </w:p>
        </w:tc>
        <w:tc>
          <w:tcPr>
            <w:tcW w:w="1373" w:type="dxa"/>
            <w:tcBorders>
              <w:bottom w:val="single" w:color="000000" w:sz="12" w:space="0"/>
            </w:tcBorders>
          </w:tcPr>
          <w:p w14:paraId="19411A3E">
            <w:pPr>
              <w:spacing w:before="0" w:after="0" w:line="240" w:lineRule="auto"/>
              <w:ind w:firstLine="0"/>
              <w:jc w:val="center"/>
              <w:rPr>
                <w:rFonts w:hint="eastAsia" w:ascii="宋体" w:hAnsi="宋体" w:eastAsia="宋体" w:cs="宋体"/>
              </w:rPr>
            </w:pPr>
            <w:r>
              <w:rPr>
                <w:rFonts w:hint="eastAsia" w:ascii="宋体" w:hAnsi="宋体" w:eastAsia="宋体" w:cs="宋体"/>
                <w:sz w:val="21"/>
              </w:rPr>
              <w:t>539</w:t>
            </w:r>
          </w:p>
        </w:tc>
        <w:tc>
          <w:tcPr>
            <w:tcW w:w="1371" w:type="dxa"/>
            <w:tcBorders>
              <w:bottom w:val="single" w:color="000000" w:sz="12" w:space="0"/>
            </w:tcBorders>
          </w:tcPr>
          <w:p w14:paraId="1257B8B8">
            <w:pPr>
              <w:spacing w:before="0" w:after="0" w:line="240" w:lineRule="auto"/>
              <w:ind w:firstLine="0"/>
              <w:jc w:val="center"/>
              <w:rPr>
                <w:rFonts w:hint="eastAsia" w:ascii="宋体" w:hAnsi="宋体" w:eastAsia="宋体" w:cs="宋体"/>
              </w:rPr>
            </w:pPr>
            <w:r>
              <w:rPr>
                <w:rFonts w:hint="eastAsia" w:ascii="宋体" w:hAnsi="宋体" w:eastAsia="宋体" w:cs="宋体"/>
                <w:sz w:val="21"/>
              </w:rPr>
              <w:t>272</w:t>
            </w:r>
          </w:p>
        </w:tc>
        <w:tc>
          <w:tcPr>
            <w:tcW w:w="1373" w:type="dxa"/>
            <w:tcBorders>
              <w:bottom w:val="single" w:color="000000" w:sz="12" w:space="0"/>
            </w:tcBorders>
          </w:tcPr>
          <w:p w14:paraId="47F25FF8">
            <w:pPr>
              <w:spacing w:before="0" w:after="0" w:line="240" w:lineRule="auto"/>
              <w:ind w:firstLine="0"/>
              <w:jc w:val="center"/>
              <w:rPr>
                <w:rFonts w:hint="eastAsia" w:ascii="宋体" w:hAnsi="宋体" w:eastAsia="宋体" w:cs="宋体"/>
              </w:rPr>
            </w:pPr>
            <w:r>
              <w:rPr>
                <w:rFonts w:hint="eastAsia" w:ascii="宋体" w:hAnsi="宋体" w:eastAsia="宋体" w:cs="宋体"/>
                <w:sz w:val="21"/>
              </w:rPr>
              <w:t>50.46</w:t>
            </w:r>
          </w:p>
        </w:tc>
      </w:tr>
    </w:tbl>
    <w:p w14:paraId="74235EFF">
      <w:pPr>
        <w:keepNext w:val="0"/>
        <w:spacing w:line="240" w:lineRule="auto"/>
        <w:ind w:firstLine="0"/>
        <w:jc w:val="left"/>
        <w:rPr>
          <w:rFonts w:hint="eastAsia" w:ascii="宋体" w:hAnsi="宋体" w:eastAsia="宋体" w:cs="宋体"/>
        </w:rPr>
      </w:pPr>
      <w:r>
        <w:rPr>
          <w:rFonts w:hint="eastAsia" w:ascii="宋体" w:hAnsi="宋体" w:eastAsia="宋体" w:cs="宋体"/>
          <w:b w:val="0"/>
          <w:sz w:val="21"/>
        </w:rPr>
        <w:t>注：单位为原表获奖项次，不等于去重学生人数或独立项目数；年度以原表时间字段为准，部分赛事名称含上一年度。相同赛事名称的分行记录按原表保留，未在缺少明细时擅自合并。市级及以上占比＝（国家级＋市级）÷当年合计。</w:t>
      </w:r>
    </w:p>
    <w:p w14:paraId="1A2A7443">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从年度分布看，获奖总项次由2023年的285项次变为2024年的100项次、2025年的154项次，未呈连续增长；但市级及以上占比由32.28%提高至71.00%，2025年保持在70.78%。国家级获奖由2024年的1项次增加至2025年的42项次，2025年占当年获奖总项次的27.27%。这一结构表明，在现有统计范围内，后两年成果较多集中于市级及以上评选，2025年在国家级赛事中形成较突出表现，为学校科创拓展域能够支持部分学生形成可展示、可评审的成果提供了外部参照。</w:t>
      </w:r>
    </w:p>
    <w:p w14:paraId="50F530B1">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从成果内容看，奖项涉及科技创新、电子设计、人工智能与编程、机器人、研究性学习、气象与生态探究、发明创造等领域。其中，2025年“地球小博士”全国地理科普知识大赛32项次、校园气象科学展评活动5项次、模拟联合国气候变化谈判活动3项次，呈现地理知识、数据解释、生态议题与交流表达向真实主题实践延伸的多种途径。这与“学科奠基—方案生成—实践验证—评价改进”的模型关系相衔接，说明科创拓展能够为学科知识的综合运用及成果交流创造更广泛的实践机会。</w:t>
      </w:r>
    </w:p>
    <w:p w14:paraId="3244B20C">
      <w:pPr>
        <w:keepNext w:val="0"/>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获奖证据的价值主要在于补充作品、课堂和项目过程材料，显示部分成果获得校外评选认可。由于原表未提供参赛人数、去重学生名单、获奖等级与历年一致的赛事覆盖范围，本研究不计算获奖率，不将年度数量差异全部归因于课题实施，也不以获奖直接证明七维能力同步提升。将其与前后测、作品修订和方案测试相互参照，能够更完整地说明课题已积累学生发展、实践过程与外部成果三个方面的支持证据。</w:t>
      </w:r>
    </w:p>
    <w:p w14:paraId="5CA5981C">
      <w:pPr>
        <w:pStyle w:val="3"/>
        <w:keepNext/>
        <w:ind w:firstLine="0"/>
        <w:rPr>
          <w:rFonts w:hint="eastAsia" w:ascii="宋体" w:hAnsi="宋体" w:eastAsia="宋体" w:cs="宋体"/>
        </w:rPr>
      </w:pPr>
      <w:bookmarkStart w:id="160" w:name="_Toc3596"/>
      <w:r>
        <w:rPr>
          <w:rFonts w:hint="eastAsia" w:ascii="宋体" w:hAnsi="宋体" w:eastAsia="宋体" w:cs="宋体"/>
          <w:b/>
          <w:sz w:val="28"/>
        </w:rPr>
        <w:t>（五）学校高阶能力培育实践体系的初步形成</w:t>
      </w:r>
      <w:bookmarkEnd w:id="160"/>
    </w:p>
    <w:p w14:paraId="5784036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60070CB">
      <w:pPr>
        <w:pStyle w:val="4"/>
        <w:keepNext/>
        <w:spacing w:before="280" w:after="280"/>
        <w:ind w:firstLine="0"/>
        <w:rPr>
          <w:rFonts w:hint="eastAsia" w:ascii="宋体" w:hAnsi="宋体" w:eastAsia="宋体" w:cs="宋体"/>
        </w:rPr>
      </w:pPr>
      <w:bookmarkStart w:id="161" w:name="_Toc27273"/>
      <w:r>
        <w:rPr>
          <w:rFonts w:hint="eastAsia" w:ascii="宋体" w:hAnsi="宋体" w:eastAsia="宋体" w:cs="宋体"/>
          <w:b/>
          <w:sz w:val="28"/>
        </w:rPr>
        <w:t>1.以高阶能力培育为共同议题的校本研修机制</w:t>
      </w:r>
      <w:bookmarkEnd w:id="161"/>
    </w:p>
    <w:p w14:paraId="1A7EC4DE">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不同学科围绕怎样让高阶能力进入真实学习形成共同研究议题，逐步使用目标、任务、反馈、学习证据和循证调节等概念分析课堂。共同语言有助于跨学科讨论从活动形式走向学习过程。校本研修方案提出教研组“一组一案、一科一策”，教师“一师一问、一课一改”，并结合课堂观察、五维评价和AI数据开展会诊，体现课题成果向日常研修组织的转化。</w:t>
      </w:r>
    </w:p>
    <w:p w14:paraId="0811266C">
      <w:pPr>
        <w:pStyle w:val="4"/>
        <w:keepNext/>
        <w:spacing w:before="280" w:after="280"/>
        <w:ind w:firstLine="0"/>
        <w:rPr>
          <w:rFonts w:hint="eastAsia" w:ascii="宋体" w:hAnsi="宋体" w:eastAsia="宋体" w:cs="宋体"/>
        </w:rPr>
      </w:pPr>
      <w:bookmarkStart w:id="162" w:name="_Toc12055"/>
      <w:r>
        <w:rPr>
          <w:rFonts w:hint="eastAsia" w:ascii="宋体" w:hAnsi="宋体" w:eastAsia="宋体" w:cs="宋体"/>
          <w:b/>
          <w:sz w:val="28"/>
        </w:rPr>
        <w:t>2.由经验判断走向证据支持的校本教研</w:t>
      </w:r>
      <w:bookmarkEnd w:id="162"/>
    </w:p>
    <w:p w14:paraId="123720C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研究推动教研判断尽可能回到学习材料。专业评价帮助观察支持结构，AI记录呈现行为分布，作品与学习单呈现思维和修订，问卷用于观察阶段自评。讨论由教师讲了什么进一步转向学生学到什么、依据是什么、下一轮如何调整。这种做法为专业判断提供可追踪的理由，也避免用课堂气氛或参与次数替代学习质量。</w:t>
      </w:r>
    </w:p>
    <w:p w14:paraId="1D67AABD">
      <w:pPr>
        <w:pStyle w:val="4"/>
        <w:keepNext/>
        <w:spacing w:before="280" w:after="280"/>
        <w:ind w:firstLine="0"/>
        <w:rPr>
          <w:rFonts w:hint="eastAsia" w:ascii="宋体" w:hAnsi="宋体" w:eastAsia="宋体" w:cs="宋体"/>
        </w:rPr>
      </w:pPr>
      <w:bookmarkStart w:id="163" w:name="_Toc18122"/>
      <w:r>
        <w:rPr>
          <w:rFonts w:hint="eastAsia" w:ascii="宋体" w:hAnsi="宋体" w:eastAsia="宋体" w:cs="宋体"/>
          <w:b/>
          <w:sz w:val="28"/>
        </w:rPr>
        <w:t>3.学科教学与科创教育协同推进的实践格局</w:t>
      </w:r>
      <w:bookmarkEnd w:id="163"/>
    </w:p>
    <w:p w14:paraId="084746CD">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两域实践使学校逐步明确，高阶能力需要在日常学科教学中持续培育，并在真实复杂项目中综合运用。课堂提供稳定的知识与方法练习，科创项目通过更长周期、更多约束与开放结果，要求学生综合调用知识、协作和验证。两域共同服务学生发展，在内容与组织上相互补充，为高阶能力从少数活动走向持续实践提供路径。</w:t>
      </w:r>
    </w:p>
    <w:p w14:paraId="7A8C3C55">
      <w:pPr>
        <w:pStyle w:val="4"/>
        <w:keepNext/>
        <w:spacing w:before="280" w:after="280"/>
        <w:ind w:firstLine="0"/>
        <w:rPr>
          <w:rFonts w:hint="eastAsia" w:ascii="宋体" w:hAnsi="宋体" w:eastAsia="宋体" w:cs="宋体"/>
        </w:rPr>
      </w:pPr>
      <w:bookmarkStart w:id="164" w:name="_Toc13642"/>
      <w:r>
        <w:rPr>
          <w:rFonts w:hint="eastAsia" w:ascii="宋体" w:hAnsi="宋体" w:eastAsia="宋体" w:cs="宋体"/>
          <w:b/>
          <w:sz w:val="28"/>
        </w:rPr>
        <w:t>4.可持续使用的校本研究资源</w:t>
      </w:r>
      <w:bookmarkEnd w:id="164"/>
    </w:p>
    <w:p w14:paraId="44461DD0">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案例、任务单、评价量规、学生作品、课堂记录及项目材料形成可复用资源。其价值在于保留问题、设计、表现、调整和结果之间的联系，便于教师比较与再设计。资源能否持续发挥作用，还需看其是否真正被研修调用并产生新的实践记录。学校成效因而定位为共同议题、工具与资源体系的初步形成，而不以材料数量直接证明组织运行已经成熟。</w:t>
      </w:r>
    </w:p>
    <w:p w14:paraId="1630A646">
      <w:pPr>
        <w:keepNext/>
        <w:spacing w:line="240" w:lineRule="auto"/>
        <w:ind w:firstLine="0"/>
        <w:jc w:val="center"/>
        <w:rPr>
          <w:rFonts w:hint="eastAsia" w:ascii="宋体" w:hAnsi="宋体" w:eastAsia="宋体" w:cs="宋体"/>
        </w:rPr>
      </w:pPr>
      <w:r>
        <w:rPr>
          <w:rFonts w:hint="eastAsia" w:ascii="宋体" w:hAnsi="宋体" w:eastAsia="宋体" w:cs="宋体"/>
          <w:b w:val="0"/>
          <w:sz w:val="21"/>
        </w:rPr>
        <w:t>表4-19  学校层面实践变化与证据对应</w:t>
      </w:r>
    </w:p>
    <w:tbl>
      <w:tblPr>
        <w:tblStyle w:val="12"/>
        <w:tblW w:w="9216" w:type="dxa"/>
        <w:tblInd w:w="108" w:type="dxa"/>
        <w:tblLayout w:type="fixed"/>
        <w:tblCellMar>
          <w:top w:w="0" w:type="dxa"/>
          <w:left w:w="108" w:type="dxa"/>
          <w:bottom w:w="0" w:type="dxa"/>
          <w:right w:w="108" w:type="dxa"/>
        </w:tblCellMar>
      </w:tblPr>
      <w:tblGrid>
        <w:gridCol w:w="1871"/>
        <w:gridCol w:w="4032"/>
        <w:gridCol w:w="3313"/>
      </w:tblGrid>
      <w:tr w14:paraId="1A2289B6">
        <w:tblPrEx>
          <w:tblCellMar>
            <w:top w:w="0" w:type="dxa"/>
            <w:left w:w="108" w:type="dxa"/>
            <w:bottom w:w="0" w:type="dxa"/>
            <w:right w:w="108" w:type="dxa"/>
          </w:tblCellMar>
        </w:tblPrEx>
        <w:trPr>
          <w:cantSplit/>
          <w:tblHeader/>
        </w:trPr>
        <w:tc>
          <w:tcPr>
            <w:tcW w:w="1871" w:type="dxa"/>
            <w:tcBorders>
              <w:top w:val="single" w:color="000000" w:sz="8" w:space="0"/>
              <w:bottom w:val="single" w:color="000000" w:sz="8" w:space="0"/>
            </w:tcBorders>
            <w:vAlign w:val="center"/>
          </w:tcPr>
          <w:p w14:paraId="7950A8DE">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学校层面变化</w:t>
            </w:r>
          </w:p>
        </w:tc>
        <w:tc>
          <w:tcPr>
            <w:tcW w:w="4032" w:type="dxa"/>
            <w:tcBorders>
              <w:top w:val="single" w:color="000000" w:sz="8" w:space="0"/>
              <w:bottom w:val="single" w:color="000000" w:sz="8" w:space="0"/>
            </w:tcBorders>
            <w:vAlign w:val="center"/>
          </w:tcPr>
          <w:p w14:paraId="53A6CAE1">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具体表现</w:t>
            </w:r>
          </w:p>
        </w:tc>
        <w:tc>
          <w:tcPr>
            <w:tcW w:w="3313" w:type="dxa"/>
            <w:tcBorders>
              <w:top w:val="single" w:color="000000" w:sz="8" w:space="0"/>
              <w:bottom w:val="single" w:color="000000" w:sz="8" w:space="0"/>
            </w:tcBorders>
            <w:vAlign w:val="center"/>
          </w:tcPr>
          <w:p w14:paraId="2AD2C469">
            <w:pPr>
              <w:keepNext/>
              <w:spacing w:before="0" w:after="0" w:line="240" w:lineRule="auto"/>
              <w:ind w:firstLine="0"/>
              <w:jc w:val="center"/>
              <w:rPr>
                <w:rFonts w:hint="eastAsia" w:ascii="宋体" w:hAnsi="宋体" w:eastAsia="宋体" w:cs="宋体"/>
              </w:rPr>
            </w:pPr>
            <w:r>
              <w:rPr>
                <w:rFonts w:hint="eastAsia" w:ascii="宋体" w:hAnsi="宋体" w:eastAsia="宋体" w:cs="宋体"/>
                <w:b/>
                <w:color w:val="000000"/>
                <w:sz w:val="21"/>
              </w:rPr>
              <w:t>主要证据</w:t>
            </w:r>
          </w:p>
        </w:tc>
      </w:tr>
      <w:tr w14:paraId="6AE6AFDE">
        <w:tblPrEx>
          <w:tblCellMar>
            <w:top w:w="0" w:type="dxa"/>
            <w:left w:w="108" w:type="dxa"/>
            <w:bottom w:w="0" w:type="dxa"/>
            <w:right w:w="108" w:type="dxa"/>
          </w:tblCellMar>
        </w:tblPrEx>
        <w:trPr>
          <w:cantSplit/>
        </w:trPr>
        <w:tc>
          <w:tcPr>
            <w:tcW w:w="1871" w:type="dxa"/>
            <w:vAlign w:val="center"/>
          </w:tcPr>
          <w:p w14:paraId="23FCC25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共同研修议题</w:t>
            </w:r>
          </w:p>
        </w:tc>
        <w:tc>
          <w:tcPr>
            <w:tcW w:w="4032" w:type="dxa"/>
            <w:vAlign w:val="center"/>
          </w:tcPr>
          <w:p w14:paraId="26FEF02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不同学科围绕能力目标、任务、反馈与学习证据开展研究</w:t>
            </w:r>
          </w:p>
        </w:tc>
        <w:tc>
          <w:tcPr>
            <w:tcW w:w="3313" w:type="dxa"/>
            <w:vAlign w:val="center"/>
          </w:tcPr>
          <w:p w14:paraId="6C3CD1FB">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研究课、课例研讨、校本研修方案</w:t>
            </w:r>
          </w:p>
        </w:tc>
      </w:tr>
      <w:tr w14:paraId="69262EB7">
        <w:tblPrEx>
          <w:tblCellMar>
            <w:top w:w="0" w:type="dxa"/>
            <w:left w:w="108" w:type="dxa"/>
            <w:bottom w:w="0" w:type="dxa"/>
            <w:right w:w="108" w:type="dxa"/>
          </w:tblCellMar>
        </w:tblPrEx>
        <w:trPr>
          <w:cantSplit/>
        </w:trPr>
        <w:tc>
          <w:tcPr>
            <w:tcW w:w="1871" w:type="dxa"/>
            <w:vAlign w:val="center"/>
          </w:tcPr>
          <w:p w14:paraId="1C14E624">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教研依据更具体</w:t>
            </w:r>
          </w:p>
        </w:tc>
        <w:tc>
          <w:tcPr>
            <w:tcW w:w="4032" w:type="dxa"/>
            <w:vAlign w:val="center"/>
          </w:tcPr>
          <w:p w14:paraId="598F062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专业评价、AI记录、学习单与学生作品共同进入诊断</w:t>
            </w:r>
          </w:p>
        </w:tc>
        <w:tc>
          <w:tcPr>
            <w:tcW w:w="3313" w:type="dxa"/>
            <w:vAlign w:val="center"/>
          </w:tcPr>
          <w:p w14:paraId="3964DA39">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评课材料、课堂记录、改进记录</w:t>
            </w:r>
          </w:p>
        </w:tc>
      </w:tr>
      <w:tr w14:paraId="69C738DC">
        <w:tblPrEx>
          <w:tblCellMar>
            <w:top w:w="0" w:type="dxa"/>
            <w:left w:w="108" w:type="dxa"/>
            <w:bottom w:w="0" w:type="dxa"/>
            <w:right w:w="108" w:type="dxa"/>
          </w:tblCellMar>
        </w:tblPrEx>
        <w:trPr>
          <w:cantSplit/>
        </w:trPr>
        <w:tc>
          <w:tcPr>
            <w:tcW w:w="1871" w:type="dxa"/>
            <w:vAlign w:val="center"/>
          </w:tcPr>
          <w:p w14:paraId="25FD1BB5">
            <w:pPr>
              <w:keepNext/>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学科奠基与科创拓展</w:t>
            </w:r>
          </w:p>
        </w:tc>
        <w:tc>
          <w:tcPr>
            <w:tcW w:w="4032" w:type="dxa"/>
            <w:vAlign w:val="center"/>
          </w:tcPr>
          <w:p w14:paraId="199E3E86">
            <w:pPr>
              <w:keepNext/>
              <w:spacing w:before="0" w:after="0" w:line="240" w:lineRule="auto"/>
              <w:ind w:firstLine="0"/>
              <w:jc w:val="center"/>
              <w:rPr>
                <w:rFonts w:hint="eastAsia" w:ascii="宋体" w:hAnsi="宋体" w:eastAsia="宋体" w:cs="宋体"/>
              </w:rPr>
            </w:pPr>
            <w:r>
              <w:rPr>
                <w:rFonts w:hint="eastAsia" w:ascii="宋体" w:hAnsi="宋体" w:eastAsia="宋体" w:cs="宋体"/>
                <w:color w:val="000000"/>
                <w:sz w:val="21"/>
              </w:rPr>
              <w:t>学科提供知识方法，科创增加方案与验证，项目经验反馈课堂</w:t>
            </w:r>
          </w:p>
        </w:tc>
        <w:tc>
          <w:tcPr>
            <w:tcW w:w="3313" w:type="dxa"/>
            <w:vAlign w:val="center"/>
          </w:tcPr>
          <w:p w14:paraId="6183D956">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学科案例、科创项目及学生成果</w:t>
            </w:r>
          </w:p>
        </w:tc>
      </w:tr>
      <w:tr w14:paraId="0926BC53">
        <w:tblPrEx>
          <w:tblCellMar>
            <w:top w:w="0" w:type="dxa"/>
            <w:left w:w="108" w:type="dxa"/>
            <w:bottom w:w="0" w:type="dxa"/>
            <w:right w:w="108" w:type="dxa"/>
          </w:tblCellMar>
        </w:tblPrEx>
        <w:trPr>
          <w:cantSplit/>
        </w:trPr>
        <w:tc>
          <w:tcPr>
            <w:tcW w:w="1871" w:type="dxa"/>
            <w:tcBorders>
              <w:bottom w:val="single" w:color="000000" w:sz="8" w:space="0"/>
            </w:tcBorders>
            <w:vAlign w:val="center"/>
          </w:tcPr>
          <w:p w14:paraId="7CC3A725">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资源持续积累</w:t>
            </w:r>
          </w:p>
        </w:tc>
        <w:tc>
          <w:tcPr>
            <w:tcW w:w="4032" w:type="dxa"/>
            <w:tcBorders>
              <w:bottom w:val="single" w:color="000000" w:sz="8" w:space="0"/>
            </w:tcBorders>
            <w:vAlign w:val="center"/>
          </w:tcPr>
          <w:p w14:paraId="6838EA88">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案例、任务单、量规和过程数据用于复盘与再设计</w:t>
            </w:r>
          </w:p>
        </w:tc>
        <w:tc>
          <w:tcPr>
            <w:tcW w:w="3313" w:type="dxa"/>
            <w:tcBorders>
              <w:bottom w:val="single" w:color="000000" w:sz="8" w:space="0"/>
            </w:tcBorders>
            <w:vAlign w:val="center"/>
          </w:tcPr>
          <w:p w14:paraId="23AA0FB1">
            <w:pPr>
              <w:keepNext/>
              <w:spacing w:before="0" w:after="0" w:line="240" w:lineRule="auto"/>
              <w:ind w:firstLine="0"/>
              <w:jc w:val="center"/>
              <w:rPr>
                <w:rFonts w:hint="eastAsia" w:ascii="宋体" w:hAnsi="宋体" w:eastAsia="宋体" w:cs="宋体"/>
              </w:rPr>
            </w:pPr>
            <w:r>
              <w:rPr>
                <w:rFonts w:hint="eastAsia" w:ascii="宋体" w:hAnsi="宋体" w:eastAsia="宋体" w:cs="宋体"/>
                <w:b w:val="0"/>
                <w:color w:val="000000"/>
                <w:sz w:val="21"/>
              </w:rPr>
              <w:t>案例资源、评价工具、研修记录</w:t>
            </w:r>
          </w:p>
        </w:tc>
      </w:tr>
    </w:tbl>
    <w:p w14:paraId="081C6343">
      <w:pPr>
        <w:pStyle w:val="3"/>
        <w:keepNext/>
        <w:ind w:firstLine="0"/>
        <w:rPr>
          <w:rFonts w:hint="eastAsia" w:ascii="宋体" w:hAnsi="宋体" w:eastAsia="宋体" w:cs="宋体"/>
        </w:rPr>
      </w:pPr>
      <w:bookmarkStart w:id="165" w:name="_Toc22515"/>
      <w:r>
        <w:rPr>
          <w:rFonts w:hint="eastAsia" w:ascii="宋体" w:hAnsi="宋体" w:eastAsia="宋体" w:cs="宋体"/>
          <w:b/>
          <w:sz w:val="28"/>
        </w:rPr>
        <w:t>（六）综合成效与模型完善的证据支持</w:t>
      </w:r>
      <w:bookmarkEnd w:id="165"/>
    </w:p>
    <w:p w14:paraId="719AA5FD">
      <w:pPr>
        <w:pStyle w:val="4"/>
        <w:keepNext/>
        <w:spacing w:before="280" w:after="280"/>
        <w:ind w:firstLine="0"/>
        <w:rPr>
          <w:rFonts w:hint="eastAsia" w:ascii="宋体" w:hAnsi="宋体" w:eastAsia="宋体" w:cs="宋体"/>
        </w:rPr>
      </w:pPr>
      <w:bookmarkStart w:id="166" w:name="_Toc14503"/>
      <w:r>
        <w:rPr>
          <w:rFonts w:hint="eastAsia" w:ascii="宋体" w:hAnsi="宋体" w:eastAsia="宋体" w:cs="宋体"/>
          <w:b/>
          <w:sz w:val="28"/>
        </w:rPr>
        <w:t>1 多源证据的相互支持</w:t>
      </w:r>
      <w:bookmarkEnd w:id="166"/>
    </w:p>
    <w:p w14:paraId="1E55D64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现有材料共同支持三个层面的阶段成效。学生层面，1346组记录显示总体与七维自评均显著提高，文本与案例提供了方法比较、知识联系、合作表达和修订的具体线索；教师层面，163组对应记录的认知、实践、自我效能显著提高，主观阻碍下降，新增题目和开放性回答进一步呈现方法应用及任务设计变化；学校层面，模型、评价工具和课例资源进入共同研修议题，为持续改进提供组织基础。三类成效相互关联，但各有相应证据范围。</w:t>
      </w:r>
    </w:p>
    <w:p w14:paraId="6EAB9989">
      <w:pPr>
        <w:pStyle w:val="4"/>
        <w:keepNext/>
        <w:spacing w:before="280" w:after="280"/>
        <w:ind w:firstLine="0"/>
        <w:rPr>
          <w:rFonts w:hint="eastAsia" w:ascii="宋体" w:hAnsi="宋体" w:eastAsia="宋体" w:cs="宋体"/>
        </w:rPr>
      </w:pPr>
      <w:bookmarkStart w:id="167" w:name="_Toc17137"/>
      <w:r>
        <w:rPr>
          <w:rFonts w:hint="eastAsia" w:ascii="宋体" w:hAnsi="宋体" w:eastAsia="宋体" w:cs="宋体"/>
          <w:b/>
          <w:sz w:val="28"/>
        </w:rPr>
        <w:t>2 对研究问题的回应</w:t>
      </w:r>
      <w:bookmarkEnd w:id="167"/>
    </w:p>
    <w:p w14:paraId="724E4B9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围绕研究问题，本研究形成了由诊断需求到实践设计、再到证据支持与模型完善的回答。前测与开放题识别复杂问题分析、方法生成和学习调节需求；五环学习与教师四步将这些需求转化为任务与支持；学科四要素向科创五要素的拓展，为知识方法的综合运用提供真实条件；七维自评变化与案例材料支持阶段实践价值。最终2.0版据此明确教与学协同、三层学习及学科向科创拓展的关系，使实践成果获得更清楚的整体表达。</w:t>
      </w:r>
    </w:p>
    <w:p w14:paraId="54B4E934">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据此，本研究形成三个相互联系的成果：能够用于设计与分析的教学习模型，能够根据场域转化的学科四要素与科创五要素框架，以及能够支撑判断与反馈的评价资源。问卷呈现阶段积极变化，作品分布和修订材料补充任务成果与过程证据，项目测试呈现方案验证的实际进展。这些材料支持课题在本校形成了可实施、可观察、可改进的实践方式，也为模型2.0的完善提供了依据。</w:t>
      </w:r>
    </w:p>
    <w:p w14:paraId="2A4E6701">
      <w:pPr>
        <w:pStyle w:val="4"/>
        <w:keepNext/>
        <w:spacing w:before="280" w:after="280"/>
        <w:ind w:firstLine="0"/>
        <w:rPr>
          <w:rFonts w:hint="eastAsia" w:ascii="宋体" w:hAnsi="宋体" w:eastAsia="宋体" w:cs="宋体"/>
        </w:rPr>
      </w:pPr>
      <w:bookmarkStart w:id="168" w:name="_Toc19352"/>
      <w:r>
        <w:rPr>
          <w:rFonts w:hint="eastAsia" w:ascii="宋体" w:hAnsi="宋体" w:eastAsia="宋体" w:cs="宋体"/>
          <w:b/>
          <w:sz w:val="28"/>
        </w:rPr>
        <w:t>3 成效结论的适用范围与持续验证</w:t>
      </w:r>
      <w:bookmarkEnd w:id="168"/>
    </w:p>
    <w:p w14:paraId="55AD40C7">
      <w:pPr>
        <w:spacing w:before="0" w:after="0" w:line="360" w:lineRule="auto"/>
        <w:ind w:firstLine="480"/>
        <w:jc w:val="both"/>
        <w:rPr>
          <w:rFonts w:hint="eastAsia" w:ascii="宋体" w:hAnsi="宋体" w:eastAsia="宋体" w:cs="宋体"/>
        </w:rPr>
      </w:pPr>
      <w:r>
        <w:rPr>
          <w:rFonts w:hint="eastAsia" w:ascii="宋体" w:hAnsi="宋体" w:eastAsia="宋体" w:cs="宋体"/>
          <w:b w:val="0"/>
          <w:sz w:val="24"/>
        </w:rPr>
        <w:t>数据口径的稳定性是结果解释的基础。学生更新前测未出现5分，与后测高分分布差异明显；教师匹配依赖背景信息而非唯一身份确认，且后测部分题干和引导语调整。上述情况不影响依据现有文件重现计算，但会影响提升幅度与个体变化的解释。后续宜保存统一施测版本、稳定匿名编号与原始导出记录，确保变化来自可比较的测量过程。</w:t>
      </w:r>
    </w:p>
    <w:p w14:paraId="7482C882">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从课题持续发展的角度看，最值得保留的是一套可以反复使用的专业判断方式：明确希望学生发展什么，观察学生怎样处理任务，依据表达、作品和修订判断支持是否适切，再决定下一步如何调整。当前研究已在模型、工具、课堂实践和校本研修之间建立联系；继续以真实任务表现验证变化，以持续追踪检验稳定性，将有助于把阶段性成果转化为学校日常育人的长期实践。</w:t>
      </w:r>
    </w:p>
    <w:p w14:paraId="363E74B0">
      <w:pPr>
        <w:spacing w:before="0" w:after="0" w:line="360" w:lineRule="auto"/>
        <w:ind w:firstLine="480"/>
        <w:jc w:val="both"/>
        <w:rPr>
          <w:rFonts w:hint="eastAsia" w:ascii="宋体" w:hAnsi="宋体" w:eastAsia="宋体" w:cs="宋体"/>
          <w:b w:val="0"/>
          <w:sz w:val="24"/>
        </w:rPr>
      </w:pPr>
    </w:p>
    <w:p w14:paraId="17971AB0">
      <w:pPr>
        <w:pStyle w:val="2"/>
        <w:keepNext/>
        <w:pageBreakBefore w:val="0"/>
        <w:overflowPunct w:val="0"/>
        <w:bidi w:val="0"/>
        <w:snapToGrid w:val="0"/>
        <w:spacing w:before="360" w:after="240" w:line="360" w:lineRule="auto"/>
        <w:jc w:val="left"/>
        <w:textAlignment w:val="auto"/>
        <w:outlineLvl w:val="1"/>
        <w:rPr>
          <w:rFonts w:hint="eastAsia" w:ascii="宋体" w:hAnsi="宋体" w:eastAsia="宋体" w:cs="宋体"/>
          <w:b/>
          <w:color w:val="000000"/>
          <w:kern w:val="0"/>
          <w:sz w:val="30"/>
          <w:szCs w:val="30"/>
          <w:highlight w:val="none"/>
        </w:rPr>
      </w:pPr>
      <w:bookmarkStart w:id="169" w:name="_Toc29954"/>
      <w:r>
        <w:rPr>
          <w:rFonts w:hint="eastAsia" w:ascii="宋体" w:hAnsi="宋体" w:eastAsia="宋体" w:cs="宋体"/>
          <w:b/>
          <w:color w:val="000000"/>
          <w:kern w:val="0"/>
          <w:sz w:val="28"/>
        </w:rPr>
        <w:t>参考</w:t>
      </w:r>
      <w:r>
        <w:rPr>
          <w:rFonts w:hint="eastAsia" w:ascii="宋体" w:hAnsi="宋体" w:eastAsia="宋体" w:cs="宋体"/>
          <w:b/>
          <w:color w:val="000000"/>
          <w:kern w:val="0"/>
          <w:sz w:val="28"/>
          <w:highlight w:val="none"/>
        </w:rPr>
        <w:t>文献</w:t>
      </w:r>
      <w:bookmarkEnd w:id="169"/>
    </w:p>
    <w:p w14:paraId="2D21EF0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 陈丽莎, 翁绮睿, 彭正梅. 成为自己的教师：“可见的学习”视野下的学生自评能力研究[J]. 教育发展研究, 2023, 43(22): 38-54.</w:t>
      </w:r>
    </w:p>
    <w:p w14:paraId="007612B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 陈丽莎, 伍绍杨. 唤醒家庭的力量[J]. 上海教育, 2025(26): 50-51.</w:t>
      </w:r>
    </w:p>
    <w:p w14:paraId="0840ED3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 陈添. 认识你的领导力：以可见的学习重塑教育变革[J]. 上海教育, 2025(26): 48-49.</w:t>
      </w:r>
    </w:p>
    <w:p w14:paraId="6CEAF20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 高嘉诚, 梁锦芳. “可见的学习”视域下学生自评力培养的实践[J]. 上海教育, 2025(26): 52-53.</w:t>
      </w:r>
    </w:p>
    <w:p w14:paraId="23B4994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 高妍, 缪秋英, 邓莉. DIIE模式：一种教师可以共享的教学语言[J]. 上海教育, 2025(26): 40-41.</w:t>
      </w:r>
    </w:p>
    <w:p w14:paraId="7088965C">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 何光友, 沈勍, 伍绍杨. 可见的学习视角下的项目化设计[J]. 上海教育, 2025(26): 44-45.</w:t>
      </w:r>
    </w:p>
    <w:p w14:paraId="6B8E858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 黄忠敬, 王倩, 陈唤春, 等. 交往能力：中国青少年社会与情感能力测评分报告之五[J]. 华东师范大学学报（教育科学版）, 2021, 39(9): 93-108. DOI:10.16382/j.cnki.1000-5560.2021.09.006.</w:t>
      </w:r>
    </w:p>
    <w:p w14:paraId="408A69C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 教育部. 义务教育课程方案（2022年版）[S]. 北京: 北京师范大学出版社, 2022.</w:t>
      </w:r>
    </w:p>
    <w:p w14:paraId="0383B63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[9] 教育部办公厅. 基础教育课程教学改革深化行动方案（教材厅函〔2023〕3号）[EB/OL]. [2026-10-19]. https://www.gov.cn/zhengce/zhengceku/202306/content_6884785.htm.</w:t>
      </w:r>
    </w:p>
    <w:p w14:paraId="69DC8D5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[10] 教育部基础教育教学指导委员会. 中小学生成式人工智能使用指南（2025年版）[EB/OL]. (2025-05-12)[2026-10-19]. https://www.chinanews.com.cn/cj/2025/05-12/10414191.shtml.</w:t>
      </w:r>
    </w:p>
    <w:p w14:paraId="51F90ED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[11] 李茂森, 祝蕾蕾. 中小学课堂教学反馈的现实困境与改进路径：基于哈蒂“可见的学习”的视角[J]. 教育发展研究, 2022, 42(20): 77-84.</w:t>
      </w:r>
    </w:p>
    <w:p w14:paraId="7B0DFB3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[12] 林心悦. 卓越教师的三个形象与十个心智框架[J]. 上海教育, 2025(26): 46-47.</w:t>
      </w:r>
    </w:p>
    <w:p w14:paraId="4092F8B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[13] 马淑风, 杨向东. 什么才是高阶思维？——以“新旧知识关系建立”为核心的高阶思维概念框架[J]. 华东师范大学学报（教育科学版）, 2022, 40(11): 58-68. DOI:10.16382/j.cnki.1000-5560.2022.11.005.</w:t>
      </w:r>
    </w:p>
    <w:p w14:paraId="09B435C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[14] 马梓越, 沈勍, 伍绍杨. 可见的学习与学科教学应用[J]. 上海教育, 2025(26): 42-43.</w:t>
      </w:r>
    </w:p>
    <w:p w14:paraId="6FA4C5C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[15] 彭正梅. 寻求教学的“圣杯”：论哈蒂《可见的学习》及教育学的实证倾向[J]. 教育发展研究, 2015, 35(6): 1-9.</w:t>
      </w:r>
    </w:p>
    <w:p w14:paraId="3C25FD0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[16] 彭正梅, 施芳婷, 伍绍杨. 卓越教师的10个心智框架：《可见的学习》与《学记》的比较[J]. 湖南师范大学教育科学学报, 2022, 21(5): 23-31.</w:t>
      </w:r>
    </w:p>
    <w:p w14:paraId="1C7E86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[17] 彭正梅, 伍绍杨. 可见的学习：从理论探索到实践创新[J]. 上海教育, 2025(26): 26-28.</w:t>
      </w:r>
    </w:p>
    <w:p w14:paraId="6267753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[18] 彭正梅, 伍绍杨, 邓莉. 如何培养高阶能力：哈蒂“可见的学习”的视角[J]. 教育研究, 2019, 40(5): 76-85.</w:t>
      </w:r>
    </w:p>
    <w:p w14:paraId="1E0F05B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[19] 邱惠芬. “可见的学习”视域下初中化学学科实践学习分析框架的建构[J]. 化学教学, 2024(2): 27-33.</w:t>
      </w:r>
    </w:p>
    <w:p w14:paraId="190C195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[20] 上海市教育委员会. 上海市初中学业水平考试实施办法（沪教委规〔2019〕2号）[Z]. 2019.</w:t>
      </w:r>
    </w:p>
    <w:p w14:paraId="6181130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[21] 上海市教育委员会. 上海市初中学生综合素质评价实施办法（沪教委规〔2019〕3号）[Z]. 2019.</w:t>
      </w:r>
    </w:p>
    <w:p w14:paraId="0ED2422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[22] 上海市教育委员会. 上海市普通高中课程实施方案[Z]. 2021.</w:t>
      </w:r>
    </w:p>
    <w:p w14:paraId="54D868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[23] 上海市教育委员会. 关于实施项目化学习推动义务教育育人方式改革的指导意见（沪教委基〔2023〕24号）[EB/OL]. (2023-09-01)[2026-10-19]. https://edu.sh.gov.cn/xxgk2_zdgz_jcjy_01/20230901/d22c1043024d4d0e9d32b85fd3392186.html.</w:t>
      </w:r>
    </w:p>
    <w:p w14:paraId="6E6BF6E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[24] 沈勍. 基于“可见的学习”，探索学生高阶能力培养[J]. 上海教育, 2025(26): 54-55.</w:t>
      </w:r>
    </w:p>
    <w:p w14:paraId="719D703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[25] 沈勍, 伍绍杨. 高阶能力的培养之道[J]. 上海教育, 2025(26): 36-37.</w:t>
      </w:r>
    </w:p>
    <w:p w14:paraId="740B52B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[26] 施芳婷. 重新评估学校成功学习的条件[J]. 上海教育, 2025(26): 29-31.</w:t>
      </w:r>
    </w:p>
    <w:p w14:paraId="2EEEA2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[27] 石修银. 基于“可见的学习”理论的语文教学设计、过程及评价[J]. 课程·教材·教法, 2021, 41(8): 83-89.</w:t>
      </w:r>
    </w:p>
    <w:p w14:paraId="7C76825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[28] 温英贝, 伍绍杨. 有效反馈的艺术[J]. 上海教育, 2025(26): 38-39.</w:t>
      </w:r>
    </w:p>
    <w:p w14:paraId="0378932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[29] 伍绍杨. 可见的学习：未完成的故事[J]. 基础教育, 2015, 12(5): 107-112.</w:t>
      </w:r>
    </w:p>
    <w:p w14:paraId="6EEFCB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[30] 伍绍杨. 可见的学习的全球迁移[J]. 上海教育, 2025(26): 32-33.</w:t>
      </w:r>
    </w:p>
    <w:p w14:paraId="4649C48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[31] 伍绍杨, 彭正梅. 迈向更有效的反馈：哈蒂“可见的学习”的模式[J]. 开放教育研究, 2021, 27(4): 27-40.</w:t>
      </w:r>
    </w:p>
    <w:p w14:paraId="0D93F31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[32] 伍绍杨, 彭正梅. 学习科学证明了什么：哈蒂“可见的学习”的视角[J]. 教育发展研究, 2025, 45(8): 39-50.</w:t>
      </w:r>
    </w:p>
    <w:p w14:paraId="477ADBC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[33] 伍绍杨, 彭正梅. 教育知识的全球迁移与重构：以“可见的学习”为例[J]. 比较教育研究, 2026, 48(3): 92-101.</w:t>
      </w:r>
    </w:p>
    <w:p w14:paraId="1086910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[34] 伍绍杨, 施芳婷, 彭正梅. 哪些因素对学业成就的影响最大：基于对“哈蒂排名”和PISA-TALIS的分析[J]. 外国教育研究, 2023, 50(7): 58-82.</w:t>
      </w:r>
    </w:p>
    <w:p w14:paraId="49C7929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[35] 杨振峰. 素养立意的课程建设与教学变革[EB/OL]. (2025-01-14)[2026-10-19]. https://www.eol.cn/news/xueshu/hui/202501/t20250114_2651182.shtml.</w:t>
      </w:r>
    </w:p>
    <w:p w14:paraId="1D3D656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[36] 袁振国, 黄忠敬, 王纮, 等. 中国青少年社会与情感能力发展水平报告——基于第二轮SSES测评数据[J]. 华东师范大学学报（教育科学版）, 2024, 42(5): 1-32. DOI:10.16382/j.cnki.1000-5560.2024.05.001.</w:t>
      </w:r>
    </w:p>
    <w:p w14:paraId="065AD07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[37] 张诗琪. 学习的九个基本原则[J]. 上海教育, 2025(26): 34-35.</w:t>
      </w:r>
    </w:p>
    <w:p w14:paraId="5207D76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[38] 中共中央, 国务院. 深化新时代教育评价改革总体方案[EB/OL]. (2020-10-13)[2026-10-19]. https://www.gov.cn/zhengce/2020-10/13/content_5551032.htm.</w:t>
      </w:r>
    </w:p>
    <w:p w14:paraId="0315F2D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[39] ABRAMI P C, BERNARD R M, BOROKHOVSKI E, et al. Strategies for teaching students to think critically: A meta-analysis[J]. Review of Educational Research, 2015, 85(2): 275-314.</w:t>
      </w:r>
    </w:p>
    <w:p w14:paraId="77BEAB0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[40] ANDERSON L W, KRATHWOHL D R. A taxonomy for learning, teaching, and assessing: A revision of Bloom's taxonomy of educational objectives[M]. New York: Longman, 2001.</w:t>
      </w:r>
    </w:p>
    <w:p w14:paraId="5008B3F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[41] BERGERON L, ROGERS L. Teaching the Theory of Knowledge course in IB World Schools[R]. La Crosse: University of Wisconsin-La Crosse, 2015.</w:t>
      </w:r>
    </w:p>
    <w:p w14:paraId="670ED9A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[42] BERGERON P J, RIVARD L. How to engage in pseudoscience with real data: A criticism of John Hattie's arguments in Visible Learning from the perspective of a statistician[J]. McGill Journal of Education, 2017, 52(1): 237-246.</w:t>
      </w:r>
    </w:p>
    <w:p w14:paraId="0F1BF02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[43] BIGGS J. What the student does: Teaching for enhanced learning[J]. Higher Education Research &amp; Development, 1999, 18(1): 57-75. DOI:10.1080/0729436990180105.</w:t>
      </w:r>
    </w:p>
    <w:p w14:paraId="11928A4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[44] BOUCKAERT M. The assessment of students' creative and critical thinking skills in higher education across OECD countries: A review of policies and related practices[R]. Paris: OECD Publishing, 2023. DOI:10.1787/35dbd439-en.</w:t>
      </w:r>
    </w:p>
    <w:p w14:paraId="45985DB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[45] BROWN C, GREANY T. The evidence-informed school system in England: Where should school leaders be focusing their efforts?[J]. Leadership and Policy in Schools, 2018, 17(1): 115-137. DOI:10.1080/15700763.2016.1270330.</w:t>
      </w:r>
    </w:p>
    <w:p w14:paraId="6A6B801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[46] CASEL. CASEL's SEL framework: What are the core competence areas and where are they promoted?[R]. Chicago: Collaborative for Academic, Social, and Emotional Learning, 2020.</w:t>
      </w:r>
    </w:p>
    <w:p w14:paraId="04F7E92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[47] CHEN S, CHEUNG A C K. Effect of generative artificial intelligence on university students learning outcomes: A systematic review and meta-analysis[J]. Educational Research Review, 2025, 49: 100737. DOI:10.1016/j.edurev.2025.100737.</w:t>
      </w:r>
    </w:p>
    <w:p w14:paraId="1056429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[48] COHEN L, MANION L, MORRISON K. Research methods in education[M]. 7th ed. London: Routledge, 2011.</w:t>
      </w:r>
    </w:p>
    <w:p w14:paraId="399571D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[49] COLE D R, ULLMAN J, GANNON S, et al. Critical thinking skills in the International Baccalaureate's 'Theory of Knowledge' subject: Findings from an Australian study[J]. Australian Journal of Education, 2015, 59(3): 247-264.</w:t>
      </w:r>
    </w:p>
    <w:p w14:paraId="6E3BF0C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[50] COWEN N, CARTWRIGHT N, VIRK B, et al. Making the most of the evidence: Evidence-based policy in the classroom[R]. Durham: Durham University, 2015.</w:t>
      </w:r>
    </w:p>
    <w:p w14:paraId="540C1A8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[51] CRESWELL J W, CRESWELL J D. Research design: Qualitative, quantitative, and mixed methods approaches[M]. 6th ed. Thousand Oaks: SAGE, 2022.</w:t>
      </w:r>
    </w:p>
    <w:p w14:paraId="3C0E591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[52] DE JONG T, LAZONDER A W, CHINN C A, et al. Let's talk evidence – The case for combining inquiry-based and direct instruction[J]. Educational Research Review, 2023, 39: 100536. DOI:10.1016/j.edurev.2023.100536.</w:t>
      </w:r>
    </w:p>
    <w:p w14:paraId="205FA15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[53] DU Y, YUAN Y. Epistemic dependence in AI-mediated learning[J/OL]. AI &amp; Society, 2026. DOI:10.1007/s00146-026-03294-1.</w:t>
      </w:r>
    </w:p>
    <w:p w14:paraId="31FC9463">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[54] DURLAK J A, WEISSBERG R P, DYMNICKI A B, et al. The impact of enhancing students' social and emotional learning: A meta-analysis of school-based universal interventions[J]. Child Development, 2011, 82(1): 405-432.</w:t>
      </w:r>
    </w:p>
    <w:p w14:paraId="688FB00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[55] EACOTT S. Ranting, raving and complaining: Reflections on working against orthodoxy[J]. International Journal of Leadership in Education, 2019, 22(6): 774-782.</w:t>
      </w:r>
    </w:p>
    <w:p w14:paraId="3F641AF8">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[56] EDOVALD T, NEVILL C. Working out what works: The case of the Education Endowment Foundation in England[J]. ECNU Review of Education, 2021, 4(1): 46-64.</w:t>
      </w:r>
    </w:p>
    <w:p w14:paraId="072BC2F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[57] FREDENS K. Synlig læring og læringens anatomi[J]. Paideia, 2015(9): 70-75.</w:t>
      </w:r>
    </w:p>
    <w:p w14:paraId="20C42AA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[58] GOLOVCHIN M A. What kind of teacher does the 'school of the future' need? Possibility of using John Hattie's approach in Russian education[J]. Economic and Social Changes: Facts, Trends, Forecast, 2019, 12(5): 229-242.</w:t>
      </w:r>
    </w:p>
    <w:p w14:paraId="7DE496C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[59] GÜNGÖR F, ALTUNBAŞAK İ, AYDIN A T, et al. A second-order meta-analysis on the effects of cooperative learning on students' academic achievement, higher-order thinking, and affective behaviors[J]. Current Psychology, 2026, 45: 552. DOI:10.1007/s12144-025-08943-0.</w:t>
      </w:r>
    </w:p>
    <w:p w14:paraId="60F671A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[60] GUO H, ZHOU Z, MA F. Effect of training programs on the creativity of university students: A multi-level meta-analysis[J]. Thinking Skills and Creativity, 2025, 56: 101779. DOI:10.1016/j.tsc.2025.101779.</w:t>
      </w:r>
    </w:p>
    <w:p w14:paraId="516CB51C">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[61] HATTIE J. What is the nature of evidence that makes a difference to learning?[C]//Using data to support learning: Proceedings of the ACER Research Conference 2005. Melbourne: Australian Council for Educational Research, 2005: 11-21.</w:t>
      </w:r>
    </w:p>
    <w:p w14:paraId="7479056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[62] HATTIE J. The applicability of Visible Learning to higher education[J]. Scholarship of Teaching and Learning in Psychology, 2015, 1(1): 79-91.</w:t>
      </w:r>
    </w:p>
    <w:p w14:paraId="0F19B7E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[63] HATTIE J, TIMPERLEY H. The power of feedback[J]. Review of Educational Research, 2007, 77(1): 81-112.</w:t>
      </w:r>
    </w:p>
    <w:p w14:paraId="732D689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[64] HIGGINS S. Meta-synthesis and comparative meta-analysis of education research findings: Some risks and benefits[J]. Review of Education, 2016, 4(1): 31-53.</w:t>
      </w:r>
    </w:p>
    <w:p w14:paraId="156484D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[65] HUGHES C. Theory of Knowledge aims, objectives and assessment criteria: An analysis of critical thinking descriptors[J]. Journal of Research in International Education, 2014, 13(1): 30-45. DOI:10.1177/1475240914528084.</w:t>
      </w:r>
    </w:p>
    <w:p w14:paraId="4E716C2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[66] JORNITZ S, KLINGE D. "Bildung" as a forgotten aspect of algorithmic technologies[M]//PARREIRA DO AMARAL M, THOMPSON C. Geopolitical transformations in higher education. Cham: Springer, 2022: 231-249.</w:t>
      </w:r>
    </w:p>
    <w:p w14:paraId="5825B5B7">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[67] KELLY P, BECK A, HOFBAUER S. Comparing school leaders' experiences of research use in England, Scotland and Germany[J]. Review of Education, 2025, 13(1): e70058. DOI:10.1002/rev3.70058.</w:t>
      </w:r>
    </w:p>
    <w:p w14:paraId="3534A94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[68] KNUDSEN H. John Hattie: I'm a statistician, I'm not a theoretician[J]. Nordic Journal of Studies in Educational Policy, 2017, 3(3): 253-261.</w:t>
      </w:r>
    </w:p>
    <w:p w14:paraId="251C9B1D">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[69] KUHN D, CHENEY R, WEINSTOCK M. The development of epistemological understanding[J]. Cognitive Development, 2000, 15(3): 309-328.</w:t>
      </w:r>
    </w:p>
    <w:p w14:paraId="5B3C405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[70] LEI H, DING Y, CHIU M M. The effect of graphic organizers on cultivating higher-order thinking: Evidence from a meta-analysis[J]. Educational Research Review, 2026, 52: 100822. DOI:10.1016/j.edurev.2026.100822.</w:t>
      </w:r>
    </w:p>
    <w:p w14:paraId="7B94CF4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[71] LI C, CUI H, HAGEDORN L S. The cognitive impact of ChatGPT in higher education: A systematic review of critical and creative thinking outcomes[J]. Computers and Education: Artificial Intelligence, 2026, 10: 100571. DOI:10.1016/j.caeai.2026.100571.</w:t>
      </w:r>
    </w:p>
    <w:p w14:paraId="48207ADB">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[72] LIU J, MBOWE A E, TAHRI D, et al. Meta-analysis on the influence of AI agents on K-12 student cognitive performance[J]. Computers in Human Behavior Reports, 2026, 21: 100973. DOI:10.1016/j.chbr.2026.100973.</w:t>
      </w:r>
    </w:p>
    <w:p w14:paraId="44ED2231">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[73] MCDONNELL L M, WEATHERFORD M S. Evidence use and the Common Core State Standards movement: From problem definition to policy adoption[J]. American Journal of Education, 2013, 120(1): 1-25. DOI:10.1086/673163.</w:t>
      </w:r>
    </w:p>
    <w:p w14:paraId="47B8D71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[74] NIELSEN K, KLITMØLLER J. Blind spots in visible learning: A critique of John Hattie as an educational theorist[J]. Nordic Psychology, 2021.</w:t>
      </w:r>
    </w:p>
    <w:p w14:paraId="66DF7145">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[75] NORDAHL T. Visible Learning som grunnlag for evidens og forbedringsarbeid i utdanningssystemet[J]. Paideia, 2015(9): 61-69.</w:t>
      </w:r>
    </w:p>
    <w:p w14:paraId="694CD2E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[76] OECD. Beyond academic learning: First results from the Survey of Social and Emotional Skills[R]. Paris: OECD Publishing, 2021.</w:t>
      </w:r>
    </w:p>
    <w:p w14:paraId="42A32F92">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[77] PARK J H, MYSZKOWSKI N, NIU W. Exploring the intersection of creativity and critical thinking among students: A meta-analysis[J]. Thinking Skills and Creativity, 2026, 60: 102119. DOI:10.1016/j.tsc.2025.102119.</w:t>
      </w:r>
    </w:p>
    <w:p w14:paraId="2EF7A54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[78] QVORTRUP L. Baggrund for og diskussioner af Visible Learning med særligt henblik på lærings- og vidensbegrebet[J]. Paideia, 2015(9): 22-33.</w:t>
      </w:r>
    </w:p>
    <w:p w14:paraId="1C155B3E">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[79] RICKINSON M, WALSH L, GLEESON J, et al. Using research well in educational practice[M]//RÉVAI N. Who cares about using education research in policy and practice? Strengthening research engagement. Paris: OECD Publishing, 2022: 182-199. DOI:10.1787/d7ff793d-en.</w:t>
      </w:r>
    </w:p>
    <w:p w14:paraId="229054C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[80] RUNCO M A, MAMMADOV S, SUI D, et al. Second-order meta-analysis of the creativity research[J/OL]. Creativity Research Journal, 2026. DOI:10.1080/10400419.2026.2644245.</w:t>
      </w:r>
    </w:p>
    <w:p w14:paraId="2796900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[81] SNOOK I, O'NEILL J, CLARK J, et al. Invisible learnings? A commentary on John Hattie's book: Visible learning: A synthesis of over 800 meta-analyses relating to achievement[J]. New Zealand Journal of Educational Studies, 2009, 44(1): 93-106.</w:t>
      </w:r>
    </w:p>
    <w:p w14:paraId="5AA965C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[82] STEINER-KHAMSI G, MARTENS K, YDESEN C. Governance by numbers 2.0: Policy brokerage as an instrument of global governance in the era of information overload[J]. Comparative Education, 2024, 60(4): 537-554.</w:t>
      </w:r>
    </w:p>
    <w:p w14:paraId="433BD2EA">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[83] TERHART E. Has John Hattie really found the holy grail of research on teaching? An extended review of Visible Learning[J]. Journal of Curriculum Studies, 2011, 43(3): 425-438.</w:t>
      </w:r>
    </w:p>
    <w:p w14:paraId="6A4E0C14">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[84] ÜNAL E, KAYA M, UZUN A M, et al. A second-order meta-analysis on the effects of artificial intelligence applications on student outcomes[J]. Journal of Educational Computing Research, 2026, 64(5): 1360-1389. DOI:10.1177/07356331261424767.</w:t>
      </w:r>
    </w:p>
    <w:p w14:paraId="0669655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[85] WECKER C, VOGEL F, HETMANEK A. Visionär und imposant – aber auch belastbar? Eine Kritik der Methodik von Hatties Visible Learning[J]. Zeitschrift für Erziehungswissenschaft, 2016, 20: 21-40. DOI:10.1007/s11618-016-0696-0.</w:t>
      </w:r>
    </w:p>
    <w:p w14:paraId="6C455E20">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[86] WU J Y, LEE Y H, CHAI C S, et al. Strengthening human epistemic agency in the symbiotic learning partnership with generative artificial intelligence[J]. Educational Researcher, 2025, 54(6): 358-368. DOI:10.3102/0013189X251333628.</w:t>
      </w:r>
    </w:p>
    <w:p w14:paraId="28E06659">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[87] ZEMPLÉN G Á. Conflicting agendas: Critical thinking versus science education in the International Baccalaureate Theory of Knowledge course[J]. Science &amp; Education, 2007, 16: 167-196.</w:t>
      </w:r>
    </w:p>
    <w:p w14:paraId="5565FE3F">
      <w:pPr>
        <w:suppressAutoHyphens/>
        <w:autoSpaceDE w:val="0"/>
        <w:autoSpaceDN w:val="0"/>
        <w:bidi w:val="0"/>
        <w:adjustRightInd w:val="0"/>
        <w:spacing w:before="0" w:after="0" w:line="440" w:lineRule="exact"/>
        <w:ind w:firstLine="480" w:firstLineChars="200"/>
        <w:jc w:val="left"/>
        <w:rPr>
          <w:rFonts w:hint="eastAsia" w:ascii="Times New Roman" w:hAnsi="Times New Roman" w:eastAsia="楷体" w:cs="Times New Roman"/>
          <w:kern w:val="0"/>
          <w:sz w:val="24"/>
          <w:szCs w:val="24"/>
          <w:highlight w:val="none"/>
        </w:rPr>
      </w:pPr>
      <w:r>
        <w:rPr>
          <w:rFonts w:hint="eastAsia" w:ascii="Times New Roman" w:hAnsi="Times New Roman" w:eastAsia="楷体" w:cs="Times New Roman"/>
          <w:kern w:val="0"/>
          <w:sz w:val="24"/>
          <w:szCs w:val="24"/>
          <w:highlight w:val="none"/>
        </w:rPr>
        <w:t>[88] ZHAO Y, YUE Y, SUN Z, et al. Does generative artificial intelligence improve students' higher-order thinking? A meta-analysis based on 29 experiments and quasi-experiments[J]. Journal of Intelligence, 2025, 13(12): 160. DOI:10.3390/jintelligence13120160.</w:t>
      </w:r>
    </w:p>
    <w:p w14:paraId="4DAF8654">
      <w:pPr>
        <w:spacing w:line="600" w:lineRule="exact"/>
        <w:jc w:val="center"/>
        <w:rPr>
          <w:rFonts w:hint="eastAsia" w:ascii="宋体" w:hAnsi="宋体" w:eastAsia="宋体" w:cs="宋体"/>
          <w:sz w:val="44"/>
          <w:highlight w:val="none"/>
        </w:rPr>
      </w:pPr>
    </w:p>
    <w:p w14:paraId="327AE1DA">
      <w:pPr>
        <w:jc w:val="both"/>
        <w:rPr>
          <w:rFonts w:hint="eastAsia" w:ascii="宋体" w:hAnsi="宋体" w:eastAsia="宋体" w:cs="宋体"/>
          <w:sz w:val="44"/>
          <w:highlight w:val="none"/>
        </w:rPr>
      </w:pPr>
    </w:p>
    <w:p w14:paraId="47589548">
      <w:pPr>
        <w:rPr>
          <w:rFonts w:hint="eastAsia" w:ascii="宋体" w:hAnsi="宋体" w:eastAsia="宋体" w:cs="宋体"/>
          <w:highlight w:val="none"/>
        </w:rPr>
      </w:pPr>
    </w:p>
    <w:p w14:paraId="285ECE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32D379E-AF71-465A-9779-9CA0CB4EBF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3A90F516-9940-4A4E-BE0A-20ADBFAF4F82}"/>
  </w:font>
  <w:font w:name="楷体">
    <w:panose1 w:val="02010609060101010101"/>
    <w:charset w:val="86"/>
    <w:family w:val="modern"/>
    <w:pitch w:val="default"/>
    <w:sig w:usb0="800002BF" w:usb1="38CF7CFA" w:usb2="00000016" w:usb3="00000000" w:csb0="00040001" w:csb1="00000000"/>
    <w:embedRegular r:id="rId3" w:fontKey="{51B95789-755A-4B49-9DCE-432867313D5F}"/>
  </w:font>
  <w:font w:name="WPSEMBED1">
    <w:panose1 w:val="02000000000000000000"/>
    <w:charset w:val="86"/>
    <w:family w:val="auto"/>
    <w:pitch w:val="default"/>
    <w:sig w:usb0="00000001" w:usb1="08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34">
    <w:p>
      <w:r>
        <w:separator/>
      </w:r>
    </w:p>
  </w:footnote>
  <w:footnote w:type="continuationSeparator" w:id="235">
    <w:p>
      <w:r>
        <w:continuationSeparator/>
      </w:r>
    </w:p>
  </w:footnote>
  <w:footnote w:id="0">
    <w:p w14:paraId="0802812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w:t>
      </w:r>
      <w:r>
        <w:rPr>
          <w:rFonts w:ascii="Times New Roman" w:hAnsi="Times New Roman" w:eastAsia="宋体" w:cs="Times New Roman"/>
          <w:sz w:val="18"/>
          <w:szCs w:val="18"/>
        </w:rPr>
        <w:t xml:space="preserve">. </w:t>
      </w:r>
      <w:r>
        <w:rPr>
          <w:rFonts w:ascii="Times New Roman" w:hAnsi="Times New Roman" w:cs="Times New Roman"/>
          <w:sz w:val="18"/>
          <w:szCs w:val="18"/>
        </w:rPr>
        <w:t>义务教育课程方案（</w:t>
      </w:r>
      <w:r>
        <w:rPr>
          <w:rFonts w:ascii="Times New Roman" w:hAnsi="Times New Roman" w:eastAsia="宋体" w:cs="Times New Roman"/>
          <w:sz w:val="18"/>
          <w:szCs w:val="18"/>
        </w:rPr>
        <w:t>2022</w:t>
      </w:r>
      <w:r>
        <w:rPr>
          <w:rFonts w:ascii="Times New Roman" w:hAnsi="Times New Roman" w:cs="Times New Roman"/>
          <w:sz w:val="18"/>
          <w:szCs w:val="18"/>
        </w:rPr>
        <w:t>年版）</w:t>
      </w:r>
      <w:r>
        <w:rPr>
          <w:rFonts w:ascii="Times New Roman" w:hAnsi="Times New Roman" w:eastAsia="宋体" w:cs="Times New Roman"/>
          <w:sz w:val="18"/>
          <w:szCs w:val="18"/>
        </w:rPr>
        <w:t xml:space="preserve">[S]. </w:t>
      </w:r>
      <w:r>
        <w:rPr>
          <w:rFonts w:ascii="Times New Roman" w:hAnsi="Times New Roman" w:cs="Times New Roman"/>
          <w:sz w:val="18"/>
          <w:szCs w:val="18"/>
        </w:rPr>
        <w:t>北京</w:t>
      </w:r>
      <w:r>
        <w:rPr>
          <w:rFonts w:ascii="Times New Roman" w:hAnsi="Times New Roman" w:eastAsia="宋体" w:cs="Times New Roman"/>
          <w:sz w:val="18"/>
          <w:szCs w:val="18"/>
        </w:rPr>
        <w:t xml:space="preserve">: </w:t>
      </w:r>
      <w:r>
        <w:rPr>
          <w:rFonts w:ascii="Times New Roman" w:hAnsi="Times New Roman" w:cs="Times New Roman"/>
          <w:sz w:val="18"/>
          <w:szCs w:val="18"/>
        </w:rPr>
        <w:t>北京师范大学出版社</w:t>
      </w:r>
      <w:r>
        <w:rPr>
          <w:rFonts w:ascii="Times New Roman" w:hAnsi="Times New Roman" w:eastAsia="宋体" w:cs="Times New Roman"/>
          <w:sz w:val="18"/>
          <w:szCs w:val="18"/>
        </w:rPr>
        <w:t>, 2022.</w:t>
      </w:r>
    </w:p>
  </w:footnote>
  <w:footnote w:id="1">
    <w:p w14:paraId="4EB15DB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教育部办公厅</w:t>
      </w:r>
      <w:r>
        <w:rPr>
          <w:rFonts w:ascii="Times New Roman" w:hAnsi="Times New Roman" w:eastAsia="宋体" w:cs="Times New Roman"/>
          <w:sz w:val="18"/>
          <w:szCs w:val="18"/>
        </w:rPr>
        <w:t xml:space="preserve">. </w:t>
      </w:r>
      <w:r>
        <w:rPr>
          <w:rFonts w:ascii="Times New Roman" w:hAnsi="Times New Roman" w:cs="Times New Roman"/>
          <w:sz w:val="18"/>
          <w:szCs w:val="18"/>
        </w:rPr>
        <w:t>基础教育课程教学改革深化行动方案（教材厅函〔</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3</w:t>
      </w:r>
      <w:r>
        <w:rPr>
          <w:rFonts w:ascii="Times New Roman" w:hAnsi="Times New Roman" w:cs="Times New Roman"/>
          <w:sz w:val="18"/>
          <w:szCs w:val="18"/>
        </w:rPr>
        <w:t>号）</w:t>
      </w:r>
      <w:r>
        <w:rPr>
          <w:rFonts w:ascii="Times New Roman" w:hAnsi="Times New Roman" w:eastAsia="宋体" w:cs="Times New Roman"/>
          <w:sz w:val="18"/>
          <w:szCs w:val="18"/>
        </w:rPr>
        <w:t>[EB/OL]. [2026-10-19]. https://www.gov.cn/zhengce/zhengceku/202306/content_6884785.htm.</w:t>
      </w:r>
    </w:p>
  </w:footnote>
  <w:footnote w:id="2">
    <w:p w14:paraId="4429043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中共中央</w:t>
      </w:r>
      <w:r>
        <w:rPr>
          <w:rFonts w:ascii="Times New Roman" w:hAnsi="Times New Roman" w:eastAsia="宋体" w:cs="Times New Roman"/>
          <w:sz w:val="18"/>
          <w:szCs w:val="18"/>
        </w:rPr>
        <w:t xml:space="preserve">, </w:t>
      </w:r>
      <w:r>
        <w:rPr>
          <w:rFonts w:ascii="Times New Roman" w:hAnsi="Times New Roman" w:cs="Times New Roman"/>
          <w:sz w:val="18"/>
          <w:szCs w:val="18"/>
        </w:rPr>
        <w:t>国务院</w:t>
      </w:r>
      <w:r>
        <w:rPr>
          <w:rFonts w:ascii="Times New Roman" w:hAnsi="Times New Roman" w:eastAsia="宋体" w:cs="Times New Roman"/>
          <w:sz w:val="18"/>
          <w:szCs w:val="18"/>
        </w:rPr>
        <w:t xml:space="preserve">. </w:t>
      </w:r>
      <w:r>
        <w:rPr>
          <w:rFonts w:ascii="Times New Roman" w:hAnsi="Times New Roman" w:cs="Times New Roman"/>
          <w:sz w:val="18"/>
          <w:szCs w:val="18"/>
        </w:rPr>
        <w:t>深化新时代教育评价改革总体方案</w:t>
      </w:r>
      <w:r>
        <w:rPr>
          <w:rFonts w:ascii="Times New Roman" w:hAnsi="Times New Roman" w:eastAsia="宋体" w:cs="Times New Roman"/>
          <w:sz w:val="18"/>
          <w:szCs w:val="18"/>
        </w:rPr>
        <w:t>[EB/OL]. (2020-10-13)[2026-10-19]. https://www.gov.cn/zhengce/2020-10/13/content_5551032.htm.</w:t>
      </w:r>
    </w:p>
  </w:footnote>
  <w:footnote w:id="3">
    <w:p w14:paraId="421361F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上海市普通高中课程实施方案</w:t>
      </w:r>
      <w:r>
        <w:rPr>
          <w:rFonts w:ascii="Times New Roman" w:hAnsi="Times New Roman" w:eastAsia="宋体" w:cs="Times New Roman"/>
          <w:sz w:val="18"/>
          <w:szCs w:val="18"/>
        </w:rPr>
        <w:t>[Z]. 2021.</w:t>
      </w:r>
    </w:p>
  </w:footnote>
  <w:footnote w:id="4">
    <w:p w14:paraId="39676805">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杨振峰</w:t>
      </w:r>
      <w:r>
        <w:rPr>
          <w:rFonts w:ascii="Times New Roman" w:hAnsi="Times New Roman" w:eastAsia="宋体" w:cs="Times New Roman"/>
          <w:sz w:val="18"/>
          <w:szCs w:val="18"/>
        </w:rPr>
        <w:t xml:space="preserve">. </w:t>
      </w:r>
      <w:r>
        <w:rPr>
          <w:rFonts w:ascii="Times New Roman" w:hAnsi="Times New Roman" w:cs="Times New Roman"/>
          <w:sz w:val="18"/>
          <w:szCs w:val="18"/>
        </w:rPr>
        <w:t>素养立意的课程建设与教学变革</w:t>
      </w:r>
      <w:r>
        <w:rPr>
          <w:rFonts w:ascii="Times New Roman" w:hAnsi="Times New Roman" w:eastAsia="宋体" w:cs="Times New Roman"/>
          <w:sz w:val="18"/>
          <w:szCs w:val="18"/>
        </w:rPr>
        <w:t>[EB/OL]. (2025-01-14)[2026-10-19]. https://www.eol.cn/news/xueshu/hui/202501/t20250114_2651182.shtml.</w:t>
      </w:r>
    </w:p>
  </w:footnote>
  <w:footnote w:id="5">
    <w:p w14:paraId="0FF506F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24</w:t>
      </w:r>
      <w:r>
        <w:rPr>
          <w:rFonts w:ascii="Times New Roman" w:hAnsi="Times New Roman" w:cs="Times New Roman"/>
          <w:sz w:val="18"/>
          <w:szCs w:val="18"/>
        </w:rPr>
        <w:t>号）</w:t>
      </w:r>
      <w:r>
        <w:rPr>
          <w:rFonts w:ascii="Times New Roman" w:hAnsi="Times New Roman" w:eastAsia="宋体" w:cs="Times New Roman"/>
          <w:sz w:val="18"/>
          <w:szCs w:val="18"/>
        </w:rPr>
        <w:t>[EB/OL]. (2023-09-01)[2026-10-19]. https://edu.sh.gov.cn/xxgk2_zdgz_jcjy_01/20230901/d22c1043024d4d0e9d32b85fd3392186.html.</w:t>
      </w:r>
    </w:p>
  </w:footnote>
  <w:footnote w:id="6">
    <w:p w14:paraId="6BB93F3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上海市初中学业水平考试实施办法（沪教委规〔</w:t>
      </w:r>
      <w:r>
        <w:rPr>
          <w:rFonts w:ascii="Times New Roman" w:hAnsi="Times New Roman" w:eastAsia="宋体" w:cs="Times New Roman"/>
          <w:sz w:val="18"/>
          <w:szCs w:val="18"/>
        </w:rPr>
        <w:t>2019</w:t>
      </w:r>
      <w:r>
        <w:rPr>
          <w:rFonts w:ascii="Times New Roman" w:hAnsi="Times New Roman" w:cs="Times New Roman"/>
          <w:sz w:val="18"/>
          <w:szCs w:val="18"/>
        </w:rPr>
        <w:t>〕</w:t>
      </w:r>
      <w:r>
        <w:rPr>
          <w:rFonts w:ascii="Times New Roman" w:hAnsi="Times New Roman" w:eastAsia="宋体" w:cs="Times New Roman"/>
          <w:sz w:val="18"/>
          <w:szCs w:val="18"/>
        </w:rPr>
        <w:t>2</w:t>
      </w:r>
      <w:r>
        <w:rPr>
          <w:rFonts w:ascii="Times New Roman" w:hAnsi="Times New Roman" w:cs="Times New Roman"/>
          <w:sz w:val="18"/>
          <w:szCs w:val="18"/>
        </w:rPr>
        <w:t>号）</w:t>
      </w:r>
      <w:r>
        <w:rPr>
          <w:rFonts w:ascii="Times New Roman" w:hAnsi="Times New Roman" w:eastAsia="宋体" w:cs="Times New Roman"/>
          <w:sz w:val="18"/>
          <w:szCs w:val="18"/>
        </w:rPr>
        <w:t>[Z]. 2019.</w:t>
      </w:r>
    </w:p>
  </w:footnote>
  <w:footnote w:id="7">
    <w:p w14:paraId="7CA75EA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上海市初中学生综合素质评价实施办法（沪教委规〔</w:t>
      </w:r>
      <w:r>
        <w:rPr>
          <w:rFonts w:ascii="Times New Roman" w:hAnsi="Times New Roman" w:eastAsia="宋体" w:cs="Times New Roman"/>
          <w:sz w:val="18"/>
          <w:szCs w:val="18"/>
        </w:rPr>
        <w:t>2019</w:t>
      </w:r>
      <w:r>
        <w:rPr>
          <w:rFonts w:ascii="Times New Roman" w:hAnsi="Times New Roman" w:cs="Times New Roman"/>
          <w:sz w:val="18"/>
          <w:szCs w:val="18"/>
        </w:rPr>
        <w:t>〕</w:t>
      </w:r>
      <w:r>
        <w:rPr>
          <w:rFonts w:ascii="Times New Roman" w:hAnsi="Times New Roman" w:eastAsia="宋体" w:cs="Times New Roman"/>
          <w:sz w:val="18"/>
          <w:szCs w:val="18"/>
        </w:rPr>
        <w:t>3</w:t>
      </w:r>
      <w:r>
        <w:rPr>
          <w:rFonts w:ascii="Times New Roman" w:hAnsi="Times New Roman" w:cs="Times New Roman"/>
          <w:sz w:val="18"/>
          <w:szCs w:val="18"/>
        </w:rPr>
        <w:t>号）</w:t>
      </w:r>
      <w:r>
        <w:rPr>
          <w:rFonts w:ascii="Times New Roman" w:hAnsi="Times New Roman" w:eastAsia="宋体" w:cs="Times New Roman"/>
          <w:sz w:val="18"/>
          <w:szCs w:val="18"/>
        </w:rPr>
        <w:t>[Z]. 2019.</w:t>
      </w:r>
    </w:p>
  </w:footnote>
  <w:footnote w:id="8">
    <w:p w14:paraId="73E8048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教育部基础教育教学指导委员会</w:t>
      </w:r>
      <w:r>
        <w:rPr>
          <w:rFonts w:ascii="Times New Roman" w:hAnsi="Times New Roman" w:eastAsia="宋体" w:cs="Times New Roman"/>
          <w:sz w:val="18"/>
          <w:szCs w:val="18"/>
        </w:rPr>
        <w:t xml:space="preserve">. </w:t>
      </w:r>
      <w:r>
        <w:rPr>
          <w:rFonts w:ascii="Times New Roman" w:hAnsi="Times New Roman" w:cs="Times New Roman"/>
          <w:sz w:val="18"/>
          <w:szCs w:val="18"/>
        </w:rPr>
        <w:t>中小学生成式人工智能使用指南（</w:t>
      </w:r>
      <w:r>
        <w:rPr>
          <w:rFonts w:ascii="Times New Roman" w:hAnsi="Times New Roman" w:eastAsia="宋体" w:cs="Times New Roman"/>
          <w:sz w:val="18"/>
          <w:szCs w:val="18"/>
        </w:rPr>
        <w:t>2025</w:t>
      </w:r>
      <w:r>
        <w:rPr>
          <w:rFonts w:ascii="Times New Roman" w:hAnsi="Times New Roman" w:cs="Times New Roman"/>
          <w:sz w:val="18"/>
          <w:szCs w:val="18"/>
        </w:rPr>
        <w:t>年版）</w:t>
      </w:r>
      <w:r>
        <w:rPr>
          <w:rFonts w:ascii="Times New Roman" w:hAnsi="Times New Roman" w:eastAsia="宋体" w:cs="Times New Roman"/>
          <w:sz w:val="18"/>
          <w:szCs w:val="18"/>
        </w:rPr>
        <w:t>[EB/OL]. (2025-05-12)[2026-10-19]. https://www.chinanews.com.cn/cj/2025/05-12/10414191.shtml.</w:t>
      </w:r>
    </w:p>
  </w:footnote>
  <w:footnote w:id="9">
    <w:p w14:paraId="791767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0">
    <w:p w14:paraId="158975B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w:t>
      </w:r>
    </w:p>
  </w:footnote>
  <w:footnote w:id="11">
    <w:p w14:paraId="55F06A1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 WU J Y, LEE Y H, CHAI C S, et al. Strengthening human epistemic agency in the symbiotic learning partnership with generative artificial intelligence[J]. Educational Researcher, 2025, 54(6): 358-368. DOI:10.3102/0013189X251333628.</w:t>
      </w:r>
    </w:p>
  </w:footnote>
  <w:footnote w:id="12">
    <w:p w14:paraId="0DC1561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ABRAMI P C, BERNARD R M, BOROKHOVSKI E, et al. Strategies for teaching students to think critically: A meta-analysis[J]. Review of Educational Research, 2015, 85(2): 275-314.</w:t>
      </w:r>
    </w:p>
  </w:footnote>
  <w:footnote w:id="13">
    <w:p w14:paraId="1D89E2F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4">
    <w:p w14:paraId="66873FF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15">
    <w:p w14:paraId="424E85F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The applicability of Visible Learning to higher education[J]. Scholarship of Teaching and Learning in Psychology, 2015, 1(1): 79-91.</w:t>
      </w:r>
    </w:p>
  </w:footnote>
  <w:footnote w:id="16">
    <w:p w14:paraId="69977ED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ANDERSON L W, KRATHWOHL D R. A taxonomy for learning, teaching, and assessing: A revision of Bloom's taxonomy of educational objectives[M]. New York: Longman, 2001.</w:t>
      </w:r>
    </w:p>
  </w:footnote>
  <w:footnote w:id="17">
    <w:p w14:paraId="534AA99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RESNICK L B. Education and learning to think[M]. Washington, DC: National Academy Press, 1987. </w:t>
      </w:r>
      <w:r>
        <w:rPr>
          <w:rFonts w:ascii="Times New Roman" w:hAnsi="Times New Roman" w:cs="Times New Roman"/>
          <w:sz w:val="18"/>
          <w:szCs w:val="18"/>
        </w:rPr>
        <w:t>转引自</w:t>
      </w:r>
      <w:r>
        <w:rPr>
          <w:rFonts w:ascii="Times New Roman" w:hAnsi="Times New Roman" w:eastAsia="宋体" w:cs="Times New Roman"/>
          <w:sz w:val="18"/>
          <w:szCs w:val="18"/>
        </w:rPr>
        <w:t>: ÜNAL E, KAYA M, UZUN A M, et al. A second-order meta-analysis on the effects of artificial intelligence applications on student outcomes[J]. Journal of Educational Computing Research, 2026, 64(5): 1360-1389. DOI:10.1177/07356331261424767.</w:t>
      </w:r>
    </w:p>
  </w:footnote>
  <w:footnote w:id="18">
    <w:p w14:paraId="35CD4DA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FACIONE P A. Critical thinking: A statement of expert consensus for purposes of educational assessment and instruction[R]. Millbrae: California Academic Press, 1990. </w:t>
      </w:r>
      <w:r>
        <w:rPr>
          <w:rFonts w:ascii="Times New Roman" w:hAnsi="Times New Roman" w:cs="Times New Roman"/>
          <w:sz w:val="18"/>
          <w:szCs w:val="18"/>
        </w:rPr>
        <w:t>转引自</w:t>
      </w:r>
      <w:r>
        <w:rPr>
          <w:rFonts w:ascii="Times New Roman" w:hAnsi="Times New Roman" w:eastAsia="宋体" w:cs="Times New Roman"/>
          <w:sz w:val="18"/>
          <w:szCs w:val="18"/>
        </w:rPr>
        <w:t>: HUGHES C. Theory of Knowledge aims, objectives and assessment criteria: An analysis of critical thinking descriptors[J]. Journal of Research in International Education, 2014, 13(1): 30-45. DOI:10.1177/1475240914528084.</w:t>
      </w:r>
    </w:p>
  </w:footnote>
  <w:footnote w:id="19">
    <w:p w14:paraId="1D65203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RUNCO M A, MAMMADOV S, SUI D, et al. Second-order meta-analysis of the creativity research[J/OL]. Creativity Research Journal, 2026. DOI:10.1080/10400419.2026.2644245.</w:t>
      </w:r>
    </w:p>
  </w:footnote>
  <w:footnote w:id="20">
    <w:p w14:paraId="02299FE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21">
    <w:p w14:paraId="0C103D8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马淑风</w:t>
      </w:r>
      <w:r>
        <w:rPr>
          <w:rFonts w:ascii="Times New Roman" w:hAnsi="Times New Roman" w:eastAsia="宋体" w:cs="Times New Roman"/>
          <w:sz w:val="18"/>
          <w:szCs w:val="18"/>
        </w:rPr>
        <w:t xml:space="preserve">, </w:t>
      </w:r>
      <w:r>
        <w:rPr>
          <w:rFonts w:ascii="Times New Roman" w:hAnsi="Times New Roman" w:cs="Times New Roman"/>
          <w:sz w:val="18"/>
          <w:szCs w:val="18"/>
        </w:rPr>
        <w:t>杨向东</w:t>
      </w:r>
      <w:r>
        <w:rPr>
          <w:rFonts w:ascii="Times New Roman" w:hAnsi="Times New Roman" w:eastAsia="宋体" w:cs="Times New Roman"/>
          <w:sz w:val="18"/>
          <w:szCs w:val="18"/>
        </w:rPr>
        <w:t xml:space="preserve">. </w:t>
      </w:r>
      <w:r>
        <w:rPr>
          <w:rFonts w:ascii="Times New Roman" w:hAnsi="Times New Roman" w:cs="Times New Roman"/>
          <w:sz w:val="18"/>
          <w:szCs w:val="18"/>
        </w:rPr>
        <w:t>什么才是高阶思维？——以“新旧知识关系建立”为核心的高阶思维概念框架</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2022, 40(11): 58-68. DOI:10.16382/j.cnki.1000-5560.2022.11.005.</w:t>
      </w:r>
    </w:p>
  </w:footnote>
  <w:footnote w:id="22">
    <w:p w14:paraId="695388E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23">
    <w:p w14:paraId="42DB727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OECD. Beyond academic learning: First results from the Survey of Social and Emotional Skills[R]. Paris: OECD Publishing, 2021.</w:t>
      </w:r>
    </w:p>
  </w:footnote>
  <w:footnote w:id="24">
    <w:p w14:paraId="60A85B5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CASEL. CASEL's SEL framework: What are the core competence areas and where are they promoted?[R]. Chicago: Collaborative for Academic, Social, and Emotional Learning, 2020.</w:t>
      </w:r>
    </w:p>
  </w:footnote>
  <w:footnote w:id="25">
    <w:p w14:paraId="658EB3A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26">
    <w:p w14:paraId="1B045FE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袁振国</w:t>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王纮</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中国青少年社会与情感能力发展水平报告——基于第二轮</w:t>
      </w:r>
      <w:r>
        <w:rPr>
          <w:rFonts w:ascii="Times New Roman" w:hAnsi="Times New Roman" w:eastAsia="宋体" w:cs="Times New Roman"/>
          <w:sz w:val="18"/>
          <w:szCs w:val="18"/>
        </w:rPr>
        <w:t>SSES</w:t>
      </w:r>
      <w:r>
        <w:rPr>
          <w:rFonts w:ascii="Times New Roman" w:hAnsi="Times New Roman" w:cs="Times New Roman"/>
          <w:sz w:val="18"/>
          <w:szCs w:val="18"/>
        </w:rPr>
        <w:t>测评数据</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2024, 42(5): 1-32. DOI:10.16382/j.cnki.1000-5560.2024.05.001.</w:t>
      </w:r>
    </w:p>
  </w:footnote>
  <w:footnote w:id="27">
    <w:p w14:paraId="495966B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王倩</w:t>
      </w:r>
      <w:r>
        <w:rPr>
          <w:rFonts w:ascii="Times New Roman" w:hAnsi="Times New Roman" w:eastAsia="宋体" w:cs="Times New Roman"/>
          <w:sz w:val="18"/>
          <w:szCs w:val="18"/>
        </w:rPr>
        <w:t xml:space="preserve">, </w:t>
      </w:r>
      <w:r>
        <w:rPr>
          <w:rFonts w:ascii="Times New Roman" w:hAnsi="Times New Roman" w:cs="Times New Roman"/>
          <w:sz w:val="18"/>
          <w:szCs w:val="18"/>
        </w:rPr>
        <w:t>陈唤春</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2021, 39(9): 93-108. DOI:10.16382/j.cnki.1000-5560.2021.09.006.</w:t>
      </w:r>
    </w:p>
  </w:footnote>
  <w:footnote w:id="28">
    <w:p w14:paraId="718A84D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29">
    <w:p w14:paraId="4052C10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ABRAMI P C, BERNARD R M, BOROKHOVSKI E, et al. Strategies for teaching students to think critically: A meta-analysis[J]. Review of Educational Research, 2015, 85(2): 275-314.</w:t>
      </w:r>
    </w:p>
  </w:footnote>
  <w:footnote w:id="30">
    <w:p w14:paraId="37AB20D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31">
    <w:p w14:paraId="2DBAED0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32">
    <w:p w14:paraId="7FFE2F4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3">
    <w:p w14:paraId="3579C98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4">
    <w:p w14:paraId="43BA372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BIGGS J. What the student does: Teaching for enhanced learning[J]. Higher Education Research &amp; Development, 1999, 18(1): 57-75. DOI:10.1080/0729436990180105.</w:t>
      </w:r>
    </w:p>
  </w:footnote>
  <w:footnote w:id="35">
    <w:p w14:paraId="2F48313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HUGHES C. Theory of Knowledge aims, objectives and assessment criteria: An analysis of critical thinking descriptors[J]. Journal of Research in International Education, 2014, 13(1): 30-45. DOI:10.1177/1475240914528084.</w:t>
      </w:r>
    </w:p>
  </w:footnote>
  <w:footnote w:id="36">
    <w:p w14:paraId="7C57DB6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7">
    <w:p w14:paraId="4E90ED7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上海市教育委员会</w:t>
      </w:r>
      <w:r>
        <w:rPr>
          <w:rFonts w:ascii="Times New Roman" w:hAnsi="Times New Roman" w:eastAsia="宋体"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hAnsi="Times New Roman" w:eastAsia="宋体" w:cs="Times New Roman"/>
          <w:sz w:val="18"/>
          <w:szCs w:val="18"/>
        </w:rPr>
        <w:t>2023</w:t>
      </w:r>
      <w:r>
        <w:rPr>
          <w:rFonts w:ascii="Times New Roman" w:hAnsi="Times New Roman" w:cs="Times New Roman"/>
          <w:sz w:val="18"/>
          <w:szCs w:val="18"/>
        </w:rPr>
        <w:t>〕</w:t>
      </w:r>
      <w:r>
        <w:rPr>
          <w:rFonts w:ascii="Times New Roman" w:hAnsi="Times New Roman" w:eastAsia="宋体" w:cs="Times New Roman"/>
          <w:sz w:val="18"/>
          <w:szCs w:val="18"/>
        </w:rPr>
        <w:t>24</w:t>
      </w:r>
      <w:r>
        <w:rPr>
          <w:rFonts w:ascii="Times New Roman" w:hAnsi="Times New Roman" w:cs="Times New Roman"/>
          <w:sz w:val="18"/>
          <w:szCs w:val="18"/>
        </w:rPr>
        <w:t>号）</w:t>
      </w:r>
      <w:r>
        <w:rPr>
          <w:rFonts w:ascii="Times New Roman" w:hAnsi="Times New Roman" w:eastAsia="宋体" w:cs="Times New Roman"/>
          <w:sz w:val="18"/>
          <w:szCs w:val="18"/>
        </w:rPr>
        <w:t>[EB/OL]. (2023-09-01)[2026-10-19]. https://edu.sh.gov.cn/xxgk2_zdgz_jcjy_01/20230901/d22c1043024d4d0e9d32b85fd3392186.html.</w:t>
      </w:r>
    </w:p>
  </w:footnote>
  <w:footnote w:id="38">
    <w:p w14:paraId="0DF375C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KUHN D, CHENEY R, WEINSTOCK M. The development of epistemological understanding[J]. Cognitive Development, 2000, 15(3): 309-328.</w:t>
      </w:r>
    </w:p>
  </w:footnote>
  <w:footnote w:id="39">
    <w:p w14:paraId="185B171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ZEMPLÉN G Á. Conflicting agendas: Critical thinking versus science education in the International Baccalaureate Theory of Knowledge course[J]. Science &amp; Education, 2007, 16: 167-196.</w:t>
      </w:r>
    </w:p>
  </w:footnote>
  <w:footnote w:id="40">
    <w:p w14:paraId="6BBF939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L, ROGERS L. Teaching the Theory of Knowledge course in IB World Schools[R]. La Crosse: University of Wisconsin-La Crosse, 2015.</w:t>
      </w:r>
    </w:p>
  </w:footnote>
  <w:footnote w:id="41">
    <w:p w14:paraId="5F31AFB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42">
    <w:p w14:paraId="7DFE84B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BIGGS J. What the student does: Teaching for enhanced learning[J]. Higher Education Research &amp; Development, 1999, 18(1): 57-75. DOI:10.1080/0729436990180105.</w:t>
      </w:r>
    </w:p>
  </w:footnote>
  <w:footnote w:id="43">
    <w:p w14:paraId="76EDF46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44">
    <w:p w14:paraId="14EC395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45">
    <w:p w14:paraId="4B70AF9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46">
    <w:p w14:paraId="60A942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47">
    <w:p w14:paraId="08217A9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w:t>
      </w:r>
    </w:p>
  </w:footnote>
  <w:footnote w:id="48">
    <w:p w14:paraId="5C4A814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WU J Y, LEE Y H, CHAI C S, et al. Strengthening human epistemic agency in the symbiotic learning partnership with generative artificial intelligence[J]. Educational Researcher, 2025, 54(6): 358-368. DOI:10.3102/0013189X251333628.</w:t>
      </w:r>
    </w:p>
  </w:footnote>
  <w:footnote w:id="49">
    <w:p w14:paraId="55FCB47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LIU J, MBOWE A E, TAHRI D, et al. Meta-analysis on the influence of AI agents on K-12 student cognitive performance[J]. Computers in Human Behavior Reports, 2026, 21: 100973. DOI:10.1016/j.chbr.2026.100973.</w:t>
      </w:r>
    </w:p>
  </w:footnote>
  <w:footnote w:id="50">
    <w:p w14:paraId="416A650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DU Y, YUAN Y. Epistemic dependence in AI-mediated learning[J/OL]. AI &amp; Society, 2026. DOI:10.1007/s00146-026-03294-1.</w:t>
      </w:r>
    </w:p>
  </w:footnote>
  <w:footnote w:id="51">
    <w:p w14:paraId="67B937C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HIGGINS S. Meta-synthesis and comparative meta-analysis of education research findings: Some risks and benefits[J]. Review of Education, 2016, 4(1): 31-53.</w:t>
      </w:r>
    </w:p>
  </w:footnote>
  <w:footnote w:id="52">
    <w:p w14:paraId="30A5A39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3">
    <w:p w14:paraId="2819CB3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寻求教学的“圣杯”：论哈蒂《可见的学习》及教育学的实证倾向</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2015, 35(6): 1-9.</w:t>
      </w:r>
    </w:p>
  </w:footnote>
  <w:footnote w:id="54">
    <w:p w14:paraId="715DAAE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重新评估学校成功学习的条件</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29-31.</w:t>
      </w:r>
    </w:p>
  </w:footnote>
  <w:footnote w:id="55">
    <w:p w14:paraId="2901FF6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哪些因素对学业成就的影响最大：基于对“哈蒂排名”和</w:t>
      </w:r>
      <w:r>
        <w:rPr>
          <w:rFonts w:ascii="Times New Roman" w:hAnsi="Times New Roman" w:eastAsia="宋体" w:cs="Times New Roman"/>
          <w:sz w:val="18"/>
          <w:szCs w:val="18"/>
        </w:rPr>
        <w:t>PISA-TALIS</w:t>
      </w:r>
      <w:r>
        <w:rPr>
          <w:rFonts w:ascii="Times New Roman" w:hAnsi="Times New Roman" w:cs="Times New Roman"/>
          <w:sz w:val="18"/>
          <w:szCs w:val="18"/>
        </w:rPr>
        <w:t>的分析</w:t>
      </w:r>
      <w:r>
        <w:rPr>
          <w:rFonts w:ascii="Times New Roman" w:hAnsi="Times New Roman" w:eastAsia="宋体" w:cs="Times New Roman"/>
          <w:sz w:val="18"/>
          <w:szCs w:val="18"/>
        </w:rPr>
        <w:t xml:space="preserve">[J]. </w:t>
      </w:r>
      <w:r>
        <w:rPr>
          <w:rFonts w:ascii="Times New Roman" w:hAnsi="Times New Roman" w:cs="Times New Roman"/>
          <w:sz w:val="18"/>
          <w:szCs w:val="18"/>
        </w:rPr>
        <w:t>外国教育研究</w:t>
      </w:r>
      <w:r>
        <w:rPr>
          <w:rFonts w:ascii="Times New Roman" w:hAnsi="Times New Roman" w:eastAsia="宋体" w:cs="Times New Roman"/>
          <w:sz w:val="18"/>
          <w:szCs w:val="18"/>
        </w:rPr>
        <w:t>, 2023, 50(7): 58-82.</w:t>
      </w:r>
    </w:p>
  </w:footnote>
  <w:footnote w:id="56">
    <w:p w14:paraId="1CD21CB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可见的学习：从理论探索到实践创新</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26-28.</w:t>
      </w:r>
    </w:p>
  </w:footnote>
  <w:footnote w:id="57">
    <w:p w14:paraId="3421A24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张诗琪</w:t>
      </w:r>
      <w:r>
        <w:rPr>
          <w:rFonts w:ascii="Times New Roman" w:hAnsi="Times New Roman" w:eastAsia="宋体" w:cs="Times New Roman"/>
          <w:sz w:val="18"/>
          <w:szCs w:val="18"/>
        </w:rPr>
        <w:t xml:space="preserve">. </w:t>
      </w:r>
      <w:r>
        <w:rPr>
          <w:rFonts w:ascii="Times New Roman" w:hAnsi="Times New Roman" w:cs="Times New Roman"/>
          <w:sz w:val="18"/>
          <w:szCs w:val="18"/>
        </w:rPr>
        <w:t>学习的九个基本原则</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34-35.</w:t>
      </w:r>
    </w:p>
  </w:footnote>
  <w:footnote w:id="58">
    <w:p w14:paraId="7A73B2A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学习科学证明了什么：哈蒂“可见的学习”的视角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2025, 45(8): 39-50.</w:t>
      </w:r>
    </w:p>
  </w:footnote>
  <w:footnote w:id="59">
    <w:p w14:paraId="4D7978B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14-17.</w:t>
      </w:r>
    </w:p>
  </w:footnote>
  <w:footnote w:id="60">
    <w:p w14:paraId="1BF8AAC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61">
    <w:p w14:paraId="59166CD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TIMPERLEY H. The power of feedback[J]. Review of Educational Research, 2007, 77(1): 81-112.</w:t>
      </w:r>
    </w:p>
  </w:footnote>
  <w:footnote w:id="62">
    <w:p w14:paraId="7282F86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FREDENS K. Synlig læring og læringens anatomi[J]. Paideia, 2015(9): 70-75.</w:t>
      </w:r>
    </w:p>
  </w:footnote>
  <w:footnote w:id="63">
    <w:p w14:paraId="0DDAFD9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KNUDSEN H. John Hattie: I'm a statistician, I'm not a theoretician[J]. Nordic Journal of Studies in Educational Policy, 2017, 3(3): 253-261.</w:t>
      </w:r>
    </w:p>
  </w:footnote>
  <w:footnote w:id="64">
    <w:p w14:paraId="7BEB81E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CARLESS D, BOUD D. The development of student feedback literacy: Enabling uptake of feedback[J]. Assessment &amp; Evaluation in Higher Education, 2018, 43(8): 1315-1325. </w:t>
      </w:r>
      <w:r>
        <w:rPr>
          <w:rFonts w:ascii="Times New Roman" w:hAnsi="Times New Roman" w:cs="Times New Roman"/>
          <w:sz w:val="18"/>
          <w:szCs w:val="18"/>
        </w:rPr>
        <w:t>转引自</w:t>
      </w:r>
      <w:r>
        <w:rPr>
          <w:rFonts w:ascii="Times New Roman" w:hAnsi="Times New Roman" w:eastAsia="宋体" w:cs="Times New Roman"/>
          <w:sz w:val="18"/>
          <w:szCs w:val="18"/>
        </w:rPr>
        <w:t>: DU Y, YUAN Y. Epistemic dependence in AI-mediated learning[J/OL]. AI &amp; Society, 2026. DOI:10.1007/s00146-026-03294-1.</w:t>
      </w:r>
    </w:p>
  </w:footnote>
  <w:footnote w:id="65">
    <w:p w14:paraId="2ED74E4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迈向更有效的反馈：哈蒂“可见的学习”的模式</w:t>
      </w:r>
      <w:r>
        <w:rPr>
          <w:rFonts w:ascii="Times New Roman" w:hAnsi="Times New Roman" w:eastAsia="宋体" w:cs="Times New Roman"/>
          <w:sz w:val="18"/>
          <w:szCs w:val="18"/>
        </w:rPr>
        <w:t xml:space="preserve">[J]. </w:t>
      </w:r>
      <w:r>
        <w:rPr>
          <w:rFonts w:ascii="Times New Roman" w:hAnsi="Times New Roman" w:cs="Times New Roman"/>
          <w:sz w:val="18"/>
          <w:szCs w:val="18"/>
        </w:rPr>
        <w:t>开放教育研究</w:t>
      </w:r>
      <w:r>
        <w:rPr>
          <w:rFonts w:ascii="Times New Roman" w:hAnsi="Times New Roman" w:eastAsia="宋体" w:cs="Times New Roman"/>
          <w:sz w:val="18"/>
          <w:szCs w:val="18"/>
        </w:rPr>
        <w:t>, 2021, 27(4): 27-40.</w:t>
      </w:r>
    </w:p>
  </w:footnote>
  <w:footnote w:id="66">
    <w:p w14:paraId="3EE7D6F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李茂森</w:t>
      </w:r>
      <w:r>
        <w:rPr>
          <w:rFonts w:ascii="Times New Roman" w:hAnsi="Times New Roman" w:eastAsia="宋体" w:cs="Times New Roman"/>
          <w:sz w:val="18"/>
          <w:szCs w:val="18"/>
        </w:rPr>
        <w:t xml:space="preserve">, </w:t>
      </w:r>
      <w:r>
        <w:rPr>
          <w:rFonts w:ascii="Times New Roman" w:hAnsi="Times New Roman" w:cs="Times New Roman"/>
          <w:sz w:val="18"/>
          <w:szCs w:val="18"/>
        </w:rPr>
        <w:t>祝蕾蕾</w:t>
      </w:r>
      <w:r>
        <w:rPr>
          <w:rFonts w:ascii="Times New Roman" w:hAnsi="Times New Roman" w:eastAsia="宋体" w:cs="Times New Roman"/>
          <w:sz w:val="18"/>
          <w:szCs w:val="18"/>
        </w:rPr>
        <w:t xml:space="preserve">. </w:t>
      </w:r>
      <w:r>
        <w:rPr>
          <w:rFonts w:ascii="Times New Roman" w:hAnsi="Times New Roman" w:cs="Times New Roman"/>
          <w:sz w:val="18"/>
          <w:szCs w:val="18"/>
        </w:rPr>
        <w:t>中小学课堂教学反馈的现实困境与改进路径：基于哈蒂“可见的学习”的视角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2022, 42(20): 77-84.</w:t>
      </w:r>
    </w:p>
  </w:footnote>
  <w:footnote w:id="67">
    <w:p w14:paraId="0B3C0EA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温英贝</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有效反馈的艺术</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38-39.</w:t>
      </w:r>
    </w:p>
  </w:footnote>
  <w:footnote w:id="68">
    <w:p w14:paraId="25FB2ED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陈丽莎</w:t>
      </w:r>
      <w:r>
        <w:rPr>
          <w:rFonts w:ascii="Times New Roman" w:hAnsi="Times New Roman" w:eastAsia="宋体" w:cs="Times New Roman"/>
          <w:sz w:val="18"/>
          <w:szCs w:val="18"/>
        </w:rPr>
        <w:t xml:space="preserve">, </w:t>
      </w:r>
      <w:r>
        <w:rPr>
          <w:rFonts w:ascii="Times New Roman" w:hAnsi="Times New Roman" w:cs="Times New Roman"/>
          <w:sz w:val="18"/>
          <w:szCs w:val="18"/>
        </w:rPr>
        <w:t>翁绮睿</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成为自己的教师：“可见的学习”视野下的学生自评能力研究</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2023, 43(22): 38-54.</w:t>
      </w:r>
    </w:p>
  </w:footnote>
  <w:footnote w:id="69">
    <w:p w14:paraId="7E323E7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高嘉诚</w:t>
      </w:r>
      <w:r>
        <w:rPr>
          <w:rFonts w:ascii="Times New Roman" w:hAnsi="Times New Roman" w:eastAsia="宋体" w:cs="Times New Roman"/>
          <w:sz w:val="18"/>
          <w:szCs w:val="18"/>
        </w:rPr>
        <w:t xml:space="preserve">, </w:t>
      </w:r>
      <w:r>
        <w:rPr>
          <w:rFonts w:ascii="Times New Roman" w:hAnsi="Times New Roman" w:cs="Times New Roman"/>
          <w:sz w:val="18"/>
          <w:szCs w:val="18"/>
        </w:rPr>
        <w:t>梁锦芳</w:t>
      </w:r>
      <w:r>
        <w:rPr>
          <w:rFonts w:ascii="Times New Roman" w:hAnsi="Times New Roman" w:eastAsia="宋体" w:cs="Times New Roman"/>
          <w:sz w:val="18"/>
          <w:szCs w:val="18"/>
        </w:rPr>
        <w:t>. “</w:t>
      </w:r>
      <w:r>
        <w:rPr>
          <w:rFonts w:ascii="Times New Roman" w:hAnsi="Times New Roman" w:cs="Times New Roman"/>
          <w:sz w:val="18"/>
          <w:szCs w:val="18"/>
        </w:rPr>
        <w:t>可见的学习”视域下学生自评力培养的实践</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52-53.</w:t>
      </w:r>
    </w:p>
  </w:footnote>
  <w:footnote w:id="70">
    <w:p w14:paraId="1F06A3B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HATTIE J. The applicability of Visible Learning to higher education[J]. Scholarship of Teaching and Learning in Psychology, 2015, 1(1): 79-91.</w:t>
      </w:r>
    </w:p>
  </w:footnote>
  <w:footnote w:id="71">
    <w:p w14:paraId="5EBDF90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施芳婷</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卓越教师的</w:t>
      </w:r>
      <w:r>
        <w:rPr>
          <w:rFonts w:ascii="Times New Roman" w:hAnsi="Times New Roman" w:eastAsia="宋体" w:cs="Times New Roman"/>
          <w:sz w:val="18"/>
          <w:szCs w:val="18"/>
        </w:rPr>
        <w:t>10</w:t>
      </w:r>
      <w:r>
        <w:rPr>
          <w:rFonts w:ascii="Times New Roman" w:hAnsi="Times New Roman" w:cs="Times New Roman"/>
          <w:sz w:val="18"/>
          <w:szCs w:val="18"/>
        </w:rPr>
        <w:t>个心智框架：《可见的学习》与《学记》的比较</w:t>
      </w:r>
      <w:r>
        <w:rPr>
          <w:rFonts w:ascii="Times New Roman" w:hAnsi="Times New Roman" w:eastAsia="宋体" w:cs="Times New Roman"/>
          <w:sz w:val="18"/>
          <w:szCs w:val="18"/>
        </w:rPr>
        <w:t xml:space="preserve">[J]. </w:t>
      </w:r>
      <w:r>
        <w:rPr>
          <w:rFonts w:ascii="Times New Roman" w:hAnsi="Times New Roman" w:cs="Times New Roman"/>
          <w:sz w:val="18"/>
          <w:szCs w:val="18"/>
        </w:rPr>
        <w:t>湖南师范大学教育科学学报</w:t>
      </w:r>
      <w:r>
        <w:rPr>
          <w:rFonts w:ascii="Times New Roman" w:hAnsi="Times New Roman" w:eastAsia="宋体" w:cs="Times New Roman"/>
          <w:sz w:val="18"/>
          <w:szCs w:val="18"/>
        </w:rPr>
        <w:t>, 2022, 21(5): 23-31.</w:t>
      </w:r>
    </w:p>
  </w:footnote>
  <w:footnote w:id="72">
    <w:p w14:paraId="7FF0A2F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林心悦</w:t>
      </w:r>
      <w:r>
        <w:rPr>
          <w:rFonts w:ascii="Times New Roman" w:hAnsi="Times New Roman" w:eastAsia="宋体" w:cs="Times New Roman"/>
          <w:sz w:val="18"/>
          <w:szCs w:val="18"/>
        </w:rPr>
        <w:t xml:space="preserve">. </w:t>
      </w:r>
      <w:r>
        <w:rPr>
          <w:rFonts w:ascii="Times New Roman" w:hAnsi="Times New Roman" w:cs="Times New Roman"/>
          <w:sz w:val="18"/>
          <w:szCs w:val="18"/>
        </w:rPr>
        <w:t>卓越教师的三个形象与十个心智框架</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46-47.</w:t>
      </w:r>
    </w:p>
  </w:footnote>
  <w:footnote w:id="73">
    <w:p w14:paraId="5BD4C9C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高妍</w:t>
      </w:r>
      <w:r>
        <w:rPr>
          <w:rFonts w:ascii="Times New Roman" w:hAnsi="Times New Roman" w:eastAsia="宋体" w:cs="Times New Roman"/>
          <w:sz w:val="18"/>
          <w:szCs w:val="18"/>
        </w:rPr>
        <w:t xml:space="preserve">, </w:t>
      </w:r>
      <w:r>
        <w:rPr>
          <w:rFonts w:ascii="Times New Roman" w:hAnsi="Times New Roman" w:cs="Times New Roman"/>
          <w:sz w:val="18"/>
          <w:szCs w:val="18"/>
        </w:rPr>
        <w:t>缪秋英</w:t>
      </w:r>
      <w:r>
        <w:rPr>
          <w:rFonts w:ascii="Times New Roman" w:hAnsi="Times New Roman" w:eastAsia="宋体" w:cs="Times New Roman"/>
          <w:sz w:val="18"/>
          <w:szCs w:val="18"/>
        </w:rPr>
        <w:t xml:space="preserve">, </w:t>
      </w:r>
      <w:r>
        <w:rPr>
          <w:rFonts w:ascii="Times New Roman" w:hAnsi="Times New Roman" w:cs="Times New Roman"/>
          <w:sz w:val="18"/>
          <w:szCs w:val="18"/>
        </w:rPr>
        <w:t>邓莉</w:t>
      </w:r>
      <w:r>
        <w:rPr>
          <w:rFonts w:ascii="Times New Roman" w:hAnsi="Times New Roman" w:eastAsia="宋体" w:cs="Times New Roman"/>
          <w:sz w:val="18"/>
          <w:szCs w:val="18"/>
        </w:rPr>
        <w:t>. DIIE</w:t>
      </w:r>
      <w:r>
        <w:rPr>
          <w:rFonts w:ascii="Times New Roman" w:hAnsi="Times New Roman" w:cs="Times New Roman"/>
          <w:sz w:val="18"/>
          <w:szCs w:val="18"/>
        </w:rPr>
        <w:t>模式：一种教师可以共享的教学语言</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40-41.</w:t>
      </w:r>
    </w:p>
  </w:footnote>
  <w:footnote w:id="74">
    <w:p w14:paraId="568EE92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NORDAHL T. Visible Learning som grunnlag for evidens og forbedringsarbeid i utdanningssystemet[J]. Paideia, 2015(9): 61-69.</w:t>
      </w:r>
    </w:p>
  </w:footnote>
  <w:footnote w:id="75">
    <w:p w14:paraId="08E5D8A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6">
    <w:p w14:paraId="5236084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77">
    <w:p w14:paraId="75627DA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EDOVALD T, NEVILL C. Working out what works: The case of the Education Endowment Foundation in England[J]. ECNU Review of Education, 2021, 4(1): 46-64.</w:t>
      </w:r>
    </w:p>
  </w:footnote>
  <w:footnote w:id="78">
    <w:p w14:paraId="46F4F2C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9">
    <w:p w14:paraId="7A7946F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陈添</w:t>
      </w:r>
      <w:r>
        <w:rPr>
          <w:rFonts w:ascii="Times New Roman" w:hAnsi="Times New Roman" w:eastAsia="宋体" w:cs="Times New Roman"/>
          <w:sz w:val="18"/>
          <w:szCs w:val="18"/>
        </w:rPr>
        <w:t xml:space="preserve">. </w:t>
      </w:r>
      <w:r>
        <w:rPr>
          <w:rFonts w:ascii="Times New Roman" w:hAnsi="Times New Roman" w:cs="Times New Roman"/>
          <w:sz w:val="18"/>
          <w:szCs w:val="18"/>
        </w:rPr>
        <w:t>认识你的领导力：以可见的学习重塑教育变革</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48-49.</w:t>
      </w:r>
    </w:p>
  </w:footnote>
  <w:footnote w:id="80">
    <w:p w14:paraId="6BC46FF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陈丽莎</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唤醒家庭的力量</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50-51.</w:t>
      </w:r>
    </w:p>
  </w:footnote>
  <w:footnote w:id="81">
    <w:p w14:paraId="3F20C36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石修银</w:t>
      </w:r>
      <w:r>
        <w:rPr>
          <w:rFonts w:ascii="Times New Roman" w:hAnsi="Times New Roman" w:eastAsia="宋体" w:cs="Times New Roman"/>
          <w:sz w:val="18"/>
          <w:szCs w:val="18"/>
        </w:rPr>
        <w:t xml:space="preserve">. </w:t>
      </w:r>
      <w:r>
        <w:rPr>
          <w:rFonts w:ascii="Times New Roman" w:hAnsi="Times New Roman" w:cs="Times New Roman"/>
          <w:sz w:val="18"/>
          <w:szCs w:val="18"/>
        </w:rPr>
        <w:t>基于“可见的学习”理论的语文教学设计、过程及评价</w:t>
      </w:r>
      <w:r>
        <w:rPr>
          <w:rFonts w:ascii="Times New Roman" w:hAnsi="Times New Roman" w:eastAsia="宋体" w:cs="Times New Roman"/>
          <w:sz w:val="18"/>
          <w:szCs w:val="18"/>
        </w:rPr>
        <w:t xml:space="preserve">[J]. </w:t>
      </w:r>
      <w:r>
        <w:rPr>
          <w:rFonts w:ascii="Times New Roman" w:hAnsi="Times New Roman" w:cs="Times New Roman"/>
          <w:sz w:val="18"/>
          <w:szCs w:val="18"/>
        </w:rPr>
        <w:t>课程</w:t>
      </w:r>
      <w:r>
        <w:rPr>
          <w:rFonts w:ascii="Times New Roman" w:hAnsi="Times New Roman" w:eastAsia="宋体" w:cs="Times New Roman"/>
          <w:sz w:val="18"/>
          <w:szCs w:val="18"/>
        </w:rPr>
        <w:t>·</w:t>
      </w:r>
      <w:r>
        <w:rPr>
          <w:rFonts w:ascii="Times New Roman" w:hAnsi="Times New Roman" w:cs="Times New Roman"/>
          <w:sz w:val="18"/>
          <w:szCs w:val="18"/>
        </w:rPr>
        <w:t>教材</w:t>
      </w:r>
      <w:r>
        <w:rPr>
          <w:rFonts w:ascii="Times New Roman" w:hAnsi="Times New Roman" w:eastAsia="宋体" w:cs="Times New Roman"/>
          <w:sz w:val="18"/>
          <w:szCs w:val="18"/>
        </w:rPr>
        <w:t>·</w:t>
      </w:r>
      <w:r>
        <w:rPr>
          <w:rFonts w:ascii="Times New Roman" w:hAnsi="Times New Roman" w:cs="Times New Roman"/>
          <w:sz w:val="18"/>
          <w:szCs w:val="18"/>
        </w:rPr>
        <w:t>教法</w:t>
      </w:r>
      <w:r>
        <w:rPr>
          <w:rFonts w:ascii="Times New Roman" w:hAnsi="Times New Roman" w:eastAsia="宋体" w:cs="Times New Roman"/>
          <w:sz w:val="18"/>
          <w:szCs w:val="18"/>
        </w:rPr>
        <w:t>, 2021, 41(8): 83-89.</w:t>
      </w:r>
    </w:p>
  </w:footnote>
  <w:footnote w:id="82">
    <w:p w14:paraId="7A55E62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邱惠芬</w:t>
      </w:r>
      <w:r>
        <w:rPr>
          <w:rFonts w:ascii="Times New Roman" w:hAnsi="Times New Roman" w:eastAsia="宋体" w:cs="Times New Roman"/>
          <w:sz w:val="18"/>
          <w:szCs w:val="18"/>
        </w:rPr>
        <w:t>. “</w:t>
      </w:r>
      <w:r>
        <w:rPr>
          <w:rFonts w:ascii="Times New Roman" w:hAnsi="Times New Roman" w:cs="Times New Roman"/>
          <w:sz w:val="18"/>
          <w:szCs w:val="18"/>
        </w:rPr>
        <w:t>可见的学习”视域下初中化学学科实践学习分析框架的建构</w:t>
      </w:r>
      <w:r>
        <w:rPr>
          <w:rFonts w:ascii="Times New Roman" w:hAnsi="Times New Roman" w:eastAsia="宋体" w:cs="Times New Roman"/>
          <w:sz w:val="18"/>
          <w:szCs w:val="18"/>
        </w:rPr>
        <w:t xml:space="preserve">[J]. </w:t>
      </w:r>
      <w:r>
        <w:rPr>
          <w:rFonts w:ascii="Times New Roman" w:hAnsi="Times New Roman" w:cs="Times New Roman"/>
          <w:sz w:val="18"/>
          <w:szCs w:val="18"/>
        </w:rPr>
        <w:t>化学教学</w:t>
      </w:r>
      <w:r>
        <w:rPr>
          <w:rFonts w:ascii="Times New Roman" w:hAnsi="Times New Roman" w:eastAsia="宋体" w:cs="Times New Roman"/>
          <w:sz w:val="18"/>
          <w:szCs w:val="18"/>
        </w:rPr>
        <w:t>, 2024(2): 27-33.</w:t>
      </w:r>
    </w:p>
  </w:footnote>
  <w:footnote w:id="83">
    <w:p w14:paraId="13942AE2">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马梓越</w:t>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可见的学习与学科教学应用</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42-43.</w:t>
      </w:r>
    </w:p>
  </w:footnote>
  <w:footnote w:id="84">
    <w:p w14:paraId="70955FE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何光友</w:t>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可见的学习视角下的项目化设计</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44-45.</w:t>
      </w:r>
    </w:p>
  </w:footnote>
  <w:footnote w:id="85">
    <w:p w14:paraId="42B1085C">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基于“可见的学习”，探索学生高阶能力培养</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54-55.</w:t>
      </w:r>
    </w:p>
  </w:footnote>
  <w:footnote w:id="86">
    <w:p w14:paraId="1976EC6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87">
    <w:p w14:paraId="261954B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WECKER C, VOGEL F, HETMANEK A. Visionär und imposant – aber auch belastbar? Eine Kritik der Methodik von Hatties Visible Learning[J]. Zeitschrift für Erziehungswissenschaft, 2016, 20: 21-40. DOI:10.1007/s11618-016-0696-0.</w:t>
      </w:r>
    </w:p>
  </w:footnote>
  <w:footnote w:id="88">
    <w:p w14:paraId="4CF13A3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89">
    <w:p w14:paraId="48E4B38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TERHART E. Has John Hattie really found the holy grail of research on teaching? An extended review of Visible Learning[J]. Journal of Curriculum Studies, 2011, 43(3): 425-438.</w:t>
      </w:r>
    </w:p>
  </w:footnote>
  <w:footnote w:id="90">
    <w:p w14:paraId="43D87AA8">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NIELSEN K, KLITMØLLER J. Blind spots in visible learning: A critique of John Hattie as an educational theorist[J]. Nordic Psychology, 2021.</w:t>
      </w:r>
    </w:p>
  </w:footnote>
  <w:footnote w:id="91">
    <w:p w14:paraId="12EFF92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QVORTRUP L. Baggrund for og diskussioner af Visible Learning med særligt henblik på lærings- og vidensbegrebet[J]. Paideia, 2015(9): 22-33.</w:t>
      </w:r>
    </w:p>
  </w:footnote>
  <w:footnote w:id="92">
    <w:p w14:paraId="33C301A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EACOTT S. Ranting, raving and complaining: Reflections on working against orthodoxy[J]. International Journal of Leadership in Education, 2019, 22(6): 774-782.</w:t>
      </w:r>
    </w:p>
  </w:footnote>
  <w:footnote w:id="93">
    <w:p w14:paraId="38717B1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GOLOVCHIN M A. What kind of teacher does the 'school of the future' need? Possibility of using John Hattie's approach in Russian education[J]. Economic and Social Changes: Facts, Trends, Forecast, 2019, 12(5): 229-242.</w:t>
      </w:r>
    </w:p>
  </w:footnote>
  <w:footnote w:id="94">
    <w:p w14:paraId="2F1E44A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KELLY P, BECK A, HOFBAUER S. Comparing school leaders' experiences of research use in England, Scotland and Germany[J]. Review of Education, 2025, 13(1): e70058. DOI:10.1002/rev3.70058.</w:t>
      </w:r>
    </w:p>
  </w:footnote>
  <w:footnote w:id="95">
    <w:p w14:paraId="3B456F1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可见的学习：未完成的故事</w:t>
      </w:r>
      <w:r>
        <w:rPr>
          <w:rFonts w:ascii="Times New Roman" w:hAnsi="Times New Roman" w:eastAsia="宋体" w:cs="Times New Roman"/>
          <w:sz w:val="18"/>
          <w:szCs w:val="18"/>
        </w:rPr>
        <w:t xml:space="preserve">[J]. </w:t>
      </w:r>
      <w:r>
        <w:rPr>
          <w:rFonts w:ascii="Times New Roman" w:hAnsi="Times New Roman" w:cs="Times New Roman"/>
          <w:sz w:val="18"/>
          <w:szCs w:val="18"/>
        </w:rPr>
        <w:t>基础教育</w:t>
      </w:r>
      <w:r>
        <w:rPr>
          <w:rFonts w:ascii="Times New Roman" w:hAnsi="Times New Roman" w:eastAsia="宋体" w:cs="Times New Roman"/>
          <w:sz w:val="18"/>
          <w:szCs w:val="18"/>
        </w:rPr>
        <w:t>, 2015, 12(5): 107-112.</w:t>
      </w:r>
    </w:p>
  </w:footnote>
  <w:footnote w:id="96">
    <w:p w14:paraId="1FE418D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寻求教学的“圣杯”：论哈蒂《可见的学习》及教育学的实证倾向</w:t>
      </w:r>
      <w:r>
        <w:rPr>
          <w:rFonts w:ascii="Times New Roman" w:hAnsi="Times New Roman" w:eastAsia="宋体" w:cs="Times New Roman"/>
          <w:sz w:val="18"/>
          <w:szCs w:val="18"/>
        </w:rPr>
        <w:t xml:space="preserve">[J]. </w:t>
      </w:r>
      <w:r>
        <w:rPr>
          <w:rFonts w:ascii="Times New Roman" w:hAnsi="Times New Roman" w:cs="Times New Roman"/>
          <w:sz w:val="18"/>
          <w:szCs w:val="18"/>
        </w:rPr>
        <w:t>教育发展研究</w:t>
      </w:r>
      <w:r>
        <w:rPr>
          <w:rFonts w:ascii="Times New Roman" w:hAnsi="Times New Roman" w:eastAsia="宋体" w:cs="Times New Roman"/>
          <w:sz w:val="18"/>
          <w:szCs w:val="18"/>
        </w:rPr>
        <w:t>, 2015, 35(6): 1-9.</w:t>
      </w:r>
    </w:p>
  </w:footnote>
  <w:footnote w:id="97">
    <w:p w14:paraId="56836C6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教育知识的全球迁移与重构：以“可见的学习”为例</w:t>
      </w:r>
      <w:r>
        <w:rPr>
          <w:rFonts w:ascii="Times New Roman" w:hAnsi="Times New Roman" w:eastAsia="宋体" w:cs="Times New Roman"/>
          <w:sz w:val="18"/>
          <w:szCs w:val="18"/>
        </w:rPr>
        <w:t xml:space="preserve">[J]. </w:t>
      </w:r>
      <w:r>
        <w:rPr>
          <w:rFonts w:ascii="Times New Roman" w:hAnsi="Times New Roman" w:cs="Times New Roman"/>
          <w:sz w:val="18"/>
          <w:szCs w:val="18"/>
        </w:rPr>
        <w:t>比较教育研究</w:t>
      </w:r>
      <w:r>
        <w:rPr>
          <w:rFonts w:ascii="Times New Roman" w:hAnsi="Times New Roman" w:eastAsia="宋体" w:cs="Times New Roman"/>
          <w:sz w:val="18"/>
          <w:szCs w:val="18"/>
        </w:rPr>
        <w:t>, 2026, 48(3): 92-101.</w:t>
      </w:r>
    </w:p>
  </w:footnote>
  <w:footnote w:id="98">
    <w:p w14:paraId="0468B7BB">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可见的学习的全球迁移</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32-33.</w:t>
      </w:r>
    </w:p>
  </w:footnote>
  <w:footnote w:id="99">
    <w:p w14:paraId="6AD8DA8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彭正梅</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邓莉</w:t>
      </w:r>
      <w:r>
        <w:rPr>
          <w:rFonts w:ascii="Times New Roman" w:hAnsi="Times New Roman" w:eastAsia="宋体" w:cs="Times New Roman"/>
          <w:sz w:val="18"/>
          <w:szCs w:val="18"/>
        </w:rPr>
        <w:t xml:space="preserve">. </w:t>
      </w:r>
      <w:r>
        <w:rPr>
          <w:rFonts w:ascii="Times New Roman" w:hAnsi="Times New Roman" w:cs="Times New Roman"/>
          <w:sz w:val="18"/>
          <w:szCs w:val="18"/>
        </w:rPr>
        <w:t>如何培养高阶能力：哈蒂“可见的学习”的视角</w:t>
      </w:r>
      <w:r>
        <w:rPr>
          <w:rFonts w:ascii="Times New Roman" w:hAnsi="Times New Roman" w:eastAsia="宋体" w:cs="Times New Roman"/>
          <w:sz w:val="18"/>
          <w:szCs w:val="18"/>
        </w:rPr>
        <w:t xml:space="preserve">[J]. </w:t>
      </w:r>
      <w:r>
        <w:rPr>
          <w:rFonts w:ascii="Times New Roman" w:hAnsi="Times New Roman" w:cs="Times New Roman"/>
          <w:sz w:val="18"/>
          <w:szCs w:val="18"/>
        </w:rPr>
        <w:t>教育研究</w:t>
      </w:r>
      <w:r>
        <w:rPr>
          <w:rFonts w:ascii="Times New Roman" w:hAnsi="Times New Roman" w:eastAsia="宋体" w:cs="Times New Roman"/>
          <w:sz w:val="18"/>
          <w:szCs w:val="18"/>
        </w:rPr>
        <w:t>, 2019, 40(5): 76-85.</w:t>
      </w:r>
    </w:p>
  </w:footnote>
  <w:footnote w:id="100">
    <w:p w14:paraId="040C57E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沈勍</w:t>
      </w:r>
      <w:r>
        <w:rPr>
          <w:rFonts w:ascii="Times New Roman" w:hAnsi="Times New Roman" w:eastAsia="宋体" w:cs="Times New Roman"/>
          <w:sz w:val="18"/>
          <w:szCs w:val="18"/>
        </w:rPr>
        <w:t xml:space="preserve">, </w:t>
      </w:r>
      <w:r>
        <w:rPr>
          <w:rFonts w:ascii="Times New Roman" w:hAnsi="Times New Roman" w:cs="Times New Roman"/>
          <w:sz w:val="18"/>
          <w:szCs w:val="18"/>
        </w:rPr>
        <w:t>伍绍杨</w:t>
      </w:r>
      <w:r>
        <w:rPr>
          <w:rFonts w:ascii="Times New Roman" w:hAnsi="Times New Roman" w:eastAsia="宋体" w:cs="Times New Roman"/>
          <w:sz w:val="18"/>
          <w:szCs w:val="18"/>
        </w:rPr>
        <w:t xml:space="preserve">. </w:t>
      </w:r>
      <w:r>
        <w:rPr>
          <w:rFonts w:ascii="Times New Roman" w:hAnsi="Times New Roman" w:cs="Times New Roman"/>
          <w:sz w:val="18"/>
          <w:szCs w:val="18"/>
        </w:rPr>
        <w:t>高阶能力的培养之道</w:t>
      </w:r>
      <w:r>
        <w:rPr>
          <w:rFonts w:ascii="Times New Roman" w:hAnsi="Times New Roman" w:eastAsia="宋体" w:cs="Times New Roman"/>
          <w:sz w:val="18"/>
          <w:szCs w:val="18"/>
        </w:rPr>
        <w:t xml:space="preserve">[J]. </w:t>
      </w:r>
      <w:r>
        <w:rPr>
          <w:rFonts w:ascii="Times New Roman" w:hAnsi="Times New Roman" w:cs="Times New Roman"/>
          <w:sz w:val="18"/>
          <w:szCs w:val="18"/>
        </w:rPr>
        <w:t>上海教育</w:t>
      </w:r>
      <w:r>
        <w:rPr>
          <w:rFonts w:ascii="Times New Roman" w:hAnsi="Times New Roman" w:eastAsia="宋体" w:cs="Times New Roman"/>
          <w:sz w:val="18"/>
          <w:szCs w:val="18"/>
        </w:rPr>
        <w:t>, 2025(26): 36-37.</w:t>
      </w:r>
    </w:p>
  </w:footnote>
  <w:footnote w:id="101">
    <w:p w14:paraId="62C6E524">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102">
    <w:p w14:paraId="365C16C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KELLY P, BECK A, HOFBAUER S. Comparing school leaders' experiences of research use in England, Scotland and Germany[J]. Review of Education, 2025, 13(1): e70058. DOI:10.1002/rev3.70058.</w:t>
      </w:r>
    </w:p>
  </w:footnote>
  <w:footnote w:id="103">
    <w:p w14:paraId="5C7BABE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NIELSEN K, KLITMØLLER J. Blind spots in visible learning: A critique of John Hattie as an educational theorist[J]. Nordic Psychology, 2021.; WECKER C, VOGEL F, HETMANEK A. Visionär und imposant – aber auch belastbar? Eine Kritik der Methodik von Hatties Visible Learning[J]. Zeitschrift für Erziehungswissenschaft, 2016, 20: 21-40. DOI:10.1007/s11618-016-0696-0.</w:t>
      </w:r>
    </w:p>
  </w:footnote>
  <w:footnote w:id="104">
    <w:p w14:paraId="3A71AA7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 LIU J, MBOWE A E, TAHRI D, et al. Meta-analysis on the influence of AI agents on K-12 student cognitive performance[J]. Computers in Human Behavior Reports, 2026, 21: 100973. DOI:10.1016/j.chbr.2026.100973.</w:t>
      </w:r>
    </w:p>
  </w:footnote>
  <w:footnote w:id="105">
    <w:p w14:paraId="66EBA2A7">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COHEN L, MANION L, MORRISON K. Research methods in education[M]. 7th ed. London: Routledge, 2011.</w:t>
      </w:r>
    </w:p>
  </w:footnote>
  <w:footnote w:id="106">
    <w:p w14:paraId="7D1CB85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CRESWELL J W, CRESWELL J D. Research design: Qualitative, quantitative, and mixed methods approaches[M]. 6th ed. Thousand Oaks: SAGE, 2022.</w:t>
      </w:r>
    </w:p>
  </w:footnote>
  <w:footnote w:id="107">
    <w:p w14:paraId="6EBDA54A">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COWEN N, CARTWRIGHT N, VIRK B, et al. Making the most of the evidence: Evidence-based policy in the classroom[R]. Durham: Durham University, 2015.</w:t>
      </w:r>
    </w:p>
  </w:footnote>
  <w:footnote w:id="108">
    <w:p w14:paraId="1D3AD54D">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109">
    <w:p w14:paraId="0E43BC59">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COHEN L, MANION L, MORRISON K. Research methods in education[M]. 7th ed. London: Routledge, 2011.</w:t>
      </w:r>
    </w:p>
  </w:footnote>
  <w:footnote w:id="110">
    <w:p w14:paraId="7A7071A3">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ANDERSON L W, KRATHWOHL D R. A taxonomy for learning, teaching, and assessing: A revision of Bloom's taxonomy of educational objectives[M]. New York: Longman, 2001.</w:t>
      </w:r>
    </w:p>
  </w:footnote>
  <w:footnote w:id="111">
    <w:p w14:paraId="1B56F61E">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马淑风</w:t>
      </w:r>
      <w:r>
        <w:rPr>
          <w:rFonts w:ascii="Times New Roman" w:hAnsi="Times New Roman" w:eastAsia="宋体" w:cs="Times New Roman"/>
          <w:sz w:val="18"/>
          <w:szCs w:val="18"/>
        </w:rPr>
        <w:t xml:space="preserve">, </w:t>
      </w:r>
      <w:r>
        <w:rPr>
          <w:rFonts w:ascii="Times New Roman" w:hAnsi="Times New Roman" w:cs="Times New Roman"/>
          <w:sz w:val="18"/>
          <w:szCs w:val="18"/>
        </w:rPr>
        <w:t>杨向东</w:t>
      </w:r>
      <w:r>
        <w:rPr>
          <w:rFonts w:ascii="Times New Roman" w:hAnsi="Times New Roman" w:eastAsia="宋体" w:cs="Times New Roman"/>
          <w:sz w:val="18"/>
          <w:szCs w:val="18"/>
        </w:rPr>
        <w:t xml:space="preserve">. </w:t>
      </w:r>
      <w:r>
        <w:rPr>
          <w:rFonts w:ascii="Times New Roman" w:hAnsi="Times New Roman" w:cs="Times New Roman"/>
          <w:sz w:val="18"/>
          <w:szCs w:val="18"/>
        </w:rPr>
        <w:t>什么才是高阶思维？——以“新旧知识关系建立”为核心的高阶思维概念框架</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2022, 40(11): 58-68. DOI:10.16382/j.cnki.1000-5560.2022.11.005.</w:t>
      </w:r>
    </w:p>
  </w:footnote>
  <w:footnote w:id="112">
    <w:p w14:paraId="6ABE663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OECD. Beyond academic learning: First results from the Survey of Social and Emotional Skills[R]. Paris: OECD Publishing, 2021.</w:t>
      </w:r>
    </w:p>
  </w:footnote>
  <w:footnote w:id="113">
    <w:p w14:paraId="6C02DA56">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王倩</w:t>
      </w:r>
      <w:r>
        <w:rPr>
          <w:rFonts w:ascii="Times New Roman" w:hAnsi="Times New Roman" w:eastAsia="宋体" w:cs="Times New Roman"/>
          <w:sz w:val="18"/>
          <w:szCs w:val="18"/>
        </w:rPr>
        <w:t xml:space="preserve">, </w:t>
      </w:r>
      <w:r>
        <w:rPr>
          <w:rFonts w:ascii="Times New Roman" w:hAnsi="Times New Roman" w:cs="Times New Roman"/>
          <w:sz w:val="18"/>
          <w:szCs w:val="18"/>
        </w:rPr>
        <w:t>陈唤春</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xml:space="preserve">, 2021, 39(9): 93-108. DOI:10.16382/j.cnki.1000-5560.2021.09.006.; </w:t>
      </w:r>
      <w:r>
        <w:rPr>
          <w:rFonts w:ascii="Times New Roman" w:hAnsi="Times New Roman" w:cs="Times New Roman"/>
          <w:sz w:val="18"/>
          <w:szCs w:val="18"/>
        </w:rPr>
        <w:t>袁振国</w:t>
      </w:r>
      <w:r>
        <w:rPr>
          <w:rFonts w:ascii="Times New Roman" w:hAnsi="Times New Roman" w:eastAsia="宋体" w:cs="Times New Roman"/>
          <w:sz w:val="18"/>
          <w:szCs w:val="18"/>
        </w:rPr>
        <w:t xml:space="preserve">, </w:t>
      </w:r>
      <w:r>
        <w:rPr>
          <w:rFonts w:ascii="Times New Roman" w:hAnsi="Times New Roman" w:cs="Times New Roman"/>
          <w:sz w:val="18"/>
          <w:szCs w:val="18"/>
        </w:rPr>
        <w:t>黄忠敬</w:t>
      </w:r>
      <w:r>
        <w:rPr>
          <w:rFonts w:ascii="Times New Roman" w:hAnsi="Times New Roman" w:eastAsia="宋体" w:cs="Times New Roman"/>
          <w:sz w:val="18"/>
          <w:szCs w:val="18"/>
        </w:rPr>
        <w:t xml:space="preserve">, </w:t>
      </w:r>
      <w:r>
        <w:rPr>
          <w:rFonts w:ascii="Times New Roman" w:hAnsi="Times New Roman" w:cs="Times New Roman"/>
          <w:sz w:val="18"/>
          <w:szCs w:val="18"/>
        </w:rPr>
        <w:t>王纮</w:t>
      </w:r>
      <w:r>
        <w:rPr>
          <w:rFonts w:ascii="Times New Roman" w:hAnsi="Times New Roman" w:eastAsia="宋体" w:cs="Times New Roman"/>
          <w:sz w:val="18"/>
          <w:szCs w:val="18"/>
        </w:rPr>
        <w:t xml:space="preserve">, </w:t>
      </w:r>
      <w:r>
        <w:rPr>
          <w:rFonts w:ascii="Times New Roman" w:hAnsi="Times New Roman" w:cs="Times New Roman"/>
          <w:sz w:val="18"/>
          <w:szCs w:val="18"/>
        </w:rPr>
        <w:t>等</w:t>
      </w:r>
      <w:r>
        <w:rPr>
          <w:rFonts w:ascii="Times New Roman" w:hAnsi="Times New Roman" w:eastAsia="宋体" w:cs="Times New Roman"/>
          <w:sz w:val="18"/>
          <w:szCs w:val="18"/>
        </w:rPr>
        <w:t xml:space="preserve">. </w:t>
      </w:r>
      <w:r>
        <w:rPr>
          <w:rFonts w:ascii="Times New Roman" w:hAnsi="Times New Roman" w:cs="Times New Roman"/>
          <w:sz w:val="18"/>
          <w:szCs w:val="18"/>
        </w:rPr>
        <w:t>中国青少年社会与情感能力发展水平报告——基于第二轮</w:t>
      </w:r>
      <w:r>
        <w:rPr>
          <w:rFonts w:ascii="Times New Roman" w:hAnsi="Times New Roman" w:eastAsia="宋体" w:cs="Times New Roman"/>
          <w:sz w:val="18"/>
          <w:szCs w:val="18"/>
        </w:rPr>
        <w:t>SSES</w:t>
      </w:r>
      <w:r>
        <w:rPr>
          <w:rFonts w:ascii="Times New Roman" w:hAnsi="Times New Roman" w:cs="Times New Roman"/>
          <w:sz w:val="18"/>
          <w:szCs w:val="18"/>
        </w:rPr>
        <w:t>测评数据</w:t>
      </w:r>
      <w:r>
        <w:rPr>
          <w:rFonts w:ascii="Times New Roman" w:hAnsi="Times New Roman" w:eastAsia="宋体" w:cs="Times New Roman"/>
          <w:sz w:val="18"/>
          <w:szCs w:val="18"/>
        </w:rPr>
        <w:t xml:space="preserve">[J]. </w:t>
      </w:r>
      <w:r>
        <w:rPr>
          <w:rFonts w:ascii="Times New Roman" w:hAnsi="Times New Roman" w:cs="Times New Roman"/>
          <w:sz w:val="18"/>
          <w:szCs w:val="18"/>
        </w:rPr>
        <w:t>华东师范大学学报（教育科学版）</w:t>
      </w:r>
      <w:r>
        <w:rPr>
          <w:rFonts w:ascii="Times New Roman" w:hAnsi="Times New Roman" w:eastAsia="宋体" w:cs="Times New Roman"/>
          <w:sz w:val="18"/>
          <w:szCs w:val="18"/>
        </w:rPr>
        <w:t>, 2024, 42(5): 1-32. DOI:10.16382/j.cnki.1000-5560.2024.05.001.</w:t>
      </w:r>
    </w:p>
  </w:footnote>
  <w:footnote w:id="114">
    <w:p w14:paraId="24B32C91">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BERGERON L, ROGERS L. Teaching the Theory of Knowledge course in IB World Schools[R]. La Crosse: University of Wisconsin-La Crosse, 2015.</w:t>
      </w:r>
    </w:p>
  </w:footnote>
  <w:footnote w:id="115">
    <w:p w14:paraId="1EC94390">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ZEMPLÉN G Á. Conflicting agendas: Critical thinking versus science education in the International Baccalaureate Theory of Knowledge course[J]. Science &amp; Education, 2007, 16: 167-196.</w:t>
      </w:r>
    </w:p>
  </w:footnote>
  <w:footnote w:id="116">
    <w:p w14:paraId="1BF30A4F">
      <w:pPr>
        <w:snapToGrid w:val="0"/>
        <w:spacing w:before="0" w:after="0" w:line="240" w:lineRule="auto"/>
        <w:ind w:left="210" w:leftChars="0" w:hangingChars="100"/>
        <w:jc w:val="left"/>
      </w:pPr>
      <w:r>
        <w:rPr>
          <w:rStyle w:val="18"/>
        </w:rPr>
        <w:footnoteRef/>
      </w:r>
      <w:r>
        <w:rPr>
          <w:rFonts w:ascii="Times New Roman" w:hAnsi="Times New Roman" w:eastAsia="宋体"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E53B5"/>
    <w:multiLevelType w:val="multilevel"/>
    <w:tmpl w:val="ACFE53B5"/>
    <w:lvl w:ilvl="0" w:tentative="0">
      <w:start w:val="1"/>
      <w:numFmt w:val="decimal"/>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C90B9BDA"/>
    <w:multiLevelType w:val="multilevel"/>
    <w:tmpl w:val="C90B9BDA"/>
    <w:lvl w:ilvl="0" w:tentative="0">
      <w:start w:val="1"/>
      <w:numFmt w:val="chineseCountingThousand"/>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23B23918"/>
    <w:multiLevelType w:val="multilevel"/>
    <w:tmpl w:val="23B23918"/>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48638943"/>
    <w:multiLevelType w:val="multilevel"/>
    <w:tmpl w:val="48638943"/>
    <w:lvl w:ilvl="0" w:tentative="0">
      <w:start w:val="1"/>
      <w:numFmt w:val="decimal"/>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664461F7"/>
    <w:multiLevelType w:val="multilevel"/>
    <w:tmpl w:val="664461F7"/>
    <w:lvl w:ilvl="0" w:tentative="0">
      <w:start w:val="1"/>
      <w:numFmt w:val="chineseCountingThousand"/>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34"/>
    <w:footnote w:id="23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mMzBiOTZkNmM4NWFhZTRjMjhkMzE2Y2MxOWQ0ZGEifQ=="/>
  </w:docVars>
  <w:rsids>
    <w:rsidRoot w:val="00000000"/>
    <w:rsid w:val="0C253E5B"/>
    <w:rsid w:val="1B4A3CA9"/>
    <w:rsid w:val="1F896D6A"/>
    <w:rsid w:val="1FFD291B"/>
    <w:rsid w:val="2941258B"/>
    <w:rsid w:val="2A0E2346"/>
    <w:rsid w:val="2B420676"/>
    <w:rsid w:val="2B8E7BE2"/>
    <w:rsid w:val="2BC90C1A"/>
    <w:rsid w:val="39D72754"/>
    <w:rsid w:val="3E2E0DB1"/>
    <w:rsid w:val="481E3C44"/>
    <w:rsid w:val="4AA20223"/>
    <w:rsid w:val="596F2944"/>
    <w:rsid w:val="5CC606DB"/>
    <w:rsid w:val="7E6455BD"/>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100" w:line="300" w:lineRule="auto"/>
      <w:outlineLvl w:val="0"/>
    </w:pPr>
    <w:rPr>
      <w:rFonts w:asciiTheme="majorHAnsi" w:hAnsiTheme="majorHAnsi" w:eastAsiaTheme="majorEastAsia" w:cstheme="majorBidi"/>
      <w:b/>
      <w:bCs/>
      <w:color w:val="000000"/>
      <w:sz w:val="26"/>
      <w:szCs w:val="28"/>
    </w:rPr>
  </w:style>
  <w:style w:type="paragraph" w:styleId="3">
    <w:name w:val="heading 2"/>
    <w:basedOn w:val="1"/>
    <w:next w:val="1"/>
    <w:unhideWhenUsed/>
    <w:qFormat/>
    <w:uiPriority w:val="0"/>
    <w:pPr>
      <w:adjustRightInd w:val="0"/>
      <w:spacing w:beforeLines="50" w:afterLines="50"/>
      <w:jc w:val="left"/>
      <w:outlineLvl w:val="1"/>
    </w:pPr>
    <w:rPr>
      <w:rFonts w:ascii="Times New Roman" w:hAnsi="Times New Roman" w:eastAsia="黑体" w:cs="Times New Roman"/>
      <w:sz w:val="28"/>
      <w:szCs w:val="28"/>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4"/>
    <w:basedOn w:val="1"/>
    <w:next w:val="1"/>
    <w:qFormat/>
    <w:uiPriority w:val="0"/>
    <w:pPr>
      <w:ind w:left="1260" w:leftChars="600"/>
    </w:p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otnote reference"/>
    <w:qFormat/>
    <w:uiPriority w:val="0"/>
    <w:rPr>
      <w:vertAlign w:val="superscript"/>
    </w:rPr>
  </w:style>
  <w:style w:type="paragraph" w:customStyle="1" w:styleId="17">
    <w:name w:val="Table Text"/>
    <w:qFormat/>
    <w:uiPriority w:val="0"/>
    <w:pPr>
      <w:spacing w:line="276" w:lineRule="auto"/>
    </w:pPr>
    <w:rPr>
      <w:rFonts w:ascii="宋体" w:hAnsi="宋体" w:eastAsia="宋体" w:cstheme="minorBidi"/>
      <w:sz w:val="19"/>
      <w:szCs w:val="22"/>
      <w:lang w:val="en-US" w:eastAsia="en-US" w:bidi="ar-SA"/>
    </w:rPr>
  </w:style>
  <w:style w:type="character" w:customStyle="1" w:styleId="18">
    <w:name w:val="Footnote Characters"/>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164</Pages>
  <Words>1029</Words>
  <Characters>1071</Characters>
  <Lines>0</Lines>
  <Paragraphs>0</Paragraphs>
  <TotalTime>7</TotalTime>
  <ScaleCrop>false</ScaleCrop>
  <LinksUpToDate>false</LinksUpToDate>
  <CharactersWithSpaces>1169</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2024-11-02T04:30:00Z</dcterms:created>
  <dc:creator>xiangliu09</dc:creator>
  <cp:lastModifiedBy>小媆儿</cp:lastModifiedBy>
  <dcterms:modified xsi:type="dcterms:W3CDTF">2026-10-25T06:47:13Z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8FFB777CB1CC4DCFA273D4875C6DFE1E_13</vt:lpwstr>
  </property>
  <property fmtid="{D5CDD505-2E9C-101B-9397-08002B2CF9AE}" pid="4" name="KSOTemplateDocerSaveRecord">
    <vt:lpwstr>eyJoZGlkIjoiMWNmMmQwYWJjYjYyN2RiMjEyZTJkMzM5ZmMzNjYyZjIiLCJ1c2VySWQiOiIzMjk3MzEwNjAifQ==</vt:lpwstr>
  </property>
</Properties>
</file>