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64F9E" w14:textId="77777777" w:rsidR="000B1CCE" w:rsidRPr="003A23DB" w:rsidRDefault="00000000">
      <w:pPr>
        <w:spacing w:before="120" w:after="120" w:line="360" w:lineRule="auto"/>
        <w:jc w:val="center"/>
        <w:rPr>
          <w:b/>
          <w:bCs/>
          <w:sz w:val="28"/>
          <w:szCs w:val="36"/>
        </w:rPr>
      </w:pP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可见的学习</w:t>
      </w: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视域下中学生高阶能力培育的学校探索</w:t>
      </w:r>
    </w:p>
    <w:p w14:paraId="12293E36"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核心素养导向的课程改革，要求学校把高阶能力培育从理念落实到日常课堂。本研究以可见的学习为视角，探讨学校怎样让高阶能力在真实学习中发生，并让教师和学生都能看见这一过程。研究把中学生高阶能力分为相互关联的两个方面，高阶思维包括分析、评价和创造，高阶社会情感包括责任担当、情绪调节、合作共情和包容创新。研究立足学校的真实教学情境，综合运用文献研究、问卷调查、访谈、课堂观察、行动研究和案例研究等方法，依次开展现状诊断、模型建构、多场域实践和成效评价。课题组根据前测结果和课堂证据，建构并多轮修订了高阶能力培育模型。在这一模型中，学生沿目标引领、任务驱动、探究展学、反馈迭代和反思迁移五个环节学习，教师通过诊断发现、干预设计、实施推进和评估改进四个步骤调节教学，两者协同运行。模型在学科课堂和科创项目中持续实践，课题组借助学生作品、课堂评价、AI课堂行为数据和问卷等多源证据诊断和改进教学。</w:t>
      </w:r>
    </w:p>
    <w:p w14:paraId="534460FA" w14:textId="77777777" w:rsidR="000B1CCE" w:rsidRDefault="00000000" w:rsidP="006E72A5">
      <w:pPr>
        <w:adjustRightInd w:val="0"/>
        <w:snapToGrid w:val="0"/>
        <w:spacing w:line="360" w:lineRule="auto"/>
        <w:ind w:firstLineChars="200" w:firstLine="480"/>
        <w:rPr>
          <w:rFonts w:ascii="宋体" w:eastAsia="宋体" w:hAnsi="宋体" w:cs="宋体"/>
          <w:color w:val="000000"/>
          <w:kern w:val="0"/>
          <w:sz w:val="24"/>
        </w:rPr>
      </w:pPr>
      <w:r w:rsidRPr="006E72A5">
        <w:rPr>
          <w:rFonts w:ascii="宋体" w:eastAsia="宋体" w:hAnsi="宋体" w:cs="宋体"/>
          <w:color w:val="000000"/>
          <w:kern w:val="0"/>
          <w:sz w:val="24"/>
        </w:rPr>
        <w:t>研究发现，培育高阶能力需要把能力目标融入真实任务和持续的学习过程，并依靠学习证据和及时反馈，帮助学生从理解知识走向分析判断、创新生成和迁移应用。1346对学生的前后测配对结果显示，高阶思维总体均分由3.934提高到4.030，分析、评价、创造三个维度均有小幅但显著的提升；高阶社会情感总体均分由4.032提高到4.400，四个维度均显著提高，提升幅度更大。教师问卷各维度的前后变化未达到统计显著，但课堂实践和教学自我效能呈积极趋势。课堂观察、教师反思和开放性回答也显示，教师越来越多地依据学生的学习证据诊断和调整教学。研究表明，可见的学习能够帮助学校把高阶能力从抽象目标转化为学生可经历、可观察、可反馈、可改进的学习过程。本研究形成的学习模型、教学模型、评价工具和典型案例，可为学校系统推进高阶能力培育和改进课堂教学提供参考。</w:t>
      </w:r>
    </w:p>
    <w:p w14:paraId="01493BFA"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718EA189" w14:textId="77777777" w:rsidR="000B1CCE" w:rsidRDefault="000B1CCE">
      <w:pPr>
        <w:rPr>
          <w:sz w:val="24"/>
          <w:szCs w:val="32"/>
        </w:rPr>
      </w:pPr>
    </w:p>
    <w:p w14:paraId="07D7FC0F" w14:textId="77777777" w:rsidR="000B1CCE" w:rsidRDefault="000B1CCE">
      <w:pPr>
        <w:rPr>
          <w:sz w:val="24"/>
          <w:szCs w:val="32"/>
        </w:rPr>
      </w:pPr>
    </w:p>
    <w:p w14:paraId="03ED9110" w14:textId="77777777" w:rsidR="000B1CCE" w:rsidRDefault="000B1CCE">
      <w:pPr>
        <w:rPr>
          <w:sz w:val="24"/>
          <w:szCs w:val="32"/>
        </w:rPr>
      </w:pPr>
    </w:p>
    <w:p w14:paraId="4BE2BC79" w14:textId="77777777" w:rsidR="000B1CCE" w:rsidRDefault="000B1CCE">
      <w:pPr>
        <w:rPr>
          <w:sz w:val="24"/>
          <w:szCs w:val="32"/>
        </w:rPr>
      </w:pPr>
    </w:p>
    <w:p w14:paraId="5465477F" w14:textId="77777777" w:rsidR="000B1CCE" w:rsidRDefault="000B1CCE">
      <w:pPr>
        <w:rPr>
          <w:sz w:val="24"/>
          <w:szCs w:val="32"/>
        </w:rPr>
      </w:pPr>
    </w:p>
    <w:p w14:paraId="4C74AF4C" w14:textId="77777777" w:rsidR="000B1CCE" w:rsidRDefault="000B1CCE">
      <w:pPr>
        <w:rPr>
          <w:sz w:val="24"/>
          <w:szCs w:val="32"/>
        </w:rPr>
      </w:pPr>
    </w:p>
    <w:p w14:paraId="3375E07C" w14:textId="77777777" w:rsidR="000B1CCE" w:rsidRDefault="000B1CCE">
      <w:pPr>
        <w:rPr>
          <w:sz w:val="24"/>
          <w:szCs w:val="32"/>
        </w:rPr>
      </w:pPr>
    </w:p>
    <w:p w14:paraId="4C31C1C6" w14:textId="77777777" w:rsidR="000B1CCE" w:rsidRDefault="000B1CCE">
      <w:pPr>
        <w:rPr>
          <w:sz w:val="24"/>
          <w:szCs w:val="32"/>
        </w:rPr>
      </w:pPr>
    </w:p>
    <w:p w14:paraId="2BE3A2C5" w14:textId="77777777" w:rsidR="000B1CCE" w:rsidRDefault="000B1CCE">
      <w:pPr>
        <w:rPr>
          <w:sz w:val="24"/>
          <w:szCs w:val="32"/>
        </w:rPr>
      </w:pPr>
    </w:p>
    <w:p w14:paraId="56E8313D" w14:textId="77777777" w:rsidR="000B1CCE" w:rsidRDefault="000B1CCE">
      <w:pPr>
        <w:rPr>
          <w:sz w:val="24"/>
          <w:szCs w:val="32"/>
        </w:rPr>
      </w:pPr>
    </w:p>
    <w:p w14:paraId="24B5CA8D" w14:textId="77777777" w:rsidR="000B1CCE" w:rsidRDefault="000B1CCE">
      <w:pPr>
        <w:rPr>
          <w:sz w:val="24"/>
          <w:szCs w:val="32"/>
        </w:rPr>
      </w:pPr>
    </w:p>
    <w:p w14:paraId="6D285172" w14:textId="77777777" w:rsidR="000B1CCE" w:rsidRDefault="000B1CCE">
      <w:pPr>
        <w:rPr>
          <w:sz w:val="24"/>
          <w:szCs w:val="32"/>
        </w:rPr>
      </w:pPr>
    </w:p>
    <w:p w14:paraId="3EC97488"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51885175"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5A9DD5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109DBC7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 xml:space="preserve">的课时设计跨学科主题学习</w:t>
      </w:r>
      <w:r>
        <w:rPr>
          <w:rFonts w:ascii="Times New Roman" w:eastAsia="宋体" w:hAnsi="Times New Roman" w:cs="Times New Roman"/>
          <w:color w:val="000000"/>
          <w:kern w:val="0"/>
          <w:sz w:val="24"/>
          <w:vertAlign w:val="superscript"/>
        </w:rPr>
        <w:footnoteReference w:id="1"/>
      </w:r>
      <w:r>
        <w:rPr>
          <w:rFonts w:ascii="Times New Roman" w:eastAsia="宋体" w:hAnsi="Times New Roman" w:cs="Times New Roman"/>
          <w:color w:val="000000"/>
          <w:kern w:val="0"/>
          <w:sz w:val="24"/>
        </w:rPr>
        <w:t xml:space="preserve">。这一要求意味着，学生不仅要掌握分科知识，还要学会在复杂问题面前调动不同学科的知识。</w:t>
      </w:r>
    </w:p>
    <w:p w14:paraId="0E53AA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w:t>
      </w:r>
      <w:r>
        <w:rPr>
          <w:rFonts w:ascii="Times New Roman" w:eastAsia="宋体" w:hAnsi="Times New Roman" w:cs="Times New Roman"/>
          <w:color w:val="000000"/>
          <w:kern w:val="0"/>
          <w:sz w:val="24"/>
          <w:vertAlign w:val="superscript"/>
        </w:rPr>
        <w:footnoteReference w:id="2"/>
      </w:r>
      <w:r>
        <w:rPr>
          <w:rFonts w:ascii="Times New Roman" w:eastAsia="宋体" w:hAnsi="Times New Roman" w:cs="Times New Roman"/>
          <w:color w:val="000000"/>
          <w:kern w:val="0"/>
          <w:sz w:val="24"/>
        </w:rPr>
        <w:t xml:space="preserve">。《深化新时代教育评价改革总体方案》此前也提出改进结果评价、强化过程评价、探索增值评价、健全综合评价</w:t>
      </w:r>
      <w:r>
        <w:rPr>
          <w:rFonts w:ascii="Times New Roman" w:eastAsia="宋体" w:hAnsi="Times New Roman" w:cs="Times New Roman"/>
          <w:color w:val="000000"/>
          <w:kern w:val="0"/>
          <w:sz w:val="24"/>
          <w:vertAlign w:val="superscript"/>
        </w:rPr>
        <w:footnoteReference w:id="3"/>
      </w:r>
      <w:r>
        <w:rPr>
          <w:rFonts w:ascii="Times New Roman" w:eastAsia="宋体" w:hAnsi="Times New Roman" w:cs="Times New Roman"/>
          <w:color w:val="000000"/>
          <w:kern w:val="0"/>
          <w:sz w:val="24"/>
        </w:rPr>
        <w:t xml:space="preserve">。</w:t>
      </w:r>
    </w:p>
    <w:p w14:paraId="3AC47E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1F26B97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2BA4B9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w:t>
      </w:r>
      <w:r>
        <w:rPr>
          <w:rFonts w:ascii="Times New Roman" w:eastAsia="宋体" w:hAnsi="Times New Roman" w:cs="Times New Roman"/>
          <w:color w:val="000000"/>
          <w:kern w:val="0"/>
          <w:sz w:val="24"/>
        </w:rPr>
        <w:lastRenderedPageBreak/>
        <w:t xml:space="preserve">高中和义务教育阶段的课程实施方案</w:t>
      </w:r>
      <w:r>
        <w:rPr>
          <w:rFonts w:ascii="Times New Roman" w:eastAsia="宋体" w:hAnsi="Times New Roman" w:cs="Times New Roman"/>
          <w:color w:val="000000"/>
          <w:kern w:val="0"/>
          <w:sz w:val="24"/>
          <w:vertAlign w:val="superscript"/>
        </w:rPr>
        <w:footnoteReference w:id="4"/>
      </w:r>
      <w:r>
        <w:rPr>
          <w:rFonts w:ascii="Times New Roman" w:eastAsia="宋体" w:hAnsi="Times New Roman" w:cs="Times New Roman"/>
          <w:color w:val="000000"/>
          <w:kern w:val="0"/>
          <w:sz w:val="24"/>
        </w:rPr>
        <w:t xml:space="preserve">，研制新课程新教材实施研究与实践项目指南，通过项目招标推动各区和学校开展行动研究，并在市、区两级建立了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 xml:space="preserve">余所中小学实施</w:t>
      </w:r>
      <w:r>
        <w:rPr>
          <w:rFonts w:ascii="Times New Roman" w:eastAsia="宋体" w:hAnsi="Times New Roman" w:cs="Times New Roman"/>
          <w:color w:val="000000"/>
          <w:kern w:val="0"/>
          <w:sz w:val="24"/>
          <w:vertAlign w:val="superscript"/>
        </w:rPr>
        <w:footnoteReference w:id="5"/>
      </w:r>
      <w:r>
        <w:rPr>
          <w:rFonts w:ascii="Times New Roman" w:eastAsia="宋体" w:hAnsi="Times New Roman" w:cs="Times New Roman"/>
          <w:color w:val="000000"/>
          <w:kern w:val="0"/>
          <w:sz w:val="24"/>
        </w:rPr>
        <w:t xml:space="preserve">。上海的课程改革已经从文件层面进入学校日常教学和持续研究的层面。</w:t>
      </w:r>
    </w:p>
    <w:p w14:paraId="6960FC1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 xml:space="preserve">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w:t>
      </w:r>
      <w:r>
        <w:rPr>
          <w:rFonts w:ascii="Times New Roman" w:eastAsia="宋体" w:hAnsi="Times New Roman" w:cs="Times New Roman"/>
          <w:color w:val="000000"/>
          <w:kern w:val="0"/>
          <w:sz w:val="24"/>
          <w:vertAlign w:val="superscript"/>
        </w:rPr>
        <w:footnoteReference w:id="6"/>
      </w:r>
      <w:r>
        <w:rPr>
          <w:rFonts w:ascii="Times New Roman" w:eastAsia="宋体" w:hAnsi="Times New Roman" w:cs="Times New Roman"/>
          <w:color w:val="000000"/>
          <w:kern w:val="0"/>
          <w:sz w:val="24"/>
        </w:rPr>
        <w:t xml:space="preserve">。</w:t>
      </w:r>
    </w:p>
    <w:p w14:paraId="48B3E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395107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 xml:space="preserve">分的跨学科案例分析题</w:t>
      </w:r>
      <w:r>
        <w:rPr>
          <w:rFonts w:ascii="Times New Roman" w:eastAsia="宋体" w:hAnsi="Times New Roman" w:cs="Times New Roman"/>
          <w:color w:val="000000"/>
          <w:kern w:val="0"/>
          <w:sz w:val="24"/>
          <w:vertAlign w:val="superscript"/>
        </w:rPr>
        <w:footnoteReference w:id="7"/>
      </w:r>
      <w:r>
        <w:rPr>
          <w:rFonts w:ascii="Times New Roman" w:eastAsia="宋体" w:hAnsi="Times New Roman" w:cs="Times New Roman"/>
          <w:color w:val="000000"/>
          <w:kern w:val="0"/>
          <w:sz w:val="24"/>
        </w:rPr>
        <w:t xml:space="preserve">；初中学生综合素质评价设有创新精神与实践能力板块，重点记录学生参加探究学习、科技活动等方面的过程和成果</w:t>
      </w:r>
      <w:r>
        <w:rPr>
          <w:rFonts w:ascii="Times New Roman" w:eastAsia="宋体" w:hAnsi="Times New Roman" w:cs="Times New Roman"/>
          <w:color w:val="000000"/>
          <w:kern w:val="0"/>
          <w:sz w:val="24"/>
          <w:vertAlign w:val="superscript"/>
        </w:rPr>
        <w:footnoteReference w:id="8"/>
      </w:r>
      <w:r>
        <w:rPr>
          <w:rFonts w:ascii="Times New Roman" w:eastAsia="宋体" w:hAnsi="Times New Roman" w:cs="Times New Roman"/>
          <w:color w:val="000000"/>
          <w:kern w:val="0"/>
          <w:sz w:val="24"/>
        </w:rPr>
        <w:t xml:space="preserve">。对一所上海初高中学校而言，学生能否在真实、复杂的问题中分析判断、提出方案并与人合作，已经成为课程、教学和评价共同关注的内容，学校需要找到在日常课堂和科创活动中系统培养这些能力的办法。</w:t>
      </w:r>
    </w:p>
    <w:p w14:paraId="748ADC7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0E38C7E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w:t>
      </w:r>
      <w:r>
        <w:rPr>
          <w:rFonts w:ascii="Times New Roman" w:eastAsia="宋体" w:hAnsi="Times New Roman" w:cs="Times New Roman"/>
          <w:color w:val="000000"/>
          <w:kern w:val="0"/>
          <w:sz w:val="24"/>
        </w:rPr>
        <w:lastRenderedPageBreak/>
        <w:t xml:space="preserve">案，并要求教师引导学生审视生成文本中的逻辑漏洞、价值倾向和文化偏见，培养学生对技术输出内容的质疑精神与甄别能力</w:t>
      </w:r>
      <w:r>
        <w:rPr>
          <w:rFonts w:ascii="Times New Roman" w:eastAsia="宋体" w:hAnsi="Times New Roman" w:cs="Times New Roman"/>
          <w:color w:val="000000"/>
          <w:kern w:val="0"/>
          <w:sz w:val="24"/>
          <w:vertAlign w:val="superscript"/>
        </w:rPr>
        <w:footnoteReference w:id="9"/>
      </w:r>
      <w:r>
        <w:rPr>
          <w:rFonts w:ascii="Times New Roman" w:eastAsia="宋体" w:hAnsi="Times New Roman" w:cs="Times New Roman"/>
          <w:color w:val="000000"/>
          <w:kern w:val="0"/>
          <w:sz w:val="24"/>
        </w:rPr>
        <w:t xml:space="preserve">。</w:t>
      </w:r>
    </w:p>
    <w:p w14:paraId="3358C5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 xml:space="preserve">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vertAlign w:val="superscript"/>
        </w:rPr>
        <w:footnoteReference w:id="10"/>
      </w:r>
      <w:r>
        <w:rPr>
          <w:rFonts w:ascii="Times New Roman" w:eastAsia="宋体" w:hAnsi="Times New Roman" w:cs="Times New Roman"/>
          <w:color w:val="000000"/>
          <w:kern w:val="0"/>
          <w:sz w:val="24"/>
        </w:rPr>
        <w:t xml:space="preserve">。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vertAlign w:val="superscript"/>
        </w:rPr>
        <w:footnoteReference w:id="11"/>
      </w:r>
      <w:r>
        <w:rPr>
          <w:rFonts w:ascii="Times New Roman" w:eastAsia="宋体" w:hAnsi="Times New Roman" w:cs="Times New Roman"/>
          <w:color w:val="000000"/>
          <w:kern w:val="0"/>
          <w:sz w:val="24"/>
        </w:rPr>
        <w:t xml:space="preserve">。技术越普及，学校越需要通过任务设计、追问引导和反馈，帮助学生在使用技术时保持独立判断</w:t>
      </w:r>
      <w:r>
        <w:rPr>
          <w:rFonts w:ascii="Times New Roman" w:eastAsia="宋体" w:hAnsi="Times New Roman" w:cs="Times New Roman"/>
          <w:color w:val="000000"/>
          <w:kern w:val="0"/>
          <w:sz w:val="24"/>
          <w:vertAlign w:val="superscript"/>
        </w:rPr>
        <w:footnoteReference w:id="12"/>
      </w:r>
      <w:r>
        <w:rPr>
          <w:rFonts w:ascii="Times New Roman" w:eastAsia="宋体" w:hAnsi="Times New Roman" w:cs="Times New Roman"/>
          <w:color w:val="000000"/>
          <w:kern w:val="0"/>
          <w:sz w:val="24"/>
        </w:rPr>
        <w:t xml:space="preserve">。</w:t>
      </w:r>
    </w:p>
    <w:p w14:paraId="6FAED27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20CE161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1D328D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vertAlign w:val="superscript"/>
        </w:rPr>
        <w:footnoteReference w:id="13"/>
      </w:r>
      <w:r>
        <w:rPr>
          <w:rFonts w:ascii="Times New Roman" w:eastAsia="宋体" w:hAnsi="Times New Roman" w:cs="Times New Roman"/>
          <w:color w:val="000000"/>
          <w:kern w:val="0"/>
          <w:sz w:val="24"/>
        </w:rPr>
        <w:t xml:space="preserve">。合作学习之所以能够促进高阶思维，在于学生需要向同伴解释概念、回应质疑并整合不同意见</w:t>
      </w:r>
      <w:r>
        <w:rPr>
          <w:rFonts w:ascii="Times New Roman" w:eastAsia="宋体" w:hAnsi="Times New Roman" w:cs="Times New Roman"/>
          <w:color w:val="000000"/>
          <w:kern w:val="0"/>
          <w:sz w:val="24"/>
          <w:vertAlign w:val="superscript"/>
        </w:rPr>
        <w:footnoteReference w:id="14"/>
      </w:r>
      <w:r>
        <w:rPr>
          <w:rFonts w:ascii="Times New Roman" w:eastAsia="宋体" w:hAnsi="Times New Roman" w:cs="Times New Roman"/>
          <w:color w:val="000000"/>
          <w:kern w:val="0"/>
          <w:sz w:val="24"/>
        </w:rPr>
        <w:t xml:space="preserve">；如果小组任务没有分工、不要求说明理由，也没有反思环节，讨论就容易沦为简单的信息交换，甚至只是少数学生发言、多数学生旁听。</w:t>
      </w:r>
    </w:p>
    <w:p w14:paraId="3764BDF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vertAlign w:val="superscript"/>
        </w:rPr>
        <w:footnoteReference w:id="15"/>
      </w:r>
      <w:r>
        <w:rPr>
          <w:rFonts w:ascii="Times New Roman" w:eastAsia="宋体" w:hAnsi="Times New Roman" w:cs="Times New Roman"/>
          <w:color w:val="000000"/>
          <w:kern w:val="0"/>
          <w:sz w:val="24"/>
        </w:rPr>
        <w:t xml:space="preserve">。如果只看考试结果，可能会低</w:t>
      </w:r>
      <w:r>
        <w:rPr>
          <w:rFonts w:ascii="Times New Roman" w:eastAsia="宋体" w:hAnsi="Times New Roman" w:cs="Times New Roman"/>
          <w:color w:val="000000"/>
          <w:kern w:val="0"/>
          <w:sz w:val="24"/>
        </w:rPr>
        <w:lastRenderedPageBreak/>
        <w:t>估学生在学习过程中已经发生的变化，也难以判断教学究竟在哪个环节起了作用。</w:t>
      </w:r>
    </w:p>
    <w:p w14:paraId="2ED856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vertAlign w:val="superscript"/>
        </w:rPr>
        <w:footnoteReference w:id="16"/>
      </w:r>
      <w:r>
        <w:rPr>
          <w:rFonts w:ascii="Times New Roman" w:eastAsia="宋体" w:hAnsi="Times New Roman" w:cs="Times New Roman"/>
          <w:color w:val="000000"/>
          <w:kern w:val="0"/>
          <w:sz w:val="24"/>
        </w:rPr>
        <w:t xml:space="preserve">。如何把这一主张转化为能够识别和支持高阶能力的具体课堂做法，是当前课堂教学改革需要解决的现实问题。</w:t>
      </w:r>
    </w:p>
    <w:p w14:paraId="3C6E744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746ECA2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594D89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0E9F718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5D2EC9C"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57CBE8B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44ABE90F"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1218B4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58DEBED9"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744C78C0"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34C1497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762D6E9E"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47F989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4B152A0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vertAlign w:val="superscript"/>
        </w:rPr>
        <w:footnoteReference w:id="17"/>
      </w:r>
      <w:r>
        <w:rPr>
          <w:rFonts w:ascii="Times New Roman" w:eastAsia="宋体" w:hAnsi="Times New Roman" w:cs="Times New Roman"/>
          <w:color w:val="000000"/>
          <w:kern w:val="0"/>
          <w:sz w:val="24"/>
        </w:rPr>
        <w:t xml:space="preserve">。分析、评价和创造通常被视为较高层次的认知活动，构成高阶思维最常见的操作性含义。</w:t>
      </w:r>
    </w:p>
    <w:p w14:paraId="05F983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 xml:space="preserve">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r>
        <w:rPr>
          <w:rFonts w:ascii="Times New Roman" w:eastAsia="宋体" w:hAnsi="Times New Roman" w:cs="Times New Roman"/>
          <w:color w:val="000000"/>
          <w:kern w:val="0"/>
          <w:sz w:val="24"/>
          <w:vertAlign w:val="superscript"/>
        </w:rPr>
        <w:footnoteReference w:id="18"/>
      </w:r>
      <w:proofErr w:type="spellStart"/>
      <w:proofErr w:type="spellEnd"/>
      <w:r>
        <w:rPr>
          <w:rFonts w:ascii="Times New Roman" w:eastAsia="宋体" w:hAnsi="Times New Roman" w:cs="Times New Roman"/>
          <w:color w:val="000000"/>
          <w:kern w:val="0"/>
          <w:sz w:val="24"/>
        </w:rPr>
        <w:t xml:space="preserve">。这一取向把高阶思维从静态的目标层级拓展为在劣构情境中展开的动态加工过程。</w:t>
      </w:r>
    </w:p>
    <w:p w14:paraId="5029C6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在上述成分中，批判性思维与创造力受到的关注最多。批判性思维被界定为以理由为依据、有目的并能够自我调节的反思性判断，既包括解释、分析、评价、推论、说明和自我调节等技能，也包括求真、开放和公正等思维倾向</w:t>
      </w:r>
      <w:r>
        <w:rPr>
          <w:rFonts w:ascii="Times New Roman" w:eastAsia="宋体" w:hAnsi="Times New Roman" w:cs="Times New Roman"/>
          <w:color w:val="000000"/>
          <w:kern w:val="0"/>
          <w:sz w:val="24"/>
          <w:vertAlign w:val="superscript"/>
        </w:rPr>
        <w:footnoteReference w:id="19"/>
      </w:r>
      <w:proofErr w:type="spellStart"/>
      <w:proofErr w:type="spellEnd"/>
      <w:r>
        <w:rPr>
          <w:rFonts w:ascii="Times New Roman" w:eastAsia="宋体" w:hAnsi="Times New Roman" w:cs="Times New Roman"/>
          <w:color w:val="000000"/>
          <w:kern w:val="0"/>
          <w:sz w:val="24"/>
        </w:rPr>
        <w:t xml:space="preserve">。创造力被界定为在特定情境中生成兼具新颖性和适切性的观念、方案或产品的能力</w:t>
      </w:r>
      <w:r>
        <w:rPr>
          <w:rFonts w:ascii="Times New Roman" w:eastAsia="宋体" w:hAnsi="Times New Roman" w:cs="Times New Roman"/>
          <w:color w:val="000000"/>
          <w:kern w:val="0"/>
          <w:sz w:val="24"/>
          <w:vertAlign w:val="superscript"/>
        </w:rPr>
        <w:footnoteReference w:id="20"/>
      </w:r>
      <w:r>
        <w:rPr>
          <w:rFonts w:ascii="Times New Roman" w:eastAsia="宋体" w:hAnsi="Times New Roman" w:cs="Times New Roman"/>
          <w:color w:val="000000"/>
          <w:kern w:val="0"/>
          <w:sz w:val="24"/>
        </w:rPr>
        <w:t xml:space="preserve">，针对大学生的多层元分析表明，创造力能够通过系统训练得到显著提升</w:t>
      </w:r>
      <w:r>
        <w:rPr>
          <w:rFonts w:ascii="Times New Roman" w:eastAsia="宋体" w:hAnsi="Times New Roman" w:cs="Times New Roman"/>
          <w:color w:val="000000"/>
          <w:kern w:val="0"/>
          <w:sz w:val="24"/>
          <w:vertAlign w:val="superscript"/>
        </w:rPr>
        <w:footnoteReference w:id="21"/>
      </w:r>
      <w:r>
        <w:rPr>
          <w:rFonts w:ascii="Times New Roman" w:eastAsia="宋体" w:hAnsi="Times New Roman" w:cs="Times New Roman"/>
          <w:color w:val="000000"/>
          <w:kern w:val="0"/>
          <w:sz w:val="24"/>
        </w:rPr>
        <w:t xml:space="preserve">。国内研究进一步指出，高阶思维的核心在于新旧知识关系的建立，其概念框架包括问题情境分析、新旧知识关系建立、多维信息综合、创新性知识生成以及对思维过程的监控与调节五个成分</w:t>
      </w:r>
      <w:r>
        <w:rPr>
          <w:rFonts w:ascii="Times New Roman" w:eastAsia="宋体" w:hAnsi="Times New Roman" w:cs="Times New Roman"/>
          <w:color w:val="000000"/>
          <w:kern w:val="0"/>
          <w:sz w:val="24"/>
          <w:vertAlign w:val="superscript"/>
        </w:rPr>
        <w:footnoteReference w:id="22"/>
      </w:r>
      <w:r>
        <w:rPr>
          <w:rFonts w:ascii="Times New Roman" w:eastAsia="宋体" w:hAnsi="Times New Roman" w:cs="Times New Roman"/>
          <w:color w:val="000000"/>
          <w:kern w:val="0"/>
          <w:sz w:val="24"/>
        </w:rPr>
        <w:t xml:space="preserve">。</w:t>
      </w:r>
    </w:p>
    <w:p w14:paraId="6DAE8AE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vertAlign w:val="superscript"/>
        </w:rPr>
        <w:footnoteReference w:id="23"/>
      </w:r>
      <w:r>
        <w:rPr>
          <w:rFonts w:ascii="Times New Roman" w:eastAsia="宋体" w:hAnsi="Times New Roman" w:cs="Times New Roman"/>
          <w:color w:val="000000"/>
          <w:kern w:val="0"/>
          <w:sz w:val="24"/>
        </w:rPr>
        <w:t xml:space="preserve">。这一发现提示，高阶思维的各个成分在真实任务中往往同时被调用，将分析、评价和创造置于同一学习过程中加以培养，比孤立训练某一成分更符合高阶思维的实际运作方式。</w:t>
      </w:r>
    </w:p>
    <w:p w14:paraId="5C13C66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 xml:space="preserve">）从任务能力、情绪调节、协作能力、开放能力和交往能力五个领域考察青少年的社会情感发展</w:t>
      </w:r>
      <w:r>
        <w:rPr>
          <w:rFonts w:ascii="Times New Roman" w:eastAsia="宋体" w:hAnsi="Times New Roman" w:cs="Times New Roman"/>
          <w:color w:val="000000"/>
          <w:kern w:val="0"/>
          <w:sz w:val="24"/>
          <w:vertAlign w:val="superscript"/>
        </w:rPr>
        <w:footnoteReference w:id="24"/>
      </w:r>
      <w:r>
        <w:rPr>
          <w:rFonts w:ascii="Times New Roman" w:eastAsia="宋体" w:hAnsi="Times New Roman" w:cs="Times New Roman"/>
          <w:color w:val="000000"/>
          <w:kern w:val="0"/>
          <w:sz w:val="24"/>
        </w:rPr>
        <w:t xml:space="preserve">；学术、社会与情感学习协作组织（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 xml:space="preserve">）提出自我意识、自我管理、社会意识、人际关系技能和负责任决策五个领域</w:t>
      </w:r>
      <w:r>
        <w:rPr>
          <w:rFonts w:ascii="Times New Roman" w:eastAsia="宋体" w:hAnsi="Times New Roman" w:cs="Times New Roman"/>
          <w:color w:val="000000"/>
          <w:kern w:val="0"/>
          <w:sz w:val="24"/>
          <w:vertAlign w:val="superscript"/>
        </w:rPr>
        <w:footnoteReference w:id="25"/>
      </w:r>
      <w:r>
        <w:rPr>
          <w:rFonts w:ascii="Times New Roman" w:eastAsia="宋体" w:hAnsi="Times New Roman" w:cs="Times New Roman"/>
          <w:color w:val="000000"/>
          <w:kern w:val="0"/>
          <w:sz w:val="24"/>
        </w:rPr>
        <w:t xml:space="preserve">。元分析表明，系统实施的校本社会情感学习能够改善学生的社会情感技能、日常行为和学业成绩</w:t>
      </w:r>
      <w:r>
        <w:rPr>
          <w:rFonts w:ascii="Times New Roman" w:eastAsia="宋体" w:hAnsi="Times New Roman" w:cs="Times New Roman"/>
          <w:color w:val="000000"/>
          <w:kern w:val="0"/>
          <w:sz w:val="24"/>
          <w:vertAlign w:val="superscript"/>
        </w:rPr>
        <w:footnoteReference w:id="26"/>
      </w:r>
      <w:r>
        <w:rPr>
          <w:rFonts w:ascii="Times New Roman" w:eastAsia="宋体" w:hAnsi="Times New Roman" w:cs="Times New Roman"/>
          <w:color w:val="000000"/>
          <w:kern w:val="0"/>
          <w:sz w:val="24"/>
        </w:rPr>
        <w:t xml:space="preserve">。</w:t>
      </w:r>
    </w:p>
    <w:p w14:paraId="7DAFAC2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 xml:space="preserve">岁组女生在责任感、共情和包容度上得分高于男生，情绪控制和抗压力与学业焦虑关系最为密切，成就动机、毅力和好奇心与语文、数学和艺术成绩相关</w:t>
      </w:r>
      <w:r>
        <w:rPr>
          <w:rFonts w:ascii="Times New Roman" w:eastAsia="宋体" w:hAnsi="Times New Roman" w:cs="Times New Roman"/>
          <w:color w:val="000000"/>
          <w:kern w:val="0"/>
          <w:sz w:val="24"/>
          <w:vertAlign w:val="superscript"/>
        </w:rPr>
        <w:footnoteReference w:id="27"/>
      </w:r>
      <w:r>
        <w:rPr>
          <w:rFonts w:ascii="Times New Roman" w:eastAsia="宋体" w:hAnsi="Times New Roman" w:cs="Times New Roman"/>
          <w:color w:val="000000"/>
          <w:kern w:val="0"/>
          <w:sz w:val="24"/>
        </w:rPr>
        <w:t xml:space="preserve">。基于苏州市数据的研究发现，交往能力与其他社会与情感能力之间存在中等程度的相关，并受同伴关系、家庭背景、教师和学校因素的影响</w:t>
      </w:r>
      <w:r>
        <w:rPr>
          <w:rFonts w:ascii="Times New Roman" w:eastAsia="宋体" w:hAnsi="Times New Roman" w:cs="Times New Roman"/>
          <w:color w:val="000000"/>
          <w:kern w:val="0"/>
          <w:sz w:val="24"/>
          <w:vertAlign w:val="superscript"/>
        </w:rPr>
        <w:footnoteReference w:id="28"/>
      </w:r>
      <w:r>
        <w:rPr>
          <w:rFonts w:ascii="Times New Roman" w:eastAsia="宋体" w:hAnsi="Times New Roman" w:cs="Times New Roman"/>
          <w:color w:val="000000"/>
          <w:kern w:val="0"/>
          <w:sz w:val="24"/>
        </w:rPr>
        <w:t xml:space="preserve">。上述结果表明，社会情感能力在中学阶段并不随年龄增长自然提高，学校层面的有意识培养具有必要性。也有研究提醒，将深受文化影响的共情、情绪等品质转化为统一分数进行跨情境比较，存在标准化和简化的风险</w:t>
      </w:r>
      <w:r>
        <w:rPr>
          <w:rFonts w:ascii="Times New Roman" w:eastAsia="宋体" w:hAnsi="Times New Roman" w:cs="Times New Roman"/>
          <w:color w:val="000000"/>
          <w:kern w:val="0"/>
          <w:sz w:val="24"/>
          <w:vertAlign w:val="superscript"/>
        </w:rPr>
        <w:footnoteReference w:id="29"/>
      </w:r>
      <w:r>
        <w:rPr>
          <w:rFonts w:ascii="Times New Roman" w:eastAsia="宋体" w:hAnsi="Times New Roman" w:cs="Times New Roman"/>
          <w:color w:val="000000"/>
          <w:kern w:val="0"/>
          <w:sz w:val="24"/>
        </w:rPr>
        <w:t xml:space="preserve">。</w:t>
      </w:r>
    </w:p>
    <w:p w14:paraId="576BE6E6"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6185EF2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6A339C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58FC613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vertAlign w:val="superscript"/>
        </w:rPr>
        <w:footnoteReference w:id="30"/>
      </w:r>
      <w:r>
        <w:rPr>
          <w:rFonts w:ascii="Times New Roman" w:eastAsia="宋体" w:hAnsi="Times New Roman" w:cs="Times New Roman"/>
          <w:color w:val="000000"/>
          <w:kern w:val="0"/>
          <w:sz w:val="24"/>
        </w:rPr>
        <w:t xml:space="preserve">。</w:t>
      </w:r>
    </w:p>
    <w:p w14:paraId="652A4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vertAlign w:val="superscript"/>
        </w:rPr>
        <w:footnoteReference w:id="31"/>
      </w:r>
      <w:r>
        <w:rPr>
          <w:rFonts w:ascii="Times New Roman" w:eastAsia="宋体" w:hAnsi="Times New Roman" w:cs="Times New Roman"/>
          <w:color w:val="000000"/>
          <w:kern w:val="0"/>
          <w:sz w:val="24"/>
        </w:rPr>
        <w:t xml:space="preserve">。图形组织器对高阶思维同样具有显著的促进作用，其中思维导图的效果最强，概念图由于结构复杂、绘制负担较重，效果相对较弱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vertAlign w:val="superscript"/>
        </w:rPr>
        <w:footnoteReference w:id="32"/>
      </w:r>
      <w:r>
        <w:rPr>
          <w:rFonts w:ascii="Times New Roman" w:eastAsia="宋体" w:hAnsi="Times New Roman" w:cs="Times New Roman"/>
          <w:color w:val="000000"/>
          <w:kern w:val="0"/>
          <w:sz w:val="24"/>
        </w:rPr>
        <w:t xml:space="preserve">。</w:t>
      </w:r>
    </w:p>
    <w:p w14:paraId="2291FE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 xml:space="preserve">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vertAlign w:val="superscript"/>
        </w:rPr>
        <w:footnoteReference w:id="33"/>
      </w:r>
      <w:r>
        <w:rPr>
          <w:rFonts w:ascii="Times New Roman" w:eastAsia="宋体" w:hAnsi="Times New Roman" w:cs="Times New Roman"/>
          <w:color w:val="000000"/>
          <w:kern w:val="0"/>
          <w:sz w:val="24"/>
        </w:rPr>
        <w:t xml:space="preserve">。</w:t>
      </w:r>
    </w:p>
    <w:p w14:paraId="55E2D3D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vertAlign w:val="superscript"/>
        </w:rPr>
        <w:footnoteReference w:id="34"/>
      </w:r>
      <w:r>
        <w:rPr>
          <w:rFonts w:ascii="Times New Roman" w:eastAsia="宋体" w:hAnsi="Times New Roman" w:cs="Times New Roman"/>
          <w:color w:val="000000"/>
          <w:kern w:val="0"/>
          <w:sz w:val="24"/>
        </w:rPr>
        <w:t xml:space="preserve">。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vertAlign w:val="superscript"/>
        </w:rPr>
        <w:footnoteReference w:id="35"/>
      </w:r>
      <w:r>
        <w:rPr>
          <w:rFonts w:ascii="Times New Roman" w:eastAsia="宋体" w:hAnsi="Times New Roman" w:cs="Times New Roman"/>
          <w:color w:val="000000"/>
          <w:kern w:val="0"/>
          <w:sz w:val="24"/>
        </w:rPr>
        <w:t xml:space="preserve">。</w:t>
      </w:r>
    </w:p>
    <w:p w14:paraId="79E6898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C37858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190AFC7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vertAlign w:val="superscript"/>
        </w:rPr>
        <w:footnoteReference w:id="36"/>
      </w:r>
      <w:r>
        <w:rPr>
          <w:rFonts w:ascii="Times New Roman" w:eastAsia="宋体" w:hAnsi="Times New Roman" w:cs="Times New Roman"/>
          <w:color w:val="000000"/>
          <w:kern w:val="0"/>
          <w:sz w:val="24"/>
        </w:rPr>
        <w:t xml:space="preserve">。</w:t>
      </w:r>
    </w:p>
    <w:p w14:paraId="55851CD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vertAlign w:val="superscript"/>
        </w:rPr>
        <w:footnoteReference w:id="37"/>
      </w:r>
      <w:r>
        <w:rPr>
          <w:rFonts w:ascii="Times New Roman" w:eastAsia="宋体" w:hAnsi="Times New Roman" w:cs="Times New Roman"/>
          <w:color w:val="000000"/>
          <w:kern w:val="0"/>
          <w:sz w:val="24"/>
        </w:rPr>
        <w:t xml:space="preserve">。</w:t>
      </w:r>
    </w:p>
    <w:p w14:paraId="6EAFCD8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上海的项目化学习政策体现了同样的思路。学科项目化学习指向本学科的核心素养，跨学科项目化学习则将自然和社会中真实而复杂的问题转化为项目，指向两个及以上学科的核心素养</w:t>
      </w:r>
      <w:r>
        <w:rPr>
          <w:rFonts w:ascii="Times New Roman" w:eastAsia="宋体" w:hAnsi="Times New Roman" w:cs="Times New Roman"/>
          <w:color w:val="000000"/>
          <w:kern w:val="0"/>
          <w:sz w:val="24"/>
          <w:vertAlign w:val="superscript"/>
        </w:rPr>
        <w:footnoteReference w:id="38"/>
      </w:r>
      <w:r>
        <w:rPr>
          <w:rFonts w:ascii="Times New Roman" w:eastAsia="宋体" w:hAnsi="Times New Roman" w:cs="Times New Roman"/>
          <w:color w:val="000000"/>
          <w:kern w:val="0"/>
          <w:sz w:val="24"/>
        </w:rPr>
        <w:t xml:space="preserve">。对本课题而言，高阶能力培育既需要跨学科共享的能力目标，又需要在语文、数学、物理、英语等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696D809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28EA65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w:t>
      </w:r>
      <w:r>
        <w:rPr>
          <w:rFonts w:ascii="Times New Roman" w:eastAsia="宋体" w:hAnsi="Times New Roman" w:cs="Times New Roman"/>
          <w:color w:val="000000"/>
          <w:kern w:val="0"/>
          <w:sz w:val="24"/>
          <w:vertAlign w:val="superscript"/>
        </w:rPr>
        <w:footnoteReference w:id="39"/>
      </w:r>
      <w:r>
        <w:rPr>
          <w:rFonts w:ascii="Times New Roman" w:eastAsia="宋体" w:hAnsi="Times New Roman" w:cs="Times New Roman"/>
          <w:color w:val="000000"/>
          <w:kern w:val="0"/>
          <w:sz w:val="24"/>
        </w:rPr>
        <w:t xml:space="preserve">。第二个难题是教师缺乏判断依据，对国际文凭学校教师的调查显示，评估学生批判性思维的进步是教师认为最困难的工作，探究性思维缺乏标准答案，而学生又习惯于索要确定的分数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vertAlign w:val="superscript"/>
        </w:rPr>
        <w:footnoteReference w:id="40"/>
      </w:r>
      <w:r>
        <w:rPr>
          <w:rFonts w:ascii="Times New Roman" w:eastAsia="宋体" w:hAnsi="Times New Roman" w:cs="Times New Roman"/>
          <w:color w:val="000000"/>
          <w:kern w:val="0"/>
          <w:sz w:val="24"/>
        </w:rPr>
        <w:t xml:space="preserve">。</w:t>
      </w:r>
    </w:p>
    <w:p w14:paraId="4353912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vertAlign w:val="superscript"/>
        </w:rPr>
        <w:footnoteReference w:id="41"/>
      </w:r>
      <w:r>
        <w:rPr>
          <w:rFonts w:ascii="Times New Roman" w:eastAsia="宋体" w:hAnsi="Times New Roman" w:cs="Times New Roman"/>
          <w:color w:val="000000"/>
          <w:kern w:val="0"/>
          <w:sz w:val="24"/>
        </w:rPr>
        <w:t xml:space="preserve">。学习结果结构分类（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 xml:space="preserve">）依据学生回答的结构复杂程度，将理解水平划分为前结构、单点结构、多点结构、关联结构和拓展抽象五个层次，后两个层次对应整合多方面信息并迁移至新问题的能力，为观察思维质量提供了表现性参照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vertAlign w:val="superscript"/>
        </w:rPr>
        <w:footnoteReference w:id="42"/>
      </w:r>
      <w:r>
        <w:rPr>
          <w:rFonts w:ascii="Times New Roman" w:eastAsia="宋体" w:hAnsi="Times New Roman" w:cs="Times New Roman"/>
          <w:color w:val="000000"/>
          <w:kern w:val="0"/>
          <w:sz w:val="24"/>
        </w:rPr>
        <w:t xml:space="preserve">。</w:t>
      </w:r>
    </w:p>
    <w:p w14:paraId="77F551C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vertAlign w:val="superscript"/>
        </w:rPr>
        <w:footnoteReference w:id="43"/>
      </w:r>
      <w:r>
        <w:rPr>
          <w:rFonts w:ascii="Times New Roman" w:eastAsia="宋体" w:hAnsi="Times New Roman" w:cs="Times New Roman"/>
          <w:color w:val="000000"/>
          <w:kern w:val="0"/>
          <w:sz w:val="24"/>
        </w:rPr>
        <w:t xml:space="preserve">。这意味着，高阶能力评价既要关注技能表现，也要关注思维倾向，并把测评结果放回具体的教学情境中理解。</w:t>
      </w:r>
    </w:p>
    <w:p w14:paraId="194EF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vertAlign w:val="superscript"/>
        </w:rPr>
        <w:footnoteReference w:id="44"/>
      </w:r>
      <w:r>
        <w:rPr>
          <w:rFonts w:ascii="Times New Roman" w:eastAsia="宋体" w:hAnsi="Times New Roman" w:cs="Times New Roman"/>
          <w:color w:val="000000"/>
          <w:kern w:val="0"/>
          <w:sz w:val="24"/>
        </w:rPr>
        <w:t xml:space="preserve">。学习分析技术扩大了可观察的范围，但仪表盘以颜色、进度条等形式给出的直观判断，可能先于并替代教师对学生学习的专业解释</w:t>
      </w:r>
      <w:r>
        <w:rPr>
          <w:rFonts w:ascii="Times New Roman" w:eastAsia="宋体" w:hAnsi="Times New Roman" w:cs="Times New Roman"/>
          <w:color w:val="000000"/>
          <w:kern w:val="0"/>
          <w:sz w:val="24"/>
          <w:vertAlign w:val="superscript"/>
        </w:rPr>
        <w:footnoteReference w:id="45"/>
      </w:r>
      <w:proofErr w:type="spellStart"/>
      <w:proofErr w:type="spellEnd"/>
      <w:r>
        <w:rPr>
          <w:rFonts w:ascii="Times New Roman" w:eastAsia="宋体" w:hAnsi="Times New Roman" w:cs="Times New Roman"/>
          <w:color w:val="000000"/>
          <w:kern w:val="0"/>
          <w:sz w:val="24"/>
        </w:rPr>
        <w:t xml:space="preserve">。</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0681CD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3CA9B79A"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 xml:space="preserve">周效果最佳，周期过短学生尚处适应阶段，周期过长则容易产生依赖和倦怠</w:t>
      </w:r>
      <w:r>
        <w:rPr>
          <w:rFonts w:ascii="Times New Roman" w:eastAsia="宋体" w:hAnsi="Times New Roman" w:cs="Times New Roman"/>
          <w:color w:val="000000"/>
          <w:kern w:val="0"/>
          <w:sz w:val="24"/>
          <w:vertAlign w:val="superscript"/>
        </w:rPr>
        <w:footnoteReference w:id="46"/>
      </w:r>
      <w:r>
        <w:rPr>
          <w:rFonts w:ascii="Times New Roman" w:eastAsia="宋体" w:hAnsi="Times New Roman" w:cs="Times New Roman"/>
          <w:color w:val="000000"/>
          <w:kern w:val="0"/>
          <w:sz w:val="24"/>
        </w:rPr>
        <w:t xml:space="preserve">。</w:t>
      </w:r>
    </w:p>
    <w:p w14:paraId="55F570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 xml:space="preserve">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vertAlign w:val="superscript"/>
        </w:rPr>
        <w:footnoteReference w:id="47"/>
      </w:r>
      <w:r>
        <w:rPr>
          <w:rFonts w:ascii="Times New Roman" w:eastAsia="宋体" w:hAnsi="Times New Roman" w:cs="Times New Roman"/>
          <w:color w:val="000000"/>
          <w:kern w:val="0"/>
          <w:sz w:val="24"/>
        </w:rPr>
        <w:t xml:space="preserve">。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vertAlign w:val="superscript"/>
        </w:rPr>
        <w:footnoteReference w:id="48"/>
      </w:r>
      <w:r>
        <w:rPr>
          <w:rFonts w:ascii="Times New Roman" w:eastAsia="宋体" w:hAnsi="Times New Roman" w:cs="Times New Roman"/>
          <w:color w:val="000000"/>
          <w:kern w:val="0"/>
          <w:sz w:val="24"/>
        </w:rPr>
        <w:t xml:space="preserve">。</w:t>
      </w:r>
    </w:p>
    <w:p w14:paraId="43F82A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vertAlign w:val="superscript"/>
        </w:rPr>
        <w:footnoteReference w:id="49"/>
      </w:r>
      <w:r>
        <w:rPr>
          <w:rFonts w:ascii="Times New Roman" w:eastAsia="宋体" w:hAnsi="Times New Roman" w:cs="Times New Roman"/>
          <w:color w:val="000000"/>
          <w:kern w:val="0"/>
          <w:sz w:val="24"/>
        </w:rPr>
        <w:t xml:space="preserve">。反馈研究建议，要求学生将人工智能生成的反馈与同伴意见、教师指导和优秀范例进行比较，并说明采纳或拒绝每条建议的理由，可以使技术反馈成为学生判断的素材而非替代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vertAlign w:val="superscript"/>
        </w:rPr>
        <w:footnoteReference w:id="50"/>
      </w:r>
      <w:r>
        <w:rPr>
          <w:rFonts w:ascii="Times New Roman" w:eastAsia="宋体" w:hAnsi="Times New Roman" w:cs="Times New Roman"/>
          <w:color w:val="000000"/>
          <w:kern w:val="0"/>
          <w:sz w:val="24"/>
        </w:rPr>
        <w:t xml:space="preserve">。数智技术并未降低高阶能力的重要性，反而对学习设计以及判断学生是否真正进行思考提出了更高要求。</w:t>
      </w:r>
    </w:p>
    <w:p w14:paraId="228BE3E2"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6BB2256C"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2C5295A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7743CD0E"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7F1E846C"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50CB2A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国内研究经历了由引介到转化的过程。早期研究主要介绍该理论的元分析方法和效应量排序，并讨论其对教育学实证化的意义；此后研究逐步扩展到学习科学基础、反馈与评价、教师心智框架和学校改进等方面，近年又出现了学科教学、项目化学习和家校协同中的应用探索。2025年《上海教育》第26期以专题形式集中刊发14篇文章，内容涵盖理论发展、学习原则、高阶能力、反馈、教学模式、学科应用、领导力、家庭教育和学校实践，反映出高校研究者与中小学合作推进本土转化的趋势。国际上则同时出现了对该理论证据基础的系统批评，以及对其跨国传播方式的反思。以下按照基本主张与证据基础、学习科学基础与学业进阶、反馈与学生自评、教师心智框架与教学模式、学校改进与家校协同、学科教学与项目化学习中的应用、全球迁移与学术争议七个主题进行综述。</w:t>
      </w:r>
    </w:p>
    <w:p w14:paraId="1D298548"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1）基本主张与证据基础</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 xml:space="preserve">个标准差的平均效应作为比较不同教育干预相对效果的参照</w:t>
      </w:r>
      <w:r>
        <w:rPr>
          <w:rFonts w:ascii="Times New Roman" w:eastAsia="宋体" w:hAnsi="Times New Roman" w:cs="Times New Roman"/>
          <w:color w:val="000000"/>
          <w:kern w:val="0"/>
          <w:sz w:val="24"/>
          <w:vertAlign w:val="superscript"/>
        </w:rPr>
        <w:footnoteReference w:id="51"/>
      </w:r>
      <w:r>
        <w:rPr>
          <w:rFonts w:ascii="Times New Roman" w:eastAsia="宋体" w:hAnsi="Times New Roman" w:cs="Times New Roman"/>
          <w:color w:val="000000"/>
          <w:kern w:val="0"/>
          <w:sz w:val="24"/>
        </w:rPr>
        <w:t xml:space="preserve">。由于几乎所有教学干预都能带来一定进步，这一框架主张判断一项干预是否值得推广，应看其能否带来高于平均水平的增益。</w:t>
      </w:r>
    </w:p>
    <w:p w14:paraId="69C9B2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 xml:space="preserve">）以课程锚定的诊断性测评为教师提供学生所处进阶位置的信息，使评价结果能够及时转化为调整教学的依据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vertAlign w:val="superscript"/>
        </w:rPr>
        <w:footnoteReference w:id="52"/>
      </w:r>
      <w:r>
        <w:rPr>
          <w:rFonts w:ascii="Times New Roman" w:eastAsia="宋体" w:hAnsi="Times New Roman" w:cs="Times New Roman"/>
          <w:color w:val="000000"/>
          <w:kern w:val="0"/>
          <w:sz w:val="24"/>
        </w:rPr>
        <w:t xml:space="preserve">。</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国内学者较早从教学论角度解读这一理论。彭正梅</w:t>
      </w:r>
      <w:r>
        <w:rPr>
          <w:rFonts w:ascii="Times New Roman" w:eastAsia="宋体" w:hAnsi="Times New Roman" w:cs="Times New Roman"/>
          <w:color w:val="000000"/>
          <w:kern w:val="0"/>
          <w:sz w:val="24"/>
          <w:vertAlign w:val="superscript"/>
        </w:rPr>
        <w:footnoteReference w:id="53"/>
      </w:r>
      <w:r>
        <w:rPr>
          <w:rFonts w:ascii="Times New Roman" w:eastAsia="宋体" w:hAnsi="Times New Roman" w:cs="Times New Roman"/>
          <w:color w:val="000000"/>
          <w:kern w:val="0"/>
          <w:sz w:val="24"/>
        </w:rPr>
        <w:t xml:space="preserve">认为，可见的学习具有普通教学论的性质，其价值在于把教师、学生、内容和环境组织为相互联系的整体，因素排名并不能直接决定家庭作业、混龄编班等具体制度的取舍，教师如何组合教学条件并把握教学时机同样重要。施芳婷</w:t>
      </w:r>
      <w:r>
        <w:rPr>
          <w:rFonts w:ascii="Times New Roman" w:eastAsia="宋体" w:hAnsi="Times New Roman" w:cs="Times New Roman"/>
          <w:color w:val="000000"/>
          <w:kern w:val="0"/>
          <w:sz w:val="24"/>
          <w:vertAlign w:val="superscript"/>
        </w:rPr>
        <w:footnoteReference w:id="54"/>
      </w:r>
      <w:r>
        <w:rPr>
          <w:rFonts w:ascii="Times New Roman" w:eastAsia="宋体" w:hAnsi="Times New Roman" w:cs="Times New Roman"/>
          <w:color w:val="000000"/>
          <w:kern w:val="0"/>
          <w:sz w:val="24"/>
        </w:rPr>
        <w:t xml:space="preserve">沿用教学三角的解释框架，把教学置于学生、教师和课程之间，将家庭、学校和班级视为外部条件，并强调教师应着力改善那些能够被教学改变的学习条件。伍绍杨等</w:t>
      </w:r>
      <w:r>
        <w:rPr>
          <w:rFonts w:ascii="Times New Roman" w:eastAsia="宋体" w:hAnsi="Times New Roman" w:cs="Times New Roman"/>
          <w:color w:val="000000"/>
          <w:kern w:val="0"/>
          <w:sz w:val="24"/>
          <w:vertAlign w:val="superscript"/>
        </w:rPr>
        <w:footnoteReference w:id="55"/>
      </w:r>
      <w:r>
        <w:rPr>
          <w:rFonts w:ascii="Times New Roman" w:eastAsia="宋体" w:hAnsi="Times New Roman" w:cs="Times New Roman"/>
          <w:color w:val="000000"/>
          <w:kern w:val="0"/>
          <w:sz w:val="24"/>
        </w:rPr>
        <w:t xml:space="preserve">比较了Hattie的元分析证据与OECD的PISA-TALIS调查，发现两类研究的方法和变量虽然不同，但都凸显了教师可信度、教学热忱、反馈能力和支持性课堂环境的作用，据此主张重新重视教师与教学；他们同时提醒，元分析依赖原始研究的数量与质量，PISA-TALIS受到横截面设计和自我报告的限制，相关结果不能直接解释为确定的因果机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该理论自身也在不断发展。彭正梅和伍绍杨</w:t>
      </w:r>
      <w:r>
        <w:rPr>
          <w:rFonts w:ascii="Times New Roman" w:eastAsia="宋体" w:hAnsi="Times New Roman" w:cs="Times New Roman"/>
          <w:color w:val="000000"/>
          <w:kern w:val="0"/>
          <w:sz w:val="24"/>
          <w:vertAlign w:val="superscript"/>
        </w:rPr>
        <w:footnoteReference w:id="56"/>
      </w:r>
      <w:r>
        <w:rPr>
          <w:rFonts w:ascii="Times New Roman" w:eastAsia="宋体" w:hAnsi="Times New Roman" w:cs="Times New Roman"/>
          <w:color w:val="000000"/>
          <w:kern w:val="0"/>
          <w:sz w:val="24"/>
        </w:rPr>
        <w:t xml:space="preserve">梳理了相关著作由元分析综合到教师版、学习科学、影响循环和学校改进的扩展过程，指出可见的学习2.0在更新数据的同时，进一步反思了机械使用因素排名的做法，更加重视实施方式、教师判断、公平包容和信任关系，形成了更为均衡的教育视角。这一变化意味着，理解可见的学习需要从关注哪些因素的效应量更高，转向关注教师如何在具体情境中依据证据改进教学。</w:t>
      </w:r>
    </w:p>
    <w:p w14:paraId="79BF6C4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2）学习科学基础与学业进阶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可见的学习对教学的解释建立在学习科学的基础之上。张诗琪</w:t>
      </w:r>
      <w:r>
        <w:rPr>
          <w:rFonts w:ascii="Times New Roman" w:eastAsia="宋体" w:hAnsi="Times New Roman" w:cs="Times New Roman"/>
          <w:color w:val="000000"/>
          <w:kern w:val="0"/>
          <w:sz w:val="24"/>
          <w:vertAlign w:val="superscript"/>
        </w:rPr>
        <w:footnoteReference w:id="57"/>
      </w:r>
      <w:r>
        <w:rPr>
          <w:rFonts w:ascii="Times New Roman" w:eastAsia="宋体" w:hAnsi="Times New Roman" w:cs="Times New Roman"/>
          <w:color w:val="000000"/>
          <w:kern w:val="0"/>
          <w:sz w:val="24"/>
        </w:rPr>
        <w:t xml:space="preserve">介绍了Hattie与合作者提出的九项学习原则，包括学习精进需要时间、努力和结构化指导，已有知识影响新信息的组织，有限的认知资源要求教学控制负荷，学生能够从社会榜样、直接教学和纠正性反馈中获益，适当的目标、自我效能和良好关系有助于维持投入等，同时提醒警惕学习风格匹配、一心多用以及技术能够自动提升学习等流行观念。伍绍杨和彭正梅</w:t>
      </w:r>
      <w:r>
        <w:rPr>
          <w:rFonts w:ascii="Times New Roman" w:eastAsia="宋体" w:hAnsi="Times New Roman" w:cs="Times New Roman"/>
          <w:color w:val="000000"/>
          <w:kern w:val="0"/>
          <w:sz w:val="24"/>
          <w:vertAlign w:val="superscript"/>
        </w:rPr>
        <w:footnoteReference w:id="58"/>
      </w:r>
      <w:r>
        <w:rPr>
          <w:rFonts w:ascii="Times New Roman" w:eastAsia="宋体" w:hAnsi="Times New Roman" w:cs="Times New Roman"/>
          <w:color w:val="000000"/>
          <w:kern w:val="0"/>
          <w:sz w:val="24"/>
        </w:rPr>
        <w:t xml:space="preserve">进一步指出，学习科学内部同时存在强调情境与知识建构、强调神经与认知机制两种话语，神经机制需要经过不同层次证据的转化才能进入课堂。他们综合元分析、心理学和神经科学的材料，提炼出神经可塑性、双系统模型、认知负荷、社会脑、动机调控系统和神经普适性六个共通主题，主张以跨层次证据支持教师的专业判断，并警惕学习风格、左右脑等概念被简化和商业包装。</w:t>
      </w:r>
    </w:p>
    <w:p w14:paraId="3FA94F9C"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 xml:space="preserve">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vertAlign w:val="superscript"/>
        </w:rPr>
        <w:footnoteReference w:id="59"/>
      </w:r>
      <w:r>
        <w:rPr>
          <w:rFonts w:ascii="Times New Roman" w:eastAsia="宋体" w:hAnsi="Times New Roman" w:cs="Times New Roman"/>
          <w:color w:val="000000"/>
          <w:kern w:val="0"/>
          <w:sz w:val="24"/>
        </w:rPr>
        <w:t xml:space="preserve">。</w:t>
      </w:r>
    </w:p>
    <w:p w14:paraId="5D5FE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vertAlign w:val="superscript"/>
        </w:rPr>
        <w:footnoteReference w:id="60"/>
      </w:r>
      <w:r>
        <w:rPr>
          <w:rFonts w:ascii="Times New Roman" w:eastAsia="宋体" w:hAnsi="Times New Roman" w:cs="Times New Roman"/>
          <w:color w:val="000000"/>
          <w:kern w:val="0"/>
          <w:sz w:val="24"/>
        </w:rPr>
        <w:t xml:space="preserve">。这一发现提示，学校自行构建的能力进阶描述同样需要在教学实践中检验和修订。</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3）反馈与学生自评</w:t>
      </w:r>
    </w:p>
    <w:p w14:paraId="42CE9BC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vertAlign w:val="superscript"/>
        </w:rPr>
        <w:footnoteReference w:id="61"/>
      </w:r>
      <w:r>
        <w:rPr>
          <w:rFonts w:ascii="Times New Roman" w:eastAsia="宋体" w:hAnsi="Times New Roman" w:cs="Times New Roman"/>
          <w:color w:val="000000"/>
          <w:kern w:val="0"/>
          <w:sz w:val="24"/>
        </w:rPr>
        <w:t xml:space="preserve">。反馈具有双向性，学生的作业、提问和错误同样是教师判断教学效果的信息来源，有研究者进一步主张将学校建设为持续追问下一步方向的反馈文化</w:t>
      </w:r>
      <w:r>
        <w:rPr>
          <w:rFonts w:ascii="Times New Roman" w:eastAsia="宋体" w:hAnsi="Times New Roman" w:cs="Times New Roman"/>
          <w:color w:val="000000"/>
          <w:kern w:val="0"/>
          <w:sz w:val="24"/>
          <w:vertAlign w:val="superscript"/>
        </w:rPr>
        <w:footnoteReference w:id="62"/>
      </w:r>
      <w:r>
        <w:rPr>
          <w:rFonts w:ascii="Times New Roman" w:eastAsia="宋体" w:hAnsi="Times New Roman" w:cs="Times New Roman"/>
          <w:color w:val="000000"/>
          <w:kern w:val="0"/>
          <w:sz w:val="24"/>
        </w:rPr>
        <w:t xml:space="preserve">。课堂观察研究发现，教师往往难以觉察课堂中正在发生的大部分事情，教师自认为讲授仅占课堂时间的二至三成，实际测量却达到七至八成</w:t>
      </w:r>
      <w:r>
        <w:rPr>
          <w:rFonts w:ascii="Times New Roman" w:eastAsia="宋体" w:hAnsi="Times New Roman" w:cs="Times New Roman"/>
          <w:color w:val="000000"/>
          <w:kern w:val="0"/>
          <w:sz w:val="24"/>
          <w:vertAlign w:val="superscript"/>
        </w:rPr>
        <w:footnoteReference w:id="63"/>
      </w:r>
      <w:r>
        <w:rPr>
          <w:rFonts w:ascii="Times New Roman" w:eastAsia="宋体" w:hAnsi="Times New Roman" w:cs="Times New Roman"/>
          <w:color w:val="000000"/>
          <w:kern w:val="0"/>
          <w:sz w:val="24"/>
        </w:rPr>
        <w:t xml:space="preserve">，这说明教师需要借助证据而非仅凭感觉了解课堂。反馈的效果还取决于学习者的反馈素养，即理解反馈、判断其合理性、调节面对批评时的情绪并将建议转化为改进行动的能力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vertAlign w:val="superscript"/>
        </w:rPr>
        <w:footnoteReference w:id="64"/>
      </w:r>
      <w:r>
        <w:rPr>
          <w:rFonts w:ascii="Times New Roman" w:eastAsia="宋体" w:hAnsi="Times New Roman" w:cs="Times New Roman"/>
          <w:color w:val="000000"/>
          <w:kern w:val="0"/>
          <w:sz w:val="24"/>
        </w:rPr>
        <w:t xml:space="preserve">。</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国内研究在引介反馈模型的基础上作了扩展和本土诊断。伍绍杨和彭正梅</w:t>
      </w:r>
      <w:r>
        <w:rPr>
          <w:rFonts w:ascii="Times New Roman" w:eastAsia="宋体" w:hAnsi="Times New Roman" w:cs="Times New Roman"/>
          <w:color w:val="000000"/>
          <w:kern w:val="0"/>
          <w:sz w:val="24"/>
          <w:vertAlign w:val="superscript"/>
        </w:rPr>
        <w:footnoteReference w:id="65"/>
      </w:r>
      <w:r>
        <w:rPr>
          <w:rFonts w:ascii="Times New Roman" w:eastAsia="宋体" w:hAnsi="Times New Roman" w:cs="Times New Roman"/>
          <w:color w:val="000000"/>
          <w:kern w:val="0"/>
          <w:sz w:val="24"/>
        </w:rPr>
        <w:t xml:space="preserve">回顾了行为主义、认知主义和建构主义的反馈观，指出学习者的先前知识、信念、情绪以及师生信任影响反馈能否被接受，课堂实施还需要统筹反馈的时机、互动结构和媒介，师生双方的反馈素养都需要发展；他们同时提出，不同研究对反馈的界定和功能划分并不一致，会影响元分析结果的可比性，创造性任务的质量标准具有开放性，也难以完全分解为标准化程序，因而需要通过协商与对话理解成功标准。李茂森和祝蕾蕾</w:t>
      </w:r>
      <w:r>
        <w:rPr>
          <w:rFonts w:ascii="Times New Roman" w:eastAsia="宋体" w:hAnsi="Times New Roman" w:cs="Times New Roman"/>
          <w:color w:val="000000"/>
          <w:kern w:val="0"/>
          <w:sz w:val="24"/>
          <w:vertAlign w:val="superscript"/>
        </w:rPr>
        <w:footnoteReference w:id="66"/>
      </w:r>
      <w:r>
        <w:rPr>
          <w:rFonts w:ascii="Times New Roman" w:eastAsia="宋体" w:hAnsi="Times New Roman" w:cs="Times New Roman"/>
          <w:color w:val="000000"/>
          <w:kern w:val="0"/>
          <w:sz w:val="24"/>
        </w:rPr>
        <w:t xml:space="preserve">发现，中小学课堂反馈存在方式僵化、内容窄化、环节固化和效能弱化等困境，表现为频繁判断对错、依赖个人表扬、同伴参与不足以及忽视学生对反馈的运用，并据此构建了包含情境、干预、机制和结果四个要素的课堂反馈模型。温英贝和伍绍杨</w:t>
      </w:r>
      <w:r>
        <w:rPr>
          <w:rFonts w:ascii="Times New Roman" w:eastAsia="宋体" w:hAnsi="Times New Roman" w:cs="Times New Roman"/>
          <w:color w:val="000000"/>
          <w:kern w:val="0"/>
          <w:sz w:val="24"/>
          <w:vertAlign w:val="superscript"/>
        </w:rPr>
        <w:footnoteReference w:id="67"/>
      </w:r>
      <w:r>
        <w:rPr>
          <w:rFonts w:ascii="Times New Roman" w:eastAsia="宋体" w:hAnsi="Times New Roman" w:cs="Times New Roman"/>
          <w:color w:val="000000"/>
          <w:kern w:val="0"/>
          <w:sz w:val="24"/>
        </w:rPr>
        <w:t xml:space="preserve">则把分析重点放在反馈的接受与行动上，主张通过信任关系、欢迎错误的课堂文化以及围绕优秀作品和成功标准的共同讨论，把反馈组织为师生之间的双向对话，使评语真正进入学生的修订行动。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反馈的最终指向是学生能够评价和调整自己的学习。陈丽莎等</w:t>
      </w:r>
      <w:r>
        <w:rPr>
          <w:rFonts w:ascii="Times New Roman" w:eastAsia="宋体" w:hAnsi="Times New Roman" w:cs="Times New Roman"/>
          <w:color w:val="000000"/>
          <w:kern w:val="0"/>
          <w:sz w:val="24"/>
          <w:vertAlign w:val="superscript"/>
        </w:rPr>
        <w:footnoteReference w:id="68"/>
      </w:r>
      <w:r>
        <w:rPr>
          <w:rFonts w:ascii="Times New Roman" w:eastAsia="宋体" w:hAnsi="Times New Roman" w:cs="Times New Roman"/>
          <w:color w:val="000000"/>
          <w:kern w:val="0"/>
          <w:sz w:val="24"/>
        </w:rPr>
        <w:t xml:space="preserve">提出，学生自评能力的培养包括两种转化，一是通过诊断、干预、实施和评估，使教师的自评能力逐步转化为学生的自评能力，二是使教师的心智框架逐步转化为学生的心智框架，学习责任由此从教师转交给学生；他们还认为，缺乏目标认识与自我监控的学生难以有效管理自主学习，自评能力因而是开展个性化教学的重要前提。高嘉诚和梁锦芳</w:t>
      </w:r>
      <w:r>
        <w:rPr>
          <w:rFonts w:ascii="Times New Roman" w:eastAsia="宋体" w:hAnsi="Times New Roman" w:cs="Times New Roman"/>
          <w:color w:val="000000"/>
          <w:kern w:val="0"/>
          <w:sz w:val="24"/>
          <w:vertAlign w:val="superscript"/>
        </w:rPr>
        <w:footnoteReference w:id="69"/>
      </w:r>
      <w:r>
        <w:rPr>
          <w:rFonts w:ascii="Times New Roman" w:eastAsia="宋体" w:hAnsi="Times New Roman" w:cs="Times New Roman"/>
          <w:color w:val="000000"/>
          <w:kern w:val="0"/>
          <w:sz w:val="24"/>
        </w:rPr>
        <w:t xml:space="preserve">基于杭州闻涛中学的实践提出，成功标准可以通过师生讨论共同制订和优化，生长式评价量表能够成为学生的学习支架，教师的元认知示范与领导者组织的协作式专业对话共同支持学生自评能力的发展。</w:t>
      </w:r>
    </w:p>
    <w:p w14:paraId="0B3B1C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4）教师心智框架与教学模式</w:t>
      </w:r>
    </w:p>
    <w:p w14:paraId="75CE9ED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 xml:space="preserve">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vertAlign w:val="superscript"/>
        </w:rPr>
        <w:footnoteReference w:id="70"/>
      </w:r>
      <w:r>
        <w:rPr>
          <w:rFonts w:ascii="Times New Roman" w:eastAsia="宋体" w:hAnsi="Times New Roman" w:cs="Times New Roman"/>
          <w:color w:val="000000"/>
          <w:kern w:val="0"/>
          <w:sz w:val="24"/>
        </w:rPr>
        <w:t xml:space="preserve">。</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国内研究对教师心智框架的讨论更多结合中国教育传统展开。Hattie和Zierer后来将教师思维框架扩展为十个心智框架，彭正梅等</w:t>
      </w:r>
      <w:r>
        <w:rPr>
          <w:rFonts w:ascii="Times New Roman" w:eastAsia="宋体" w:hAnsi="Times New Roman" w:cs="Times New Roman"/>
          <w:color w:val="000000"/>
          <w:kern w:val="0"/>
          <w:sz w:val="24"/>
          <w:vertAlign w:val="superscript"/>
        </w:rPr>
        <w:footnoteReference w:id="71"/>
      </w:r>
      <w:r>
        <w:rPr>
          <w:rFonts w:ascii="Times New Roman" w:eastAsia="宋体" w:hAnsi="Times New Roman" w:cs="Times New Roman"/>
          <w:color w:val="000000"/>
          <w:kern w:val="0"/>
          <w:sz w:val="24"/>
        </w:rPr>
        <w:t xml:space="preserve">将其与《学记》中的教师信条比较，认为二者在教师专业责任、合作、教学时机和学生自主发展方面具有共识，但前者更突出学习证据与评价反馈，后者更重视社会责任以及学生离开教师后的独立性，并将根据学生准备程度、任务难度和情境变化选择恰当支持的教育机敏视为卓越教师的核心。林心悦</w:t>
      </w:r>
      <w:r>
        <w:rPr>
          <w:rFonts w:ascii="Times New Roman" w:eastAsia="宋体" w:hAnsi="Times New Roman" w:cs="Times New Roman"/>
          <w:color w:val="000000"/>
          <w:kern w:val="0"/>
          <w:sz w:val="24"/>
          <w:vertAlign w:val="superscript"/>
        </w:rPr>
        <w:footnoteReference w:id="72"/>
      </w:r>
      <w:r>
        <w:rPr>
          <w:rFonts w:ascii="Times New Roman" w:eastAsia="宋体" w:hAnsi="Times New Roman" w:cs="Times New Roman"/>
          <w:color w:val="000000"/>
          <w:kern w:val="0"/>
          <w:sz w:val="24"/>
        </w:rPr>
        <w:t xml:space="preserve">进一步由心智框架推导教师的专业品质，认为批判性思维使教师能够检验自身方法、理解他者视角并调整决策，教学热忱经过长期反思与实践，会转化为捕捉学生状态、把握教学时机的教育直觉。</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在教学过程层面，Hattie及其合作者提出的DIIE模式把教学组织为诊断与发现、干预、实施和评估四个阶段。高妍等</w:t>
      </w:r>
      <w:r>
        <w:rPr>
          <w:rFonts w:ascii="Times New Roman" w:eastAsia="宋体" w:hAnsi="Times New Roman" w:cs="Times New Roman"/>
          <w:color w:val="000000"/>
          <w:kern w:val="0"/>
          <w:sz w:val="24"/>
          <w:vertAlign w:val="superscript"/>
        </w:rPr>
        <w:footnoteReference w:id="73"/>
      </w:r>
      <w:r>
        <w:rPr>
          <w:rFonts w:ascii="Times New Roman" w:eastAsia="宋体" w:hAnsi="Times New Roman" w:cs="Times New Roman"/>
          <w:color w:val="000000"/>
          <w:kern w:val="0"/>
          <w:sz w:val="24"/>
        </w:rPr>
        <w:t xml:space="preserve">将这一模式阐释为教师可以共享的教学语言，诊断关注学生的先前知识、学习意愿与动力，干预针对当前水平与目标之间的差距选择策略，实施强调明确目标、适当任务和差异化支持，评估依据成功标准收集证据并决定后续方向；他们还区分了补偿性支持与适应性支持，并提出评估应同时考察成就与进步，对高成就但进步有限的学生同样需要重新审视支持方式。共享的教学语言使教师能够围绕学生证据讨论和调整教学，这为本课题建构四步调节的教学模型提供了直接参照。</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5）学校改进、领导力与家校协同</w:t>
      </w:r>
    </w:p>
    <w:p w14:paraId="12AFF7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vertAlign w:val="superscript"/>
        </w:rPr>
        <w:footnoteReference w:id="74"/>
      </w:r>
      <w:r>
        <w:rPr>
          <w:rFonts w:ascii="Times New Roman" w:eastAsia="宋体" w:hAnsi="Times New Roman" w:cs="Times New Roman"/>
          <w:color w:val="000000"/>
          <w:kern w:val="0"/>
          <w:sz w:val="24"/>
        </w:rPr>
        <w:t xml:space="preserve">。有效的专业学习共同体通常具有聚焦学生学习的共同愿景、对学生学业成效的集体责任、反思性的专业探究以及超越一般互助的深度协作等特征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vertAlign w:val="superscript"/>
        </w:rPr>
        <w:footnoteReference w:id="75"/>
      </w:r>
      <w:r>
        <w:rPr>
          <w:rFonts w:ascii="Times New Roman" w:eastAsia="宋体" w:hAnsi="Times New Roman" w:cs="Times New Roman"/>
          <w:color w:val="000000"/>
          <w:kern w:val="0"/>
          <w:sz w:val="24"/>
        </w:rPr>
        <w:t xml:space="preserve">。关于教育证据使用的研究也发现，学校在日常排课中为教师保留专门的研讨时间，教师才能在互信的氛围中提出疑问、研读研究并结合班级学情设计教学尝试，研究证据也更可能真正进入课堂</w:t>
      </w:r>
      <w:r>
        <w:rPr>
          <w:rFonts w:ascii="Times New Roman" w:eastAsia="宋体" w:hAnsi="Times New Roman" w:cs="Times New Roman"/>
          <w:color w:val="000000"/>
          <w:kern w:val="0"/>
          <w:sz w:val="24"/>
          <w:vertAlign w:val="superscript"/>
        </w:rPr>
        <w:footnoteReference w:id="76"/>
      </w:r>
      <w:proofErr w:type="spellStart"/>
      <w:proofErr w:type="spellEnd"/>
      <w:r>
        <w:rPr>
          <w:rFonts w:ascii="Times New Roman" w:eastAsia="宋体" w:hAnsi="Times New Roman" w:cs="Times New Roman"/>
          <w:color w:val="000000"/>
          <w:kern w:val="0"/>
          <w:sz w:val="24"/>
        </w:rPr>
        <w:t xml:space="preserve">。</w:t>
      </w:r>
    </w:p>
    <w:p w14:paraId="03B1AE9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r>
        <w:rPr>
          <w:rFonts w:ascii="Times New Roman" w:eastAsia="宋体" w:hAnsi="Times New Roman" w:cs="Times New Roman"/>
          <w:color w:val="000000"/>
          <w:kern w:val="0"/>
          <w:sz w:val="24"/>
          <w:vertAlign w:val="superscript"/>
        </w:rPr>
        <w:footnoteReference w:id="77"/>
      </w:r>
      <w:proofErr w:type="spellStart"/>
      <w:proofErr w:type="spellEnd"/>
      <w:r>
        <w:rPr>
          <w:rFonts w:ascii="Times New Roman" w:eastAsia="宋体" w:hAnsi="Times New Roman" w:cs="Times New Roman"/>
          <w:color w:val="000000"/>
          <w:kern w:val="0"/>
          <w:sz w:val="24"/>
        </w:rPr>
        <w:t xml:space="preserve">。另一方面，把课例研究作为教师共同检验教学方案的正式机制，有助于将教师自身的探究与外部研究证据结合起来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vertAlign w:val="superscript"/>
        </w:rPr>
        <w:footnoteReference w:id="78"/>
      </w:r>
      <w:r>
        <w:rPr>
          <w:rFonts w:ascii="Times New Roman" w:eastAsia="宋体" w:hAnsi="Times New Roman" w:cs="Times New Roman"/>
          <w:color w:val="000000"/>
          <w:kern w:val="0"/>
          <w:sz w:val="24"/>
        </w:rPr>
        <w:t xml:space="preserve">。教研活动的关键在于是否聚焦学生真实的学习表现，并在多轮实践中检验改进是否有效。</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学校领导者在其中承担组织证据使用的责任。陈添</w:t>
      </w:r>
      <w:r>
        <w:rPr>
          <w:rFonts w:ascii="Times New Roman" w:eastAsia="宋体" w:hAnsi="Times New Roman" w:cs="Times New Roman"/>
          <w:color w:val="000000"/>
          <w:kern w:val="0"/>
          <w:sz w:val="24"/>
          <w:vertAlign w:val="superscript"/>
        </w:rPr>
        <w:footnoteReference w:id="79"/>
      </w:r>
      <w:r>
        <w:rPr>
          <w:rFonts w:ascii="Times New Roman" w:eastAsia="宋体" w:hAnsi="Times New Roman" w:cs="Times New Roman"/>
          <w:color w:val="000000"/>
          <w:kern w:val="0"/>
          <w:sz w:val="24"/>
        </w:rPr>
        <w:t xml:space="preserve">认为，领导者首先应成为影响评估者，持续追问管理决策如何改变教师实践和学生学习，并从以证据评价改革、通过多维对话形成集体效能、设置明确且有挑战性的期望、建设目标与反馈清晰可见的学校文化四个方面推动领导方式的转变。可见的学习的影响还延伸到家庭。陈丽莎和伍绍杨</w:t>
      </w:r>
      <w:r>
        <w:rPr>
          <w:rFonts w:ascii="Times New Roman" w:eastAsia="宋体" w:hAnsi="Times New Roman" w:cs="Times New Roman"/>
          <w:color w:val="000000"/>
          <w:kern w:val="0"/>
          <w:sz w:val="24"/>
          <w:vertAlign w:val="superscript"/>
        </w:rPr>
        <w:footnoteReference w:id="80"/>
      </w:r>
      <w:r>
        <w:rPr>
          <w:rFonts w:ascii="Times New Roman" w:eastAsia="宋体" w:hAnsi="Times New Roman" w:cs="Times New Roman"/>
          <w:color w:val="000000"/>
          <w:kern w:val="0"/>
          <w:sz w:val="24"/>
        </w:rPr>
        <w:t xml:space="preserve">针对中国家庭中常见的作业焦虑和过度干预，主张父母把明确的界限与积极回应、自主空间结合起来，以具体的任务反馈替代笼统表扬，并示范承认错误、分析过程和制定改进计划，使家庭成为支持学生学习的力量。</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6）学科教学与项目化学习中的应用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近年来，国内研究开始把可见的学习转化为学科教学和项目化学习的具体设计。石修银</w:t>
      </w:r>
      <w:r>
        <w:rPr>
          <w:rFonts w:ascii="Times New Roman" w:eastAsia="宋体" w:hAnsi="Times New Roman" w:cs="Times New Roman"/>
          <w:color w:val="000000"/>
          <w:kern w:val="0"/>
          <w:sz w:val="24"/>
          <w:vertAlign w:val="superscript"/>
        </w:rPr>
        <w:footnoteReference w:id="81"/>
      </w:r>
      <w:r>
        <w:rPr>
          <w:rFonts w:ascii="Times New Roman" w:eastAsia="宋体" w:hAnsi="Times New Roman" w:cs="Times New Roman"/>
          <w:color w:val="000000"/>
          <w:kern w:val="0"/>
          <w:sz w:val="24"/>
        </w:rPr>
        <w:t xml:space="preserve">针对语文课堂目标模糊和浅层学习等问题，从教学设计、过程和评价三个维度提出重构建议，强调确立主要目标，通过追问、讨论和教师示范促进学生的认知改变，并运用成就水平检查单考察表层知识、深层理解和概念性思维。邱惠芬</w:t>
      </w:r>
      <w:r>
        <w:rPr>
          <w:rFonts w:ascii="Times New Roman" w:eastAsia="宋体" w:hAnsi="Times New Roman" w:cs="Times New Roman"/>
          <w:color w:val="000000"/>
          <w:kern w:val="0"/>
          <w:sz w:val="24"/>
          <w:vertAlign w:val="superscript"/>
        </w:rPr>
        <w:footnoteReference w:id="82"/>
      </w:r>
      <w:r>
        <w:rPr>
          <w:rFonts w:ascii="Times New Roman" w:eastAsia="宋体" w:hAnsi="Times New Roman" w:cs="Times New Roman"/>
          <w:color w:val="000000"/>
          <w:kern w:val="0"/>
          <w:sz w:val="24"/>
        </w:rPr>
        <w:t xml:space="preserve">结合初中化学课程标准，构建了由目标、知识、实践和评价四个要素组成的学习分析框架，并以酸性土壤改良为例，通过方案设计、实验操作、定量分析和评价量表收集学习证据，诊断知识理解与实际表现之间的差距。马梓越等</w:t>
      </w:r>
      <w:r>
        <w:rPr>
          <w:rFonts w:ascii="Times New Roman" w:eastAsia="宋体" w:hAnsi="Times New Roman" w:cs="Times New Roman"/>
          <w:color w:val="000000"/>
          <w:kern w:val="0"/>
          <w:sz w:val="24"/>
          <w:vertAlign w:val="superscript"/>
        </w:rPr>
        <w:footnoteReference w:id="83"/>
      </w:r>
      <w:r>
        <w:rPr>
          <w:rFonts w:ascii="Times New Roman" w:eastAsia="宋体" w:hAnsi="Times New Roman" w:cs="Times New Roman"/>
          <w:color w:val="000000"/>
          <w:kern w:val="0"/>
          <w:sz w:val="24"/>
        </w:rPr>
        <w:t xml:space="preserve">将表层、深度和迁移学习模型具体化为语文议论文、数学函数和科学生态系统的教学设计，指出实施的关键在于教师准确判断学生所处的阶段，避免在基础不足时过早提高复杂要求，或在学生已形成深度理解后继续重复表层练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项目化学习是另一类重要的应用场域。何光友等</w:t>
      </w:r>
      <w:r>
        <w:rPr>
          <w:rFonts w:ascii="Times New Roman" w:eastAsia="宋体" w:hAnsi="Times New Roman" w:cs="Times New Roman"/>
          <w:color w:val="000000"/>
          <w:kern w:val="0"/>
          <w:sz w:val="24"/>
          <w:vertAlign w:val="superscript"/>
        </w:rPr>
        <w:footnoteReference w:id="84"/>
      </w:r>
      <w:r>
        <w:rPr>
          <w:rFonts w:ascii="Times New Roman" w:eastAsia="宋体" w:hAnsi="Times New Roman" w:cs="Times New Roman"/>
          <w:color w:val="000000"/>
          <w:kern w:val="0"/>
          <w:sz w:val="24"/>
        </w:rPr>
        <w:t xml:space="preserve">综合Hattie关于项目式学习效果差异较大的研究以及巴克教育研究所提出的项目式学习金标准，主张把项目式学习理解为可以整合多种高影响策略的开放框架，基础知识学习可以采用直接教学，深化理解和方案设计则需要适当的支架与启发，并提出明确目标与挑战性问题、分层指导、以评价反馈持续改进、重视学生声音与选择等设计原则。本课题所在的七宝中学附属鑫都实验中学也在这一方向上进行了前期探索，学校以大概念重构学习目标，通过有意对齐协调学习意图、任务、方法和评价，建立微项目、单元项目、跨单元项目和跨学科项目四级进阶，并借助学习档案、作品展示和自评互评呈现学生的思维过程</w:t>
      </w:r>
      <w:r>
        <w:rPr>
          <w:rFonts w:ascii="Times New Roman" w:eastAsia="宋体" w:hAnsi="Times New Roman" w:cs="Times New Roman"/>
          <w:color w:val="000000"/>
          <w:kern w:val="0"/>
          <w:sz w:val="24"/>
          <w:vertAlign w:val="superscript"/>
        </w:rPr>
        <w:footnoteReference w:id="85"/>
      </w:r>
      <w:r>
        <w:rPr>
          <w:rFonts w:ascii="Times New Roman" w:eastAsia="宋体" w:hAnsi="Times New Roman" w:cs="Times New Roman"/>
          <w:color w:val="000000"/>
          <w:kern w:val="0"/>
          <w:sz w:val="24"/>
        </w:rPr>
        <w:t xml:space="preserve">。总体来看，这些研究为可见的学习的本土转化提供了丰富案例，但多聚焦于单一学科、单一环节或单个项目，对高阶能力的整体结构及其在多个场域中的持续发展关注不足。</w:t>
      </w:r>
    </w:p>
    <w:p w14:paraId="528377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7）全球迁移、学术争议与本研究的使用立场</w:t>
      </w:r>
    </w:p>
    <w:p w14:paraId="188771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1F1144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 xml:space="preserve">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vertAlign w:val="superscript"/>
        </w:rPr>
        <w:footnoteReference w:id="86"/>
      </w:r>
      <w:r>
        <w:rPr>
          <w:rFonts w:ascii="Times New Roman" w:eastAsia="宋体" w:hAnsi="Times New Roman" w:cs="Times New Roman"/>
          <w:color w:val="000000"/>
          <w:kern w:val="0"/>
          <w:sz w:val="24"/>
        </w:rPr>
        <w:t xml:space="preserve">。对二级元分析方法的系统检验发现，原始研究被重复计算、加权方式不一致等问题较为普遍，在一个案例中按正确方法重新计算后，基于网络的学习的效应量由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 xml:space="preserve">位，据此按效应量进行排序具有误导性</w:t>
      </w:r>
      <w:r>
        <w:rPr>
          <w:rFonts w:ascii="Times New Roman" w:eastAsia="宋体" w:hAnsi="Times New Roman" w:cs="Times New Roman"/>
          <w:color w:val="000000"/>
          <w:kern w:val="0"/>
          <w:sz w:val="24"/>
          <w:vertAlign w:val="superscript"/>
        </w:rPr>
        <w:footnoteReference w:id="87"/>
      </w:r>
      <w:r>
        <w:rPr>
          <w:rFonts w:ascii="Times New Roman" w:eastAsia="宋体" w:hAnsi="Times New Roman" w:cs="Times New Roman"/>
          <w:color w:val="000000"/>
          <w:kern w:val="0"/>
          <w:sz w:val="24"/>
        </w:rPr>
        <w:t xml:space="preserve">。数值示例还表明，同一组数据采用不同公式计算效应量，可能得出完全</w:t>
      </w:r>
      <w:r>
        <w:rPr>
          <w:rFonts w:ascii="Times New Roman" w:eastAsia="宋体" w:hAnsi="Times New Roman" w:cs="Times New Roman"/>
          <w:color w:val="000000"/>
          <w:kern w:val="0"/>
          <w:sz w:val="24"/>
        </w:rPr>
        <w:lastRenderedPageBreak/>
        <w:t xml:space="preserve">相反的排序</w:t>
      </w:r>
      <w:r>
        <w:rPr>
          <w:rFonts w:ascii="Times New Roman" w:eastAsia="宋体" w:hAnsi="Times New Roman" w:cs="Times New Roman"/>
          <w:color w:val="000000"/>
          <w:kern w:val="0"/>
          <w:sz w:val="24"/>
          <w:vertAlign w:val="superscript"/>
        </w:rPr>
        <w:footnoteReference w:id="88"/>
      </w:r>
      <w:r>
        <w:rPr>
          <w:rFonts w:ascii="Times New Roman" w:eastAsia="宋体" w:hAnsi="Times New Roman" w:cs="Times New Roman"/>
          <w:color w:val="000000"/>
          <w:kern w:val="0"/>
          <w:sz w:val="24"/>
        </w:rPr>
        <w:t xml:space="preserve">；大量元分析的层层汇总也会导致原始研究中的具体信息丢失或被扭曲</w:t>
      </w:r>
      <w:r>
        <w:rPr>
          <w:rFonts w:ascii="Times New Roman" w:eastAsia="宋体" w:hAnsi="Times New Roman" w:cs="Times New Roman"/>
          <w:color w:val="000000"/>
          <w:kern w:val="0"/>
          <w:sz w:val="24"/>
          <w:vertAlign w:val="superscript"/>
        </w:rPr>
        <w:footnoteReference w:id="89"/>
      </w:r>
      <w:proofErr w:type="spellStart"/>
      <w:proofErr w:type="spellEnd"/>
      <w:r>
        <w:rPr>
          <w:rFonts w:ascii="Times New Roman" w:eastAsia="宋体" w:hAnsi="Times New Roman" w:cs="Times New Roman"/>
          <w:color w:val="000000"/>
          <w:kern w:val="0"/>
          <w:sz w:val="24"/>
        </w:rPr>
        <w:t xml:space="preserve">。</w:t>
      </w:r>
    </w:p>
    <w:p w14:paraId="747513F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 xml:space="preserve">的反馈干预降低了学生表现，其余研究涉及的则是奖励强化、教师亲和力等不同现象</w:t>
      </w:r>
      <w:r>
        <w:rPr>
          <w:rFonts w:ascii="Times New Roman" w:eastAsia="宋体" w:hAnsi="Times New Roman" w:cs="Times New Roman"/>
          <w:color w:val="000000"/>
          <w:kern w:val="0"/>
          <w:sz w:val="24"/>
          <w:vertAlign w:val="superscript"/>
        </w:rPr>
        <w:footnoteReference w:id="90"/>
      </w:r>
      <w:r>
        <w:rPr>
          <w:rFonts w:ascii="Times New Roman" w:eastAsia="宋体" w:hAnsi="Times New Roman" w:cs="Times New Roman"/>
          <w:color w:val="000000"/>
          <w:kern w:val="0"/>
          <w:sz w:val="24"/>
        </w:rPr>
        <w:t xml:space="preserve">。元分析所依据的多为标准化考试成绩，偏重表层知识，对深层理解和批判性思维的反映有限</w:t>
      </w:r>
      <w:r>
        <w:rPr>
          <w:rFonts w:ascii="Times New Roman" w:eastAsia="宋体" w:hAnsi="Times New Roman" w:cs="Times New Roman"/>
          <w:color w:val="000000"/>
          <w:kern w:val="0"/>
          <w:sz w:val="24"/>
          <w:vertAlign w:val="superscript"/>
        </w:rPr>
        <w:footnoteReference w:id="91"/>
      </w:r>
      <w:r>
        <w:rPr>
          <w:rFonts w:ascii="Times New Roman" w:eastAsia="宋体" w:hAnsi="Times New Roman" w:cs="Times New Roman"/>
          <w:color w:val="000000"/>
          <w:kern w:val="0"/>
          <w:sz w:val="24"/>
        </w:rPr>
        <w:t xml:space="preserve">。这些批评表明，反馈发挥作用需要具体指向任务和改进方法，并被学生理解和使用。</w:t>
      </w:r>
    </w:p>
    <w:p w14:paraId="4A8B98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第三类批评针对理论在实践中的使用方式和适用范围。若行政部门把可见的学习转化为以高效应量方法清单考核教师的工具，会削弱教师依据具体情境作出专业判断的能力</w:t>
      </w:r>
      <w:r>
        <w:rPr>
          <w:rFonts w:ascii="Times New Roman" w:eastAsia="宋体" w:hAnsi="Times New Roman" w:cs="Times New Roman"/>
          <w:color w:val="000000"/>
          <w:kern w:val="0"/>
          <w:sz w:val="24"/>
          <w:vertAlign w:val="superscript"/>
        </w:rPr>
        <w:footnoteReference w:id="92"/>
      </w:r>
      <w:proofErr w:type="spellStart"/>
      <w:proofErr w:type="spellEnd"/>
      <w:r>
        <w:rPr>
          <w:rFonts w:ascii="Times New Roman" w:eastAsia="宋体" w:hAnsi="Times New Roman" w:cs="Times New Roman"/>
          <w:color w:val="000000"/>
          <w:kern w:val="0"/>
          <w:sz w:val="24"/>
        </w:rPr>
        <w:t xml:space="preserve">。原始元分析主要来自英语国家的研究，直接迁移到非英语国家和不同社会文化环境时存在适应性问题</w:t>
      </w:r>
      <w:r>
        <w:rPr>
          <w:rFonts w:ascii="Times New Roman" w:eastAsia="宋体" w:hAnsi="Times New Roman" w:cs="Times New Roman"/>
          <w:color w:val="000000"/>
          <w:kern w:val="0"/>
          <w:sz w:val="24"/>
          <w:vertAlign w:val="superscript"/>
        </w:rPr>
        <w:footnoteReference w:id="93"/>
      </w:r>
      <w:proofErr w:type="spellStart"/>
      <w:proofErr w:type="spellEnd"/>
      <w:r>
        <w:rPr>
          <w:rFonts w:ascii="Times New Roman" w:eastAsia="宋体" w:hAnsi="Times New Roman" w:cs="Times New Roman"/>
          <w:color w:val="000000"/>
          <w:kern w:val="0"/>
          <w:sz w:val="24"/>
        </w:rPr>
        <w:t xml:space="preserve">。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vertAlign w:val="superscript"/>
        </w:rPr>
        <w:footnoteReference w:id="94"/>
      </w:r>
      <w:r>
        <w:rPr>
          <w:rFonts w:ascii="Times New Roman" w:eastAsia="宋体" w:hAnsi="Times New Roman" w:cs="Times New Roman"/>
          <w:color w:val="000000"/>
          <w:kern w:val="0"/>
          <w:sz w:val="24"/>
        </w:rPr>
        <w:t xml:space="preserve">。</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国内学者对这一理论同样保持了审慎态度。伍绍杨</w:t>
      </w:r>
      <w:r>
        <w:rPr>
          <w:rFonts w:ascii="Times New Roman" w:eastAsia="宋体" w:hAnsi="Times New Roman" w:cs="Times New Roman"/>
          <w:color w:val="000000"/>
          <w:kern w:val="0"/>
          <w:sz w:val="24"/>
          <w:vertAlign w:val="superscript"/>
        </w:rPr>
        <w:footnoteReference w:id="95"/>
      </w:r>
      <w:r>
        <w:rPr>
          <w:rFonts w:ascii="Times New Roman" w:eastAsia="宋体" w:hAnsi="Times New Roman" w:cs="Times New Roman"/>
          <w:color w:val="000000"/>
          <w:kern w:val="0"/>
          <w:sz w:val="24"/>
        </w:rPr>
        <w:t xml:space="preserve">认为，可见的学习讲述的仍是一个未完成的故事，其研究主要来自发达英语国家，当教育结果主要以考试分数界定时，创造力、批判力和公民责任等难以测量的成果容易被忽视，而把改变学业分化的希望全部寄托于学校内部因素，也可能导向过于乐观的学校决定论。彭正梅</w:t>
      </w:r>
      <w:r>
        <w:rPr>
          <w:rFonts w:ascii="Times New Roman" w:eastAsia="宋体" w:hAnsi="Times New Roman" w:cs="Times New Roman"/>
          <w:color w:val="000000"/>
          <w:kern w:val="0"/>
          <w:sz w:val="24"/>
          <w:vertAlign w:val="superscript"/>
        </w:rPr>
        <w:footnoteReference w:id="96"/>
      </w:r>
      <w:r>
        <w:rPr>
          <w:rFonts w:ascii="Times New Roman" w:eastAsia="宋体" w:hAnsi="Times New Roman" w:cs="Times New Roman"/>
          <w:color w:val="000000"/>
          <w:kern w:val="0"/>
          <w:sz w:val="24"/>
        </w:rPr>
        <w:t xml:space="preserve">借Berliner等人的论述指出，教育受到情境、互动和历史变化的影响，原始研究的质量和学业成就的界定都限制了综合结果的解释力，因而主张在肯定教育科学化价值的同时保持方法的多样性。</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近年的研究进一步把视角转向理论的跨国传播。伍绍杨和彭正梅</w:t>
      </w:r>
      <w:r>
        <w:rPr>
          <w:rFonts w:ascii="Times New Roman" w:eastAsia="宋体" w:hAnsi="Times New Roman" w:cs="Times New Roman"/>
          <w:color w:val="000000"/>
          <w:kern w:val="0"/>
          <w:sz w:val="24"/>
          <w:vertAlign w:val="superscript"/>
        </w:rPr>
        <w:footnoteReference w:id="97"/>
      </w:r>
      <w:r>
        <w:rPr>
          <w:rFonts w:ascii="Times New Roman" w:eastAsia="宋体" w:hAnsi="Times New Roman" w:cs="Times New Roman"/>
          <w:color w:val="000000"/>
          <w:kern w:val="0"/>
          <w:sz w:val="24"/>
        </w:rPr>
        <w:t xml:space="preserve">识别出英语国家的政策嵌入、德国、日本及北欧的学术对话转化以及北美的商业驱动扩散三种模式，认为该理论在不同场域中被转化为政策语言、专业工具和服务产品，满足当代教育治理对科学合法性的需求是其中相对稳定的逻辑，掌握证据生产与传播渠道的行动者可能因此获得更大的话语权，教师的经验智慧和地方知识则面临边缘化的风险。伍绍杨</w:t>
      </w:r>
      <w:r>
        <w:rPr>
          <w:rFonts w:ascii="Times New Roman" w:eastAsia="宋体" w:hAnsi="Times New Roman" w:cs="Times New Roman"/>
          <w:color w:val="000000"/>
          <w:kern w:val="0"/>
          <w:sz w:val="24"/>
          <w:vertAlign w:val="superscript"/>
        </w:rPr>
        <w:footnoteReference w:id="98"/>
      </w:r>
      <w:r>
        <w:rPr>
          <w:rFonts w:ascii="Times New Roman" w:eastAsia="宋体" w:hAnsi="Times New Roman" w:cs="Times New Roman"/>
          <w:color w:val="000000"/>
          <w:kern w:val="0"/>
          <w:sz w:val="24"/>
        </w:rPr>
        <w:t xml:space="preserve">也提醒，复杂知识在传播中可能被简化为教学公式，评价可能被理解为监控工具，理论的科学性需要与教师的专业自主和创造性参与相结合，才能支持真正的教育改进。</w:t>
      </w:r>
    </w:p>
    <w:p w14:paraId="686F525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11B7B37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4F6CDBD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国内已有研究直接从可见的学习视角讨论高阶能力的培养。彭正梅等</w:t>
      </w:r>
      <w:r>
        <w:rPr>
          <w:rFonts w:ascii="Times New Roman" w:eastAsia="宋体" w:hAnsi="Times New Roman" w:cs="Times New Roman"/>
          <w:color w:val="000000"/>
          <w:kern w:val="0"/>
          <w:sz w:val="24"/>
          <w:vertAlign w:val="superscript"/>
        </w:rPr>
        <w:footnoteReference w:id="99"/>
      </w:r>
      <w:r>
        <w:rPr>
          <w:rFonts w:ascii="Times New Roman" w:eastAsia="宋体" w:hAnsi="Times New Roman" w:cs="Times New Roman"/>
          <w:color w:val="000000"/>
          <w:kern w:val="0"/>
          <w:sz w:val="24"/>
        </w:rPr>
        <w:t xml:space="preserve">依据Hattie的学习模型指出，高阶能力的发展需要经历表层学习、深度学习和迁移学习，基础知识和技能经刻意练习达到自动化有助于减少认知负荷，但停留于训练和考试会使学生难以进入深度理解，教师应适时把学生从重复训练引向探究和真实问题解决，并据此倡导勇于教授高阶能力。沈勍和伍绍杨</w:t>
      </w:r>
      <w:r>
        <w:rPr>
          <w:rFonts w:ascii="Times New Roman" w:eastAsia="宋体" w:hAnsi="Times New Roman" w:cs="Times New Roman"/>
          <w:color w:val="000000"/>
          <w:kern w:val="0"/>
          <w:sz w:val="24"/>
          <w:vertAlign w:val="superscript"/>
        </w:rPr>
        <w:footnoteReference w:id="100"/>
      </w:r>
      <w:r>
        <w:rPr>
          <w:rFonts w:ascii="Times New Roman" w:eastAsia="宋体" w:hAnsi="Times New Roman" w:cs="Times New Roman"/>
          <w:color w:val="000000"/>
          <w:kern w:val="0"/>
          <w:sz w:val="24"/>
        </w:rPr>
        <w:t xml:space="preserve">结合刻意练习研究进一步提出，高质量的练习需要通过任务分析明确子技能和目标，以具体反馈持续调整表现，并由教师、专家或同伴提供示范与支架，支持随能力发展逐步减少，学生由此承担更多规划、监控和反思的责任。这些研究表明，高阶能力需要有计划地教授，学习进阶、有意对齐和反馈支架是可见的学习连接高阶能力培养的关键概念。</w:t>
      </w:r>
    </w:p>
    <w:p w14:paraId="1E3A61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40A943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389EC02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r>
        <w:rPr>
          <w:rFonts w:ascii="Times New Roman" w:eastAsia="宋体" w:hAnsi="Times New Roman" w:cs="Times New Roman"/>
          <w:color w:val="000000"/>
          <w:kern w:val="0"/>
          <w:sz w:val="24"/>
          <w:vertAlign w:val="superscript"/>
        </w:rPr>
        <w:footnoteReference w:id="101"/>
      </w:r>
      <w:proofErr w:type="spellStart"/>
      <w:proofErr w:type="spellEnd"/>
      <w:r>
        <w:rPr>
          <w:rFonts w:ascii="Times New Roman" w:eastAsia="宋体" w:hAnsi="Times New Roman" w:cs="Times New Roman"/>
          <w:color w:val="000000"/>
          <w:kern w:val="0"/>
          <w:sz w:val="24"/>
        </w:rPr>
        <w:t xml:space="preserve">。以实践者探究方式检验外部理念的经验也表明，学校对外部理论的吸收需要经过本校课堂证据的检验和校准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vertAlign w:val="superscript"/>
        </w:rPr>
        <w:footnoteReference w:id="102"/>
      </w:r>
      <w:r>
        <w:rPr>
          <w:rFonts w:ascii="Times New Roman" w:eastAsia="宋体" w:hAnsi="Times New Roman" w:cs="Times New Roman"/>
          <w:color w:val="000000"/>
          <w:kern w:val="0"/>
          <w:sz w:val="24"/>
        </w:rPr>
        <w:t xml:space="preserve">。这为本课题以行动研究推动模型在学校中的生成和修正提供了依据。</w:t>
      </w:r>
    </w:p>
    <w:p w14:paraId="3D3E33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将二者置于同一框架之中，并在一所中学的多个学科和科创活动中持续检验的研究仍然较少。</w:t>
      </w:r>
    </w:p>
    <w:p w14:paraId="16457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0193BDDB"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1BE71C2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0C2EDFD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D4E869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488D85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第二，在证据使用上，可见的学习的研究多关注学习目标、反馈和学业成绩，对于高阶能力如何通过具体学习表现加以识别、如何依据多源证据持续判断和改进，研究仍然有限；国内的学科与项目化应用研究多以设计说明和案例呈现为主，较少报告多轮实践中持续收集的学习证据。同时，可见的学习自身的效应量证据存在较大争议，学校实践需要以本校课堂中的真实证据为依据</w:t>
      </w:r>
      <w:r>
        <w:rPr>
          <w:rFonts w:ascii="Times New Roman" w:eastAsia="宋体" w:hAnsi="Times New Roman" w:cs="Times New Roman"/>
          <w:color w:val="000000"/>
          <w:kern w:val="0"/>
          <w:sz w:val="24"/>
          <w:vertAlign w:val="superscript"/>
        </w:rPr>
        <w:footnoteReference w:id="103"/>
      </w:r>
      <w:r>
        <w:rPr>
          <w:rFonts w:ascii="Times New Roman" w:eastAsia="宋体" w:hAnsi="Times New Roman" w:cs="Times New Roman"/>
          <w:color w:val="000000"/>
          <w:kern w:val="0"/>
          <w:sz w:val="24"/>
        </w:rPr>
        <w:t xml:space="preserve">。</w:t>
      </w:r>
    </w:p>
    <w:p w14:paraId="7845F0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vertAlign w:val="superscript"/>
        </w:rPr>
        <w:footnoteReference w:id="104"/>
      </w:r>
      <w:r>
        <w:rPr>
          <w:rFonts w:ascii="Times New Roman" w:eastAsia="宋体" w:hAnsi="Times New Roman" w:cs="Times New Roman"/>
          <w:color w:val="000000"/>
          <w:kern w:val="0"/>
          <w:sz w:val="24"/>
        </w:rPr>
        <w:t xml:space="preserve">，一所学校在多个学科和多种学习场域中持续开展、多轮改进的研究也较为缺乏。</w:t>
      </w:r>
    </w:p>
    <w:p w14:paraId="2E165F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B696068"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04A440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2C4D9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36F74FB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48B908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D992F5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8B9E70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0EE01FCE"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4730E0DA"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392EDB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5B3CB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6DA025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33C733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7C1C6F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69F754B7"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5079CD04"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6BBAF8C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7EE7D55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1EEF8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660AA2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41172D50"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313229E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6C7E8CEF"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4DF19CF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492092F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01B2ED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4853733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4478A9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1148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0625B8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013B7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3F6140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10EB378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2ABD6905"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3F72A2C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2BDBB4D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26B4677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71F1A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62C8CF7D"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E989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309D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13CD1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AECBB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324747A8"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CCCE3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6B35E2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0D39EF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2AFEDE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1AB8FF5F"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394D8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04135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0A6D6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B87FB1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633FC141"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6299A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4520D84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1815594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060E07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70BF972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1FE5C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C1A42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2683E2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C8B22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433A62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01178B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7F458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86334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00E098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31DE709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D9184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12899F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44C0639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23B8FE8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B0972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046B79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2A27FC6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5B0BB0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A8D3B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47341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341F383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2CBBC6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3AABE1E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F05806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411BDF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655794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6BE69B3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8DCDF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1C8281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59ED2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49042A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3FD40F6B"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45603F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86C5F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 xml:space="preserve">）的逻辑，即在真实课堂中设计、实施、评估并修订培育模型，同时提炼可以迁移的设计原则</w:t>
      </w:r>
      <w:r>
        <w:rPr>
          <w:rFonts w:ascii="Times New Roman" w:eastAsia="宋体" w:hAnsi="Times New Roman" w:cs="Times New Roman"/>
          <w:color w:val="000000"/>
          <w:kern w:val="0"/>
          <w:sz w:val="24"/>
          <w:vertAlign w:val="superscript"/>
        </w:rPr>
        <w:footnoteReference w:id="105"/>
      </w:r>
      <w:r>
        <w:rPr>
          <w:rFonts w:ascii="Times New Roman" w:eastAsia="宋体" w:hAnsi="Times New Roman" w:cs="Times New Roman"/>
          <w:color w:val="000000"/>
          <w:kern w:val="0"/>
          <w:sz w:val="24"/>
        </w:rPr>
        <w:t xml:space="preserve">。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vertAlign w:val="superscript"/>
        </w:rPr>
        <w:footnoteReference w:id="106"/>
      </w:r>
      <w:r>
        <w:rPr>
          <w:rFonts w:ascii="Times New Roman" w:eastAsia="宋体" w:hAnsi="Times New Roman" w:cs="Times New Roman"/>
          <w:color w:val="000000"/>
          <w:kern w:val="0"/>
          <w:sz w:val="24"/>
        </w:rPr>
        <w:t xml:space="preserve">。</w:t>
      </w:r>
    </w:p>
    <w:p w14:paraId="1091F35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4A31BB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70FBCE5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0727146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014598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660B14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5214B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008244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208464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121E79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vertAlign w:val="superscript"/>
        </w:rPr>
        <w:footnoteReference w:id="107"/>
      </w:r>
      <w:r>
        <w:rPr>
          <w:rFonts w:ascii="Times New Roman" w:eastAsia="宋体" w:hAnsi="Times New Roman" w:cs="Times New Roman"/>
          <w:color w:val="000000"/>
          <w:kern w:val="0"/>
          <w:sz w:val="24"/>
        </w:rPr>
        <w:t xml:space="preserve">。研究不以单次课堂或单个项目的结果判断模式是否有效，而通过多轮实践、比较和修正，逐步提炼高阶能力培育的关键环节与实施策略。</w:t>
      </w:r>
    </w:p>
    <w:p w14:paraId="362376B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098D04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01E370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 xml:space="preserve">课堂行为指标以可识别的外显行为为单位，若直接作为判断依据，容易以行为次数代替对教学的解释，因此只作为分析课堂参与结构的辅助信息</w:t>
      </w:r>
      <w:r>
        <w:rPr>
          <w:rFonts w:ascii="Times New Roman" w:eastAsia="宋体" w:hAnsi="Times New Roman" w:cs="Times New Roman"/>
          <w:color w:val="000000"/>
          <w:kern w:val="0"/>
          <w:sz w:val="24"/>
          <w:vertAlign w:val="superscript"/>
        </w:rPr>
        <w:footnoteReference w:id="108"/>
      </w:r>
      <w:proofErr w:type="spellStart"/>
      <w:proofErr w:type="spellEnd"/>
      <w:r>
        <w:rPr>
          <w:rFonts w:ascii="Times New Roman" w:eastAsia="宋体" w:hAnsi="Times New Roman" w:cs="Times New Roman"/>
          <w:color w:val="000000"/>
          <w:kern w:val="0"/>
          <w:sz w:val="24"/>
        </w:rPr>
        <w:t xml:space="preserve">。研究不以单一课堂评分或某一项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0D70FEC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42EA22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2B2F31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4C9A65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5A2C20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D547B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62E1B6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vertAlign w:val="superscript"/>
        </w:rPr>
        <w:footnoteReference w:id="109"/>
      </w:r>
      <w:r>
        <w:rPr>
          <w:rFonts w:ascii="Times New Roman" w:eastAsia="宋体" w:hAnsi="Times New Roman" w:cs="Times New Roman"/>
          <w:color w:val="000000"/>
          <w:kern w:val="0"/>
          <w:sz w:val="24"/>
        </w:rPr>
        <w:t xml:space="preserve">。因此，本研究不把前后测差异直接归因于培育模型。</w:t>
      </w:r>
    </w:p>
    <w:p w14:paraId="21DD9D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4DE582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78B9223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7162D7F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780346B0" w14:textId="77777777" w:rsidR="00CD5D2E" w:rsidRDefault="00000000">
      <w:pPr>
        <w:keepNext/>
        <w:spacing w:before="120"/>
        <w:jc w:val="center"/>
      </w:pPr>
      <w:r>
        <w:rPr>
          <w:noProof/>
        </w:rPr>
        <w:lastRenderedPageBreak/>
        <w:drawing>
          <wp:inline distT="0" distB="0" distL="0" distR="0" wp14:anchorId="75E0F69B" wp14:editId="5261A1E0">
            <wp:extent cx="5216525" cy="65183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7e1b7d.png"/>
                    <pic:cNvPicPr/>
                  </pic:nvPicPr>
                  <pic:blipFill>
                    <a:blip r:embed="rId7"/>
                    <a:stretch>
                      <a:fillRect/>
                    </a:stretch>
                  </pic:blipFill>
                  <pic:spPr>
                    <a:xfrm>
                      <a:off x="0" y="0"/>
                      <a:ext cx="5216525" cy="6518332"/>
                    </a:xfrm>
                    <a:prstGeom prst="rect">
                      <a:avLst/>
                    </a:prstGeom>
                  </pic:spPr>
                </pic:pic>
              </a:graphicData>
            </a:graphic>
          </wp:inline>
        </w:drawing>
      </w:r>
    </w:p>
    <w:p w14:paraId="30BBBDCF"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2D6D69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5962AE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39DA7FF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w:t>
      </w:r>
      <w:r>
        <w:rPr>
          <w:rFonts w:ascii="Times New Roman" w:eastAsia="宋体" w:hAnsi="Times New Roman" w:cs="Times New Roman"/>
          <w:color w:val="000000"/>
          <w:kern w:val="0"/>
          <w:sz w:val="24"/>
        </w:rPr>
        <w:lastRenderedPageBreak/>
        <w:t>确课题研究什么、怎样研究、怎样评价的基本思路。</w:t>
      </w:r>
    </w:p>
    <w:p w14:paraId="0E6CFF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06A01A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47160AF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33B0B1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1C8DC61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05F4226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01D904B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7D97A46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3D8A997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092DAA9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37F7411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238828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399700B0"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1022B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通过四个学科案例呈现模型在课堂中的转化实施及其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7B52F146"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7FF11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4F55EE7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EA941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2E48DDB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C6E8F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vertAlign w:val="superscript"/>
        </w:rPr>
        <w:footnoteReference w:id="110"/>
      </w:r>
      <w:r>
        <w:rPr>
          <w:rFonts w:ascii="Times New Roman" w:eastAsia="宋体" w:hAnsi="Times New Roman" w:cs="Times New Roman"/>
          <w:kern w:val="0"/>
          <w:sz w:val="24"/>
        </w:rPr>
        <w:t xml:space="preserve">。高</w:t>
      </w:r>
      <w:r>
        <w:rPr>
          <w:rFonts w:ascii="Times New Roman" w:eastAsia="宋体" w:hAnsi="Times New Roman" w:cs="Times New Roman"/>
          <w:kern w:val="0"/>
          <w:sz w:val="24"/>
        </w:rPr>
        <w:lastRenderedPageBreak/>
        <w:t xml:space="preserve">阶思维还体现为学生面对新材料和非程序化问题时的迁移、批判性思考与问题解决，其核心在于建立新旧知识之间的联系</w:t>
      </w:r>
      <w:r>
        <w:rPr>
          <w:rFonts w:ascii="Times New Roman" w:eastAsia="宋体" w:hAnsi="Times New Roman" w:cs="Times New Roman"/>
          <w:kern w:val="0"/>
          <w:sz w:val="24"/>
          <w:vertAlign w:val="superscript"/>
        </w:rPr>
        <w:footnoteReference w:id="111"/>
      </w:r>
      <w:r>
        <w:rPr>
          <w:rFonts w:ascii="Times New Roman" w:eastAsia="宋体" w:hAnsi="Times New Roman" w:cs="Times New Roman"/>
          <w:kern w:val="0"/>
          <w:sz w:val="24"/>
        </w:rPr>
        <w:t xml:space="preserve">。</w:t>
      </w:r>
    </w:p>
    <w:p w14:paraId="78912D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748D837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73FA499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63E732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3781903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 xml:space="preserve">社会与情感能力调查从任务能力、情绪调节、协作能力、开放能力和交往能力等领域考察学生的发展状况，为本课题关注学习中的社会情感表现提供了理论参照</w:t>
      </w:r>
      <w:r>
        <w:rPr>
          <w:rFonts w:ascii="Times New Roman" w:eastAsia="宋体" w:hAnsi="Times New Roman" w:cs="Times New Roman"/>
          <w:kern w:val="0"/>
          <w:sz w:val="24"/>
          <w:vertAlign w:val="superscript"/>
        </w:rPr>
        <w:footnoteReference w:id="112"/>
      </w:r>
      <w:proofErr w:type="spellStart"/>
      <w:proofErr w:type="spellEnd"/>
      <w:r>
        <w:rPr>
          <w:rFonts w:ascii="Times New Roman" w:eastAsia="宋体" w:hAnsi="Times New Roman" w:cs="Times New Roman"/>
          <w:kern w:val="0"/>
          <w:sz w:val="24"/>
        </w:rPr>
        <w:t xml:space="preserve">。</w:t>
      </w:r>
    </w:p>
    <w:p w14:paraId="008632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本研究参照国内基于社会与情感能力调查开展的测评框架</w:t>
      </w:r>
      <w:r>
        <w:rPr>
          <w:rFonts w:ascii="Times New Roman" w:eastAsia="宋体" w:hAnsi="Times New Roman" w:cs="Times New Roman"/>
          <w:kern w:val="0"/>
          <w:sz w:val="24"/>
          <w:vertAlign w:val="superscript"/>
        </w:rPr>
        <w:footnoteReference w:id="113"/>
      </w:r>
      <w:r>
        <w:rPr>
          <w:rFonts w:ascii="Times New Roman" w:eastAsia="宋体" w:hAnsi="Times New Roman" w:cs="Times New Roman"/>
          <w:kern w:val="0"/>
          <w:sz w:val="24"/>
        </w:rPr>
        <w:t xml:space="preserve">，围绕中学生高阶能力培育的需要，选取与责任承担、自我调节、合作协商和开放探索相关的内容，依据其内涵联系进行归并，形成责任担当、情绪调节、合作共情、包容创新四个理论维度。</w:t>
      </w:r>
    </w:p>
    <w:p w14:paraId="373CB1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E79872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w:t>
      </w:r>
      <w:r>
        <w:rPr>
          <w:rFonts w:ascii="Times New Roman" w:eastAsia="宋体" w:hAnsi="Times New Roman" w:cs="Times New Roman"/>
          <w:kern w:val="0"/>
          <w:sz w:val="24"/>
        </w:rPr>
        <w:lastRenderedPageBreak/>
        <w:t>中的运用，不将其解释为社会情感能力已经具有公认的高低层级。四个维度用于指导题项编制和现状分析，其结构合理性通过后续工具检验加以考察。</w:t>
      </w:r>
    </w:p>
    <w:p w14:paraId="0742BCC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265127C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12702FC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74E58C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2539E5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391B9F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73B4DC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C8E4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7918A15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40F349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504AF5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66B810A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F3EB606" w14:textId="77777777">
        <w:trPr>
          <w:cantSplit/>
          <w:tblHeader/>
          <w:jc w:val="center"/>
        </w:trPr>
        <w:tc>
          <w:tcPr>
            <w:tcW w:w="4032" w:type="dxa"/>
            <w:tcBorders>
              <w:top w:val="single" w:sz="12" w:space="0" w:color="000000"/>
              <w:left w:val="nil"/>
              <w:bottom w:val="single" w:sz="6" w:space="0" w:color="000000"/>
              <w:right w:val="nil"/>
            </w:tcBorders>
            <w:vAlign w:val="center"/>
          </w:tcPr>
          <w:p w14:paraId="3E63AD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110442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6B679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02692B0A" w14:textId="77777777">
        <w:trPr>
          <w:cantSplit/>
          <w:trHeight w:val="90"/>
          <w:jc w:val="center"/>
        </w:trPr>
        <w:tc>
          <w:tcPr>
            <w:tcW w:w="4032" w:type="dxa"/>
            <w:tcBorders>
              <w:top w:val="nil"/>
              <w:left w:val="nil"/>
              <w:bottom w:val="nil"/>
              <w:right w:val="nil"/>
            </w:tcBorders>
            <w:vAlign w:val="center"/>
          </w:tcPr>
          <w:p w14:paraId="23DA10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7FA76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5347BE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31415FE7" w14:textId="77777777">
        <w:trPr>
          <w:cantSplit/>
          <w:jc w:val="center"/>
        </w:trPr>
        <w:tc>
          <w:tcPr>
            <w:tcW w:w="4032" w:type="dxa"/>
            <w:tcBorders>
              <w:top w:val="nil"/>
              <w:left w:val="nil"/>
              <w:bottom w:val="nil"/>
              <w:right w:val="nil"/>
            </w:tcBorders>
            <w:vAlign w:val="center"/>
          </w:tcPr>
          <w:p w14:paraId="17A4DE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2AF798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77A287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08BE4A" w14:textId="77777777">
        <w:trPr>
          <w:cantSplit/>
          <w:jc w:val="center"/>
        </w:trPr>
        <w:tc>
          <w:tcPr>
            <w:tcW w:w="4032" w:type="dxa"/>
            <w:tcBorders>
              <w:top w:val="nil"/>
              <w:left w:val="nil"/>
              <w:bottom w:val="nil"/>
              <w:right w:val="nil"/>
            </w:tcBorders>
            <w:vAlign w:val="center"/>
          </w:tcPr>
          <w:p w14:paraId="3408E7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54B45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25706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73A064B2" w14:textId="77777777">
        <w:trPr>
          <w:cantSplit/>
          <w:jc w:val="center"/>
        </w:trPr>
        <w:tc>
          <w:tcPr>
            <w:tcW w:w="4032" w:type="dxa"/>
            <w:tcBorders>
              <w:top w:val="nil"/>
              <w:left w:val="nil"/>
              <w:bottom w:val="single" w:sz="12" w:space="0" w:color="000000"/>
              <w:right w:val="nil"/>
            </w:tcBorders>
            <w:vAlign w:val="center"/>
          </w:tcPr>
          <w:p w14:paraId="1B7914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0F04B6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42CDFE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6B43F36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8DCADA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34FF8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1，第三个成分的特征值低于1，结果见表3-2。按32个题项计算，第一个成分解释了64.06%的方差，第二个成分解释了4.15%，前两个成分累计解释68.21%。第一个成分的特征值远高于其余成分，表明题项之间存在较强的共同变异。</w:t>
      </w:r>
    </w:p>
    <w:p w14:paraId="4AC9953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05F17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6DA1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DDE6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9C15E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3E2E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188B79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48043C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487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9F285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3783FD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90EB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03B450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7EA72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9F34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3F9F28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6724507A"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584555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76EC6D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773033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0F461D7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0FE52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w:t>
      </w:r>
      <w:r>
        <w:rPr>
          <w:rFonts w:ascii="Times New Roman" w:eastAsia="宋体" w:hAnsi="Times New Roman" w:cs="Times New Roman"/>
          <w:kern w:val="0"/>
          <w:sz w:val="24"/>
        </w:rPr>
        <w:lastRenderedPageBreak/>
        <w:t>成分上的载荷。</w:t>
      </w:r>
    </w:p>
    <w:p w14:paraId="6440C34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3DA3735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FF2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444C6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884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5727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1666B6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8D56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432D20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35502D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FFD60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246E23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663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F9EF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05BDD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F50A8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40CD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54F2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5EE45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60F45A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9388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53A8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1803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24991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6B616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39A6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417045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128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B5456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5D7DD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F307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9B8F2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5D2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44FDE4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5B43BE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0F1DD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2DEB8268"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77433D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69890F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4A1FF4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EDDA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459CD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F69B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15C80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35056B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C026E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2A87B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3FE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13806C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40D26B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36EBE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60103C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2501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2DAF96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442126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DB24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0617C4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E5B7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2CBF7F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4996C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803D5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78D116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D17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781DFB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314C2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1099C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2FFF5C8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48BA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691B6A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5BD096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C1D02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5C2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8CE2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21D98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303D2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5B903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782A6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429BE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06B77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35DF86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B3AC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4C445A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32CA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70A13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743BDF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7F1A4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44AB2F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519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554619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7D5FA2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58E42D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66823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3704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37A6BD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12C2E0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93522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0C21B6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CCB42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442820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2794A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121A0A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0BC2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08A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06B6E9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322B64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5B684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6B4201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43AF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1BA396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6DD2A2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4B83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20DBC1A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9A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646F1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145D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CE038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0D3ACB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9FF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799572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54D51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24146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09B3DEB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23AD65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4E1F1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18E84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28CAC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1BAC56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7377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6CAE21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6F50B6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66CE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16B534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7E7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388E84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4E889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854C2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CFD23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A1B5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16CDB7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6D0DC7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49E6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348007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08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3998BF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33F488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72A15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552B43A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9E8D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139CB6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7E1D89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E4200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2B7C5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CFC5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78D2B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62D1F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C0CD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1BCB0C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114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55111F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0D01A2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2CE9F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131E35EE"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579F30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11149F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5F24B0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1D95B3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0907A92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05F01D4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w:t>
      </w:r>
      <w:r>
        <w:rPr>
          <w:rFonts w:ascii="Times New Roman" w:eastAsia="宋体" w:hAnsi="Times New Roman" w:cs="Times New Roman"/>
          <w:kern w:val="0"/>
          <w:sz w:val="24"/>
        </w:rPr>
        <w:lastRenderedPageBreak/>
        <w:t>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679FC87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77D971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6BF20AD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F95E4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为考察学生问卷各理论维度内部题项的一致程度，研究计算Cronbach α系数。α按题项数、各题项方差之和与维度总分方差计算，其中题项标准差取自表3-8，维度标准差取自表3-7，结果见表3-4。</w:t>
      </w:r>
    </w:p>
    <w:p w14:paraId="746D82A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5D6FAE6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396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E4D07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3738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 α</w:t>
            </w:r>
          </w:p>
        </w:tc>
      </w:tr>
      <w:tr w:rsidR="000B1CCE" w14:paraId="283BE3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81D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F6BA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4F631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w:t>
            </w:r>
          </w:p>
        </w:tc>
      </w:tr>
      <w:tr w:rsidR="000B1CCE" w14:paraId="78874C5F"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1C9B3A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Mar>
              <w:top w:w="-1" w:type="dxa"/>
              <w:left w:w="-1" w:type="dxa"/>
              <w:bottom w:w="-1" w:type="dxa"/>
              <w:right w:w="-1" w:type="dxa"/>
            </w:tcMar>
            <w:tcBorders>
              <w:top w:val="nil"/>
              <w:left w:val="nil"/>
              <w:bottom w:val="nil"/>
              <w:right w:val="nil"/>
            </w:tcBorders>
            <w:vAlign w:val="center"/>
          </w:tcPr>
          <w:p w14:paraId="0A22C6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7317F1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w:t>
            </w:r>
          </w:p>
        </w:tc>
      </w:tr>
      <w:tr w:rsidR="000B1CCE" w14:paraId="58DEE648"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989D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Mar>
              <w:top w:w="-1" w:type="dxa"/>
              <w:left w:w="-1" w:type="dxa"/>
              <w:bottom w:w="-1" w:type="dxa"/>
              <w:right w:w="-1" w:type="dxa"/>
            </w:tcMar>
            <w:tcBorders>
              <w:top w:val="nil"/>
              <w:left w:val="nil"/>
              <w:bottom w:val="nil"/>
              <w:right w:val="nil"/>
            </w:tcBorders>
            <w:vAlign w:val="center"/>
          </w:tcPr>
          <w:p w14:paraId="374342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2A4CA1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50784B8D"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A3531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Mar>
              <w:top w:w="-1" w:type="dxa"/>
              <w:left w:w="-1" w:type="dxa"/>
              <w:bottom w:w="-1" w:type="dxa"/>
              <w:right w:w="-1" w:type="dxa"/>
            </w:tcMar>
            <w:tcBorders>
              <w:top w:val="nil"/>
              <w:left w:val="nil"/>
              <w:bottom w:val="nil"/>
              <w:right w:val="nil"/>
            </w:tcBorders>
            <w:vAlign w:val="center"/>
          </w:tcPr>
          <w:p w14:paraId="65AF16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0902EE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w:t>
            </w:r>
          </w:p>
        </w:tc>
      </w:tr>
      <w:tr w:rsidR="000B1CCE" w14:paraId="329E372B"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31F74F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Mar>
              <w:top w:w="-1" w:type="dxa"/>
              <w:left w:w="-1" w:type="dxa"/>
              <w:bottom w:w="-1" w:type="dxa"/>
              <w:right w:w="-1" w:type="dxa"/>
            </w:tcMar>
            <w:tcBorders>
              <w:top w:val="nil"/>
              <w:left w:val="nil"/>
              <w:bottom w:val="nil"/>
              <w:right w:val="nil"/>
            </w:tcBorders>
            <w:vAlign w:val="center"/>
          </w:tcPr>
          <w:p w14:paraId="77A5E5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324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w:t>
            </w:r>
          </w:p>
        </w:tc>
      </w:tr>
      <w:tr w:rsidR="000B1CCE" w14:paraId="0C0B1447"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全部题项</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32</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w:t>
            </w:r>
          </w:p>
        </w:tc>
      </w:tr>
    </w:tbl>
    <w:p w14:paraId="2015984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七个理论维度的Cronbach α介于0.87—0.93之间，高阶思维12题和高阶社会情感20题的α分别为0.96和0.97，全部32题为0.98，表明各维度题项具有较好的内部一致性，可以按理论维度计算题均分并进行描述和比较。问卷星原始报告按另一种六组题项划分统计，α介于0.9045—0.9349之间，与上述结果相互印证。同时，各维度α普遍较高，全部题项的α接近0.98，第一个成分解释了64.06%的方差，说明学生作答带有较强的总体评价倾向，七个维度之间的区分度有限。这也是本研究将七维用于组织测评内容，而不将其视为七个独立测量因素的原因。</w:t>
      </w:r>
    </w:p>
    <w:p w14:paraId="777F7CE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学生高阶能力基础的前测结果</w:t>
      </w:r>
    </w:p>
    <w:p w14:paraId="70E7DB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09D9A3E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2D23D52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720E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98356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44F5E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A57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28116F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B62D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31F8FD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3833F1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3BBEF6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0770186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DF10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6B7E89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70713D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435AA4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730C31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65AE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1E6C7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4D8100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690B56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7B7F46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E569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3D1CC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13A44B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20FF41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41A54F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E89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14BD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469528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6343F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E1346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F6A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79A992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796839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2E61EE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410253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848B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0" w:type="auto"/>
            <w:tcBorders>
              <w:top w:val="nil"/>
              <w:left w:val="nil"/>
              <w:bottom w:val="nil"/>
              <w:right w:val="nil"/>
            </w:tcBorders>
            <w:tcMar>
              <w:top w:w="-1" w:type="dxa"/>
              <w:left w:w="-1" w:type="dxa"/>
              <w:bottom w:w="-1" w:type="dxa"/>
              <w:right w:w="-1" w:type="dxa"/>
            </w:tcMar>
            <w:vAlign w:val="center"/>
          </w:tcPr>
          <w:p w14:paraId="2BE474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7666ED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65B08C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23B679A8"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149B8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299C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B53DB2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3B0AAD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2A65DC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20C522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45B637E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025118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8AC9C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6C51C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8A21D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407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165DE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1CA0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473AB4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1C82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CCC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70202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D75DB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D7B4D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0E64AC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18638A2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293C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72F93D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5ECBEB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501575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624E27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6B4D87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0CCFF4EA"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3DB8B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17864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2AF5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0CA16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26ED3A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5DF26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20F365C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3494B360"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1C07DEBA"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w:t>
      </w:r>
      <w:r>
        <w:rPr>
          <w:rFonts w:ascii="Times New Roman" w:eastAsia="黑体" w:hAnsi="Times New Roman" w:cs="Times New Roman"/>
          <w:kern w:val="0"/>
        </w:rPr>
        <w:lastRenderedPageBreak/>
        <w:t>到主动改进的学习过程。图中积极选项比例用于描述作答分布。</w:t>
      </w:r>
    </w:p>
    <w:p w14:paraId="74F836A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7155572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24B681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FDF6C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F1B26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56A9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5DB6C3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A10F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5DF19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7ADF25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14A969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726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0A189E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6D8B5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048FC4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2FF7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4468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6C5B45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0C8F2B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702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A924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3965AC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6F111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8E97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843DF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3EF24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76F64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4E0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F0130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6BAD6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2DBC0B14"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60975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29D2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0B574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2201B86A"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370C6C3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729F31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603406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46E4BC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50292C7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5E5FF2F4"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9AFB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ACD2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B0E984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F547A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CB3D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01EFF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1287314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F870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52F274A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A71521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86794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28C533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304CEF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7DA66FB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79511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w:t>
            </w:r>
          </w:p>
        </w:tc>
        <w:tc>
          <w:tcPr>
            <w:tcW w:w="1301" w:type="dxa"/>
            <w:tcBorders>
              <w:top w:val="nil"/>
              <w:left w:val="nil"/>
              <w:bottom w:val="nil"/>
              <w:right w:val="nil"/>
            </w:tcBorders>
            <w:tcMar>
              <w:top w:w="-1" w:type="dxa"/>
              <w:left w:w="-1" w:type="dxa"/>
              <w:bottom w:w="-1" w:type="dxa"/>
              <w:right w:w="-1" w:type="dxa"/>
            </w:tcMar>
            <w:vAlign w:val="center"/>
          </w:tcPr>
          <w:p w14:paraId="3429E9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6E3582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1AB9FD8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6C40F0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124BB6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319F6CE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8F0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58D939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20812E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16EAC6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47D5AA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6AED6D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5FA4743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C209B6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19F58F1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C7F17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32AEF7A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7D5F0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41A7DBB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4A37D88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30B241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1D7381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734D6F6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7CB826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3FA6F3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2CE95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2F2D15C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B7B7D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2B7B442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2F29A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200DF28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521D98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546E869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0A9F1B2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FA98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54C049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6FDB9F2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577479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2A5972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4479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7EDA1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E114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9CE57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BF84E5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1FE11A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19B00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11D01CC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3044572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46E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25244E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CE4D3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719F36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03FA6E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397749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618F5212"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8D166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245F3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2ECC2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7FE847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0CFA36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76136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2CB8C58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24C55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55725A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1F0F319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24ED50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3F3C13B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7ECD801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1EE41BC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77FBD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0A963E2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40DA55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13063D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717B574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23D0DE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7B363F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0096B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47FCD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5EA62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6BC865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01E8E7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5EF515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4747407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324B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0386C6C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48404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37A4DE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4AFF663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430238B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491835B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80E9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38E80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CEA59F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658B182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242A507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065D6C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4393E98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D208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49CC7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D9E71C3"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627F0DC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3F4026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1B1D06A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06395AD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C731C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071B9A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9011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4A82080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797BF7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23C637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0243BE8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15DA6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60CAF9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5C68658"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0C1CCAF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47A430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00EF956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5946795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BF206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0EE317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8FD781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6EF5A4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0BBB79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C7F43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0A056FE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FAA66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4725AA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AFD154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2A26E5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314D4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7C9C0F5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78F6BCB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DA3793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536D19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1B67EAA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7CA219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1B668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DC490D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7528078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B27C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56514B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7D6697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4799D5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73900C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78411DF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5CD4974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BB52A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103F3C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50489C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7A2598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0F5BAC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4B00128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64502C0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BC090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62B459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BE8762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600ACF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19C467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1EB36C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1224221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B614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Q25</w:t>
            </w:r>
          </w:p>
        </w:tc>
        <w:tc>
          <w:tcPr>
            <w:tcW w:w="1301" w:type="dxa"/>
            <w:tcBorders>
              <w:top w:val="nil"/>
              <w:left w:val="nil"/>
              <w:bottom w:val="nil"/>
              <w:right w:val="nil"/>
            </w:tcBorders>
            <w:tcMar>
              <w:top w:w="-1" w:type="dxa"/>
              <w:left w:w="-1" w:type="dxa"/>
              <w:bottom w:w="-1" w:type="dxa"/>
              <w:right w:w="-1" w:type="dxa"/>
            </w:tcMar>
            <w:vAlign w:val="center"/>
          </w:tcPr>
          <w:p w14:paraId="4E37E50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1598AF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73350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57F1B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085724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68557BC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3C35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13EE9F9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46C5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0ADC3AD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3DC9DC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042707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3066C64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795EB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7532CC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8E4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377E1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7B71194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3CE4CB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43038FE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1D153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066F01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6BA566E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4369535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AAEA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5A106B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42289FF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AB560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1B4D5D9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0B905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10AC4A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3CC3DF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415DAF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536547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B8CA73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4DF781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2B20D56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25A6CB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0ADF57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353B0B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3D457E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536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1AAE91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36003DC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24FB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71ECDC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43CA26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465E9D36"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2E0020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55E58EF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62AB2A2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5B7D9E8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D381C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6C990B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36C1F61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4A0B73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346196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1EC75C2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091B68B7"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260FD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996C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5904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16A6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FCEF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85C4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E9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9A78D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3500324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7B8CF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6912C3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FE341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1C5A34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4BA0D3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73E79A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171869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EA181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22E383D"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394FD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65CFA9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6A96D1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36E6E5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52FEA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0D59D8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4ACE28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61F294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02BC1824"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32303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0496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4B0865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1C2D3C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0E8907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39E736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76118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19483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C78DB66"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04F6DA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0D1E78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650495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BDEF2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3316FF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14421F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47B6FD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52240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2FB8CCF1"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385A3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8D30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31538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401635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2F08C9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7F2098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208159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1D4D0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0446D23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F9B0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949CB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7F1ACD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424F98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02A84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0DD459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26691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7DDD5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5306C54B"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2BFA95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3D28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10352B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2C8EB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0F1F3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6D223D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5AB10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1E94F1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45CBA83C"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3101E568"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30CA97EE"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6733546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373B116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5C8D3A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173F2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DFD2B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A31B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54B5B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CC7A43"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7B202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048CBE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0671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F2F1E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2DC0B5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550A0F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DF205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8C339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0F7FD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804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1F1F5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5A734E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149FE4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5158A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67065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313A6A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B49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F885C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5D530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546BD1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76144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99055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1739E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189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E818A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3AA25E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02028C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6D6F8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00D18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62D90B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92C2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82B34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4C8A1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680D94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BFE9B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1A21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14010B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90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E819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2D674F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6F69CA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8872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319E8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4485F9E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1A33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133C7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120D98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2EAE11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6EA01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A5406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21543F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D0E9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0387E6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FA6FC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1437C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9FD9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088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E686C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13B1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668078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699D2F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4E392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0210EF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EC1DD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7678701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170820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2DE5D0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646ECD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9C2C2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F99FE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21D4A9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057015B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37FDE9B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57C34432"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FC025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F1F2C2"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FAD6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B127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CFB0ED"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2DAB60C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1C12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0528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1F087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337801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DDFCC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E8859A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2ADA97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B4AD9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0188CD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78358C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5AE1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9A9E0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FE3A0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A7EE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2C656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1DE3B2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34358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9AB6DA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45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C695C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10A0C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5994D9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E6DE9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F7AE0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9AF3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3762F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580D802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18FA94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02CB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64EBE7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7F9011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6AB98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FF472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1FD796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CA8DB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D6787E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90A76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794A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535CD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4C0ACD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556DB9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803457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7D6DF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95943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081DB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10D0B42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319CD0C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31713643"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DBC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872C1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571EE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CFB2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210755B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6DADC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F3B72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B0AA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298ED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7FD87CE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F3DA1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029CFF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B03F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07093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9E86E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44EF77A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31CF13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6F3B79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1BD8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A400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4E9E1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B89B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D0F17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C867E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ED812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23EF4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2E72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64EAA9F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1987DF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5D7DC5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EB1B11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1E410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547D7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702BC5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5A4D2B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5D37E1F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D1801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D0E1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FFF7C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0759F8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21949C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B64A67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E440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6913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4D56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0B045D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4175B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43FB3B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F52072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8E955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7FCD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0DFC03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81E0F5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316399A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ADEE4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E090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90B084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574926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2C4A17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8EA10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6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23BE4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EB6A6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0013D2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3755F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B39F09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689AB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A8F248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7880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59EA1A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04FD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1AA5F12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8D016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F9C6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63BCB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0EF724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A48EC8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ECB5B2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2101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C544A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8C66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DC2915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C4E31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AD7EAB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A7482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2CE46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E77AA1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0FC4D88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B459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A4E8A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543D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2D4D5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7A11F69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E2CD8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868F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2FB9C2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211A2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998D8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7C8A4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574EEC0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9C26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4EDE82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9A26A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6EE8E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8CB7C8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3174F10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6E4E82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592389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F13E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52F58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F4C5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1F993B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490FC1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817E3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682F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EE922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20E18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06031A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401030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980F84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77C1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F721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66B14F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3B3D67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3DC855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8FF38A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C1AD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398F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347A7A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6EF7397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D64398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82B93D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22DEF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74649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E73940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3303A5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E15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5CFD09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AD3CF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ADA1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BC6FE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6C0D13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CB34E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05C95C8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20AE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7E9BF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D759A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03AD71B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2FEF2E2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C3290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8EEF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1702C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7D25F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0CB0A3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6F6AAE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D9A6DD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C09DC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150234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A673E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65CEF1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4F2445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3801D59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8755A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920A8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4EAFE9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7635FD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05215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9D840E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96B5DE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FDC6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30B3F7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031F91A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6D22C4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6D281C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3DF0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B3877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049F5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05266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543AC1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5FAF16EA"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6D739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9B72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20675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4CE071D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597B06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433D27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B0EEAA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4C9B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23F281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2963D4B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5E3E7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704A55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C2719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FC74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A08D8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50550A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696F1E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582B52E2"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384764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25D62D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248C10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2C5D81A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1A44B04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11177FB2"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4D8A901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47A0F18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C7176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D8A73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41E6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5E65E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790426"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63BDF2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FC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95F52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08FF3B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42A23E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6532AA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528EED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0613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92301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5EF1F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039867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08C1FD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E1A64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5FF8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22DAF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46434D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1EF214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48187A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073C0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7D17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B00F5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5ED234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414616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38D1B7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B13AB6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AAE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5DF6E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6416ED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5E90A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6F7FF6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53E3B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A3A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C945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323C4A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4DF251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643A22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D1B06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84CE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04E8EB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7697CD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38B1A4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20ECE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4F05C9A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D380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D052C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4A80A4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43343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7DB620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C67F1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1551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8DCBD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57668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46A96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580BEB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C4B794"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1AA560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57105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6BE03F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4E0B0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0AEB1D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2DC3B18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477DB5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3C9957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61AB6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5FD3283D"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F941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5025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B3DC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31532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4F58A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8F0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0FDAB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475D4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866FD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2BBA1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332110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16907F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407043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2DC740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4FF99F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365AD6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55D6B1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099A5A09"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0DE6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3A5B1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5476AE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6805CD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41BC5F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2AC07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CA056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3E2E19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46B2908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017CBA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01FE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4C9982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382C6C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B51A3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26010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11C01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11F387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B7636C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B5E4C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7BAC87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24DA33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61F0B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6BA159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7FE9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6D498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37D618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6467715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12008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评价</w:t>
            </w:r>
          </w:p>
        </w:tc>
        <w:tc>
          <w:tcPr>
            <w:tcW w:w="936" w:type="dxa"/>
            <w:tcBorders>
              <w:top w:val="nil"/>
              <w:left w:val="nil"/>
              <w:bottom w:val="nil"/>
              <w:right w:val="nil"/>
            </w:tcBorders>
            <w:tcMar>
              <w:top w:w="-1" w:type="dxa"/>
              <w:left w:w="-1" w:type="dxa"/>
              <w:bottom w:w="-1" w:type="dxa"/>
              <w:right w:w="-1" w:type="dxa"/>
            </w:tcMar>
            <w:vAlign w:val="center"/>
          </w:tcPr>
          <w:p w14:paraId="74FB5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6A28C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38849D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528F5B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60A61F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6009C6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72092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4EB352A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F74D9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70C205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5E4C14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BDB4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33B310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78BF9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4FF55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19651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1CB1843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077A2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189163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1CA70D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4FC53E1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5CEB6B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4E9AC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234D4D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679A12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1169CA1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129C8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B0D5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6AA07E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2A1DC1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29A2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7FFBBA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774085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015AB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7F889D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227B65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72F37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00D7A2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6B8AD1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4780CA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2E5DC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375B5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6352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60EDE5F6"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37104B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7252A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DB6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7708A5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21CCC4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88CF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669CB3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24AB76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219C09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7A3590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73FE224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777627F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6A9E76E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E7A8F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9BFC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5024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A41D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10E14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3374CEA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4FC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5D90C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15FB9F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7114EB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4A8D8D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7443E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279F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4220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7A81DC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62E1F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122382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854E6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06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5EDC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4D7702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6998A0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1F6532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6EFC44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11AD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0D3993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74EA5D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5E2502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4CD3A8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3339507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A32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453FEA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400CC7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454665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8C33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1895B1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D0A0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36ACFB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254682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1D0984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112A2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0D981720"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41D0D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31A7C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2A1AC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60523A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4DAD54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1EBBD8E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4BF2B2A9" w14:textId="77777777">
        <w:trPr>
          <w:cantSplit/>
          <w:tblHeader/>
          <w:jc w:val="center"/>
        </w:trPr>
        <w:tc>
          <w:tcPr>
            <w:tcW w:w="1704" w:type="dxa"/>
            <w:tcBorders>
              <w:top w:val="single" w:sz="12" w:space="0" w:color="000000"/>
              <w:left w:val="nil"/>
              <w:bottom w:val="single" w:sz="6" w:space="0" w:color="000000"/>
              <w:right w:val="nil"/>
            </w:tcBorders>
            <w:vAlign w:val="center"/>
          </w:tcPr>
          <w:p w14:paraId="277CEB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7E575F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8E5C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22A45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16B7C8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2399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10E282C2" w14:textId="77777777">
        <w:trPr>
          <w:cantSplit/>
          <w:jc w:val="center"/>
        </w:trPr>
        <w:tc>
          <w:tcPr>
            <w:tcW w:w="1704" w:type="dxa"/>
            <w:tcBorders>
              <w:top w:val="nil"/>
              <w:left w:val="nil"/>
              <w:bottom w:val="nil"/>
              <w:right w:val="nil"/>
            </w:tcBorders>
            <w:vAlign w:val="center"/>
          </w:tcPr>
          <w:p w14:paraId="38BCD2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ED953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32572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537F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5680CC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2643C4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BA7F793" w14:textId="77777777">
        <w:trPr>
          <w:cantSplit/>
          <w:jc w:val="center"/>
        </w:trPr>
        <w:tc>
          <w:tcPr>
            <w:tcW w:w="1704" w:type="dxa"/>
            <w:tcBorders>
              <w:top w:val="nil"/>
              <w:left w:val="nil"/>
              <w:bottom w:val="single" w:sz="12" w:space="0" w:color="000000"/>
              <w:right w:val="nil"/>
            </w:tcBorders>
            <w:vAlign w:val="center"/>
          </w:tcPr>
          <w:p w14:paraId="5CBF17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29F49C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282C89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4F953B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2B069A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376C2A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05D1924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3E579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w:t>
      </w:r>
      <w:r>
        <w:rPr>
          <w:rFonts w:ascii="Times New Roman" w:eastAsia="宋体" w:hAnsi="Times New Roman" w:cs="Times New Roman"/>
          <w:kern w:val="0"/>
          <w:sz w:val="24"/>
        </w:rPr>
        <w:lastRenderedPageBreak/>
        <w:t>明性别差异随年级改变。个别分组的较低均值可以引导后续观察，但分层教学支持仍需落实到学生具体的分析、尝试、表达和调节表现。</w:t>
      </w:r>
    </w:p>
    <w:p w14:paraId="256EFC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2DCA0DD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113449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81EB3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2A5FD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ABD5C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581ED1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D0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0FA7AC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E7EF8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3B60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52BF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4E939A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0F8887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218CF1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8FC6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06886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3A4C7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156A59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0C22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78FF2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18627D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76FEED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C2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1EBBE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2A4A14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10088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B2D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3B1D2B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690C18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3BCC4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3CB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5DCF62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77F2E1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45FEAE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91CC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4265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3EB522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2B73F7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6B1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3CAFE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3158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71B72940"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1AFC8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65D7FD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2A1E9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1AB676C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64F6C9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6AA558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6432E45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0F6EF590"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13A05DA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F56E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344A6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BD98E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06EA79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362A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B1BD2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55646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7C756E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44BD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424F8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39654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087827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113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EB17E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2A57E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57FCA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8761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8C67A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51557F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5A5D06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B4D3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3E3596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28D04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7689CE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C406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244BA7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05645E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0735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6F6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EED89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69D0B8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17871F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F0BD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A93F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19D18F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0FCDB2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D0D5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279E8B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086117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1DBF77AC"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6141FD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3BA7CA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2F20F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55EB722"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2DA46F4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184E3ED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24258B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CE0A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6D6B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B7B9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716B64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5386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7D562B58"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6DC9CA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20AC6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4ED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180A84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669296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5FD46A8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04E4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60BCB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431A37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4CD234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08D8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356E2252"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5D276E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6083BF94"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373F2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0CC56F9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0D571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39597E63"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39526BD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29FFE2B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58A91E28"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6AF6CD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193C79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40198A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2ED614D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5E9928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4CA747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487CEF0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w:t>
      </w:r>
      <w:r>
        <w:rPr>
          <w:rFonts w:ascii="Times New Roman" w:eastAsia="宋体" w:hAnsi="Times New Roman" w:cs="Times New Roman"/>
          <w:kern w:val="0"/>
          <w:sz w:val="24"/>
        </w:rPr>
        <w:lastRenderedPageBreak/>
        <w:t>多角度作答，数字工具与资源支持，以及自主思考和小组研讨的时间安排。</w:t>
      </w:r>
    </w:p>
    <w:p w14:paraId="7BEAE88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7DE6C4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191DA2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vertAlign w:val="superscript"/>
        </w:rPr>
        <w:footnoteReference w:id="114"/>
      </w:r>
      <w:r>
        <w:rPr>
          <w:rFonts w:ascii="Times New Roman" w:eastAsia="宋体" w:hAnsi="Times New Roman" w:cs="Times New Roman"/>
          <w:kern w:val="0"/>
          <w:sz w:val="24"/>
        </w:rPr>
        <w:t xml:space="preserve">。本研究以此解释教师对高阶能力培育的实施把握，重点考察其能否设计适合学生的任务、通过提问与点拨推动思考，以及识别学生的高阶表现。</w:t>
      </w:r>
    </w:p>
    <w:p w14:paraId="20E15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00468A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2D3EA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58320B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12F1A9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5C099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768448A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学生调查呈现能力发展需要，教师调查呈现教学支持的基础与条件。两类结果共同用于确定学习模型的能力目标、任务要求与支持重点，并为学习决策路径、学习层次设计及后续教学模式构建提供依据。</w:t>
      </w:r>
    </w:p>
    <w:p w14:paraId="4BE3C4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7BF80A3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75AC0A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640CCE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5A5083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5DC721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3B4D1A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w:t>
      </w:r>
      <w:r>
        <w:rPr>
          <w:rFonts w:ascii="Times New Roman" w:eastAsia="宋体" w:hAnsi="Times New Roman" w:cs="Times New Roman"/>
          <w:kern w:val="0"/>
          <w:sz w:val="24"/>
        </w:rPr>
        <w:lastRenderedPageBreak/>
        <w:t>致性信度检验。</w:t>
      </w:r>
    </w:p>
    <w:p w14:paraId="1807A5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78527AE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0F427B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049695BF"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6ECD7237"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1FFB66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0A906E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61E6D0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3BC9E74" w14:textId="77777777">
        <w:trPr>
          <w:cantSplit/>
          <w:trHeight w:val="282"/>
          <w:jc w:val="center"/>
        </w:trPr>
        <w:tc>
          <w:tcPr>
            <w:tcW w:w="3504" w:type="dxa"/>
            <w:tcBorders>
              <w:top w:val="nil"/>
              <w:left w:val="nil"/>
              <w:bottom w:val="nil"/>
              <w:right w:val="nil"/>
            </w:tcBorders>
            <w:vAlign w:val="center"/>
          </w:tcPr>
          <w:p w14:paraId="5AA38B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4F2536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61AA0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06306ADF" w14:textId="77777777">
        <w:trPr>
          <w:cantSplit/>
          <w:trHeight w:val="269"/>
          <w:jc w:val="center"/>
        </w:trPr>
        <w:tc>
          <w:tcPr>
            <w:tcW w:w="3504" w:type="dxa"/>
            <w:tcBorders>
              <w:top w:val="nil"/>
              <w:left w:val="nil"/>
              <w:bottom w:val="nil"/>
              <w:right w:val="nil"/>
            </w:tcBorders>
            <w:vAlign w:val="center"/>
          </w:tcPr>
          <w:p w14:paraId="0617A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53888D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38AAA9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05912400" w14:textId="77777777">
        <w:trPr>
          <w:cantSplit/>
          <w:trHeight w:val="282"/>
          <w:jc w:val="center"/>
        </w:trPr>
        <w:tc>
          <w:tcPr>
            <w:tcW w:w="3504" w:type="dxa"/>
            <w:tcBorders>
              <w:top w:val="nil"/>
              <w:left w:val="nil"/>
              <w:bottom w:val="nil"/>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Bartlett球形度检验</w:t>
            </w:r>
          </w:p>
        </w:tc>
        <w:tc>
          <w:tcPr>
            <w:tcW w:w="2503" w:type="dxa"/>
            <w:tcBorders>
              <w:top w:val="nil"/>
              <w:left w:val="nil"/>
              <w:bottom w:val="nil"/>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252" w:type="dxa"/>
            <w:tcBorders>
              <w:top w:val="nil"/>
              <w:left w:val="nil"/>
              <w:bottom w:val="nil"/>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231</w:t>
            </w:r>
          </w:p>
        </w:tc>
      </w:tr>
      <w:tr w:rsidR="000B1CCE" w14:paraId="05912400" w14:textId="77777777">
        <w:trPr>
          <w:cantSplit/>
          <w:trHeight w:val="282"/>
          <w:jc w:val="center"/>
        </w:trPr>
        <w:tc>
          <w:tcPr>
            <w:tcW w:w="3504" w:type="dxa"/>
            <w:tcBorders>
              <w:top w:val="nil"/>
              <w:left w:val="nil"/>
              <w:bottom w:val="single" w:sz="12" w:space="0" w:color="000000"/>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C1ED6E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36278A5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25F373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前四个成分的特征值均大于1，第五个成分的特征值低于1，结果见表3-20。按22个题项计算，前四个成分分别解释了38.75%、10.64%、7.52%和5.97%的方差，累计解释62.87%。</w:t>
      </w:r>
    </w:p>
    <w:p w14:paraId="0794FAC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61FC42FA"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79648D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218E0F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232B52F" w14:textId="77777777">
        <w:trPr>
          <w:cantSplit/>
          <w:trHeight w:val="342"/>
          <w:jc w:val="center"/>
        </w:trPr>
        <w:tc>
          <w:tcPr>
            <w:tcW w:w="4390" w:type="dxa"/>
            <w:tcBorders>
              <w:top w:val="nil"/>
              <w:left w:val="nil"/>
              <w:bottom w:val="nil"/>
              <w:right w:val="nil"/>
            </w:tcBorders>
            <w:vAlign w:val="center"/>
          </w:tcPr>
          <w:p w14:paraId="25A256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5FE012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2D0BD97" w14:textId="77777777">
        <w:trPr>
          <w:cantSplit/>
          <w:trHeight w:val="326"/>
          <w:jc w:val="center"/>
        </w:trPr>
        <w:tc>
          <w:tcPr>
            <w:tcW w:w="4390" w:type="dxa"/>
            <w:tcBorders>
              <w:top w:val="nil"/>
              <w:left w:val="nil"/>
              <w:bottom w:val="nil"/>
              <w:right w:val="nil"/>
            </w:tcBorders>
            <w:vAlign w:val="center"/>
          </w:tcPr>
          <w:p w14:paraId="5E5D89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456305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158E2192" w14:textId="77777777">
        <w:trPr>
          <w:cantSplit/>
          <w:trHeight w:val="326"/>
          <w:jc w:val="center"/>
        </w:trPr>
        <w:tc>
          <w:tcPr>
            <w:tcW w:w="4390" w:type="dxa"/>
            <w:tcBorders>
              <w:top w:val="nil"/>
              <w:left w:val="nil"/>
              <w:bottom w:val="nil"/>
              <w:right w:val="nil"/>
            </w:tcBorders>
            <w:vAlign w:val="center"/>
          </w:tcPr>
          <w:p w14:paraId="1D05F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0986DB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38730879" w14:textId="77777777">
        <w:trPr>
          <w:cantSplit/>
          <w:trHeight w:val="326"/>
          <w:jc w:val="center"/>
        </w:trPr>
        <w:tc>
          <w:tcPr>
            <w:tcW w:w="4390" w:type="dxa"/>
            <w:tcBorders>
              <w:top w:val="nil"/>
              <w:left w:val="nil"/>
              <w:bottom w:val="nil"/>
              <w:right w:val="nil"/>
            </w:tcBorders>
            <w:vAlign w:val="center"/>
          </w:tcPr>
          <w:p w14:paraId="08AA99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13BF99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223201C3" w14:textId="77777777">
        <w:trPr>
          <w:cantSplit/>
          <w:trHeight w:val="342"/>
          <w:jc w:val="center"/>
        </w:trPr>
        <w:tc>
          <w:tcPr>
            <w:tcW w:w="4390" w:type="dxa"/>
            <w:tcBorders>
              <w:top w:val="nil"/>
              <w:left w:val="nil"/>
              <w:bottom w:val="single" w:sz="12" w:space="0" w:color="000000"/>
              <w:right w:val="nil"/>
            </w:tcBorders>
            <w:vAlign w:val="center"/>
          </w:tcPr>
          <w:p w14:paraId="3018D7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44162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737A4D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360512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BA2521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1D344E0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674F06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A1CD7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550CA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D421A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4D6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75EE98"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46D695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ADA9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6A41A9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7406E9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482FE0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6FD483F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239BFF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43B6F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0DCDF45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3123C80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44BDC29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3EDF9D2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C63A9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F0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lastRenderedPageBreak/>
              <w:t>Q7_3</w:t>
            </w:r>
          </w:p>
        </w:tc>
        <w:tc>
          <w:tcPr>
            <w:tcW w:w="0" w:type="auto"/>
            <w:tcBorders>
              <w:top w:val="nil"/>
              <w:left w:val="nil"/>
              <w:bottom w:val="nil"/>
              <w:right w:val="nil"/>
            </w:tcBorders>
            <w:tcMar>
              <w:top w:w="-1" w:type="dxa"/>
              <w:left w:w="-1" w:type="dxa"/>
              <w:bottom w:w="-1" w:type="dxa"/>
              <w:right w:w="-1" w:type="dxa"/>
            </w:tcMar>
            <w:vAlign w:val="center"/>
          </w:tcPr>
          <w:p w14:paraId="3C895AE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7C70E7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126EBB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3D1AE8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1E02D4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5CC1E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4F870C5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0AF033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3BFA584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0E1A32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44A9BE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137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771D55E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3B763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407664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190089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54A85C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EF3A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7AB168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02FA56A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8DAAC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580BB8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6AE944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FCC70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16BB4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2BEC06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18BD7D8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8853F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7B8A70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E6EC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62FB38C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5ABE9DC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5DB8F4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1B93435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7247BC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FCD6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66B4C99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40A68C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50636B7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111F21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2B7C5AF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15A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5C50FF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3402FA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7159BD0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1AB4F73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73B7479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962E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4F134CB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327225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600CDBC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68572F1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86553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4381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0DD24D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5805FC8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8B6CF2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1835861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4C72B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37C1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701953B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16AE2A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32AD4D6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3D7F01B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6A1A64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1628D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1229584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572D9B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0BC1BD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295DB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0ECF93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7C400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66B02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0F37C39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69586EB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009C7F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0F434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62A7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7FBCEA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0D70BB1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38C5DC5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19A2A2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0BA1C2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CD2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D2AF5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649E9A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33A32C9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15F24DD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0815B4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BBA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57E3DE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5BDE53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7B461FC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4C3E2B7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431B0C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CA62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4633AA7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472073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42FBB3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D153EE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5E735E5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B3740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227842F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AAE87C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149C9D8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5754775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332BE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F7BE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5D5E731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0B7320C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ABDA58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3883CB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56113A9E"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36020A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74CCBA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2E33D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F888F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502C37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6E02947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740593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14E96DC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5A24D4E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5207FC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7784E5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0CE2E11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62D584"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A62EB3"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5A6BB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76AB5B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0E246"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2C5591D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69C99D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539515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1A227"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3916809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2F510E0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1803CF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955E8D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0FD18A3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74B1511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79C814EC"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3FAF9B5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4EE6F04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0C9CE349"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0BD7A4C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6AD981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35377A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2C5136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42B35B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75D7E6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769FA175" w14:textId="77777777" w:rsidR="000B1CCE" w:rsidRDefault="00000000">
      <w:pPr>
        <w:keepNext/>
        <w:spacing w:before="120"/>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6501F153"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1693E5AE" w14:textId="77777777" w:rsidR="000B1CCE" w:rsidRDefault="00000000">
      <w:pPr>
        <w:spacing w:line="360" w:lineRule="auto"/>
        <w:ind w:firstLineChars="200" w:firstLine="480"/>
      </w:pPr>
      <w:r>
        <w:rPr>
          <w:rFonts w:ascii="Times New Roman" w:eastAsia="宋体" w:hAnsi="Times New Roman" w:cs="Times New Roman"/>
          <w:kern w:val="0"/>
          <w:sz w:val="24"/>
        </w:rPr>
        <w:lastRenderedPageBreak/>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42DF0699"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010CF2E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07EE071"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CE46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6BEA6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0BCB4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825189"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19DF4900"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E7529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6FC8635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7597B4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5806D9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7FAB8C43"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600343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70DF995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4D0B62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48DDCA6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46228B3E"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330F04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377EE3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19E7D4B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6DD9586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58C5B9E7"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3644992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0B50A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4F38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464178D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79BF0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3DA2C09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27C358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0C279CD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E5400F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B9AD1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C3321C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A3ACE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2C08A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FB328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62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02F472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76CA6A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4E57F73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4606082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22FA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53DF826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4099FC9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6E7CD50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231579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745F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3B813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67D44A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5630A42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06D52CE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CFEE3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08F349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85AFED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55F082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3808E9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8B7B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241CD5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0144D5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48AD36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144E3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CAF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20DA8E8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7B997CD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4A575B1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37EE55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59208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5141F0A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69BAEC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431281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2B22893A"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4D5F41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5A66F1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E4D9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902CA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66F73A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58874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4EE7993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3CCFC59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ECE8F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B1D80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B9099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B0B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77F484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DBFD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7AB75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67B473A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10C530F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5D1B49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8BAC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5B7570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436754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E0F54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0A3ED52F"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7AE694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AD6B32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9A424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49061AC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2785341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3C2BD27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730F52E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35C19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1D8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FB4E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3E30B8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C57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5EDF5B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39D868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66569A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29A68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4EE76A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1EDB83A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5526B1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666C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2B4ADF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72662F0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197739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7B12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346FDB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242D8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5BC33E89"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0DE8AF4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3298AF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267E71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6C42E68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5D93DF2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0CE4C7E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100ADC4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D53EC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D761E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D347B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73E45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3BFE0C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B17C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32FCDD3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29BE7F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0C372E7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1492C7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270E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21679FA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1F65B4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1BC94C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36BB5B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014FD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735FE7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4130E8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0C5512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1ACBA1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BDD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299073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5A331E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00BE2C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027605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BD0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276A3E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1E15C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2DA733A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BD63AED"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04AC57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62B8771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9BC9A7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337E35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49F530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w:t>
      </w:r>
      <w:r>
        <w:rPr>
          <w:rFonts w:ascii="Times New Roman" w:eastAsia="宋体" w:hAnsi="Times New Roman" w:cs="Times New Roman"/>
          <w:kern w:val="0"/>
          <w:sz w:val="24"/>
        </w:rPr>
        <w:lastRenderedPageBreak/>
        <w:t>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5F408DC7"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A8BF684"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67CFD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3403853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32F504B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19F46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C11AE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331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6C7C9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9CD625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C312C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2B574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64BE2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0831CE8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70E7F91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1A3A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0C2F28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081FC5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45DE01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71D8AB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C0E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D5E7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71CE6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1AB6CC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2230D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3917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49386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140E2D2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7EE7EB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25BB14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4370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0140C0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2C358A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1D14101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0C8E41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89EC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6C90D6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0B7E314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033468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32A0DBD0"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486DBE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353193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49E12A2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5E1A50F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601D8A5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6851D6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269BA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3DA49E7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044CEB4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5F2C57"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34F6E6"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F0A19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749F2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0AB84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52E3F9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A574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5A226AB9"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75651CB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430A71D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02BE202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1DF27A50"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0EE8212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7A4C0092"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0BEDE7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45697DF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7B12DE9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7A4B03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2ADB37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36F60B7A" w14:textId="77777777" w:rsidR="000B1CCE" w:rsidRDefault="00000000">
      <w:pPr>
        <w:keepNext/>
        <w:spacing w:before="120"/>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18231B8B"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15E45D4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74DAD54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57B1B38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46A3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DAC79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2709D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19E77C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233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21C7BBBE"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67A38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5E9620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9A33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B2E4C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67FFE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32FEA9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72B4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0B8165B0"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7E26D6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351AEF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6B5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0C9A426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14F2790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32B457EF"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656E13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4AE30D7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388D0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4B9E289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0D880E9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37A543C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w:t>
      </w:r>
      <w:r>
        <w:rPr>
          <w:rFonts w:ascii="Times New Roman" w:eastAsia="宋体" w:hAnsi="Times New Roman" w:cs="Times New Roman"/>
          <w:b/>
          <w:sz w:val="24"/>
        </w:rPr>
        <w:t>因此，前测的价值在于识别从理念到实践、从参与到能力生成之间的关键断点。</w:t>
      </w:r>
    </w:p>
    <w:p w14:paraId="5A25D9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790C29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6299E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44C0B9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0A9443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68A9BA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526F60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w:t>
      </w:r>
      <w:r>
        <w:rPr>
          <w:rFonts w:ascii="Times New Roman" w:eastAsia="宋体" w:hAnsi="Times New Roman" w:cs="Times New Roman"/>
          <w:sz w:val="24"/>
        </w:rPr>
        <w:lastRenderedPageBreak/>
        <w:t>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15CB552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348FA3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058C8E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7C447F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高阶能力培育需要突破的主要问题</w:t>
      </w:r>
    </w:p>
    <w:p w14:paraId="6AD65C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7F8501AE"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B73FEB"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1BFC27"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A53F95"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89F51E4"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C9E6626"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3C195E5"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44A06714"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B3F7181"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31579AF"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19EA10F5"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43994D83"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378318E0"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BF256AC"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1AF40B95"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F6D19CA"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44C1CE8D"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3B5E0F95"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2288A88A"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6FB66EB3"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5A1DC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31879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1CF780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5DFC1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2A0122F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08A7E9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2CC7D9C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09FAD6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76F754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096784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6351E7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5827454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75991C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0DDF33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46D5E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183B7F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vertAlign w:val="superscript"/>
        </w:rPr>
        <w:footnoteReference w:id="115"/>
      </w:r>
      <w:r>
        <w:rPr>
          <w:rFonts w:ascii="Times New Roman" w:eastAsia="宋体" w:hAnsi="Times New Roman" w:cs="Times New Roman"/>
          <w:kern w:val="0"/>
          <w:sz w:val="24"/>
        </w:rPr>
        <w:t xml:space="preserve">，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3D9121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能力进阶尺度同样以高阶能力理论为依据。高阶思维是非算法性的、需要在不确定条件下作出判断的加工过程</w:t>
      </w:r>
      <w:r>
        <w:rPr>
          <w:rFonts w:ascii="Times New Roman" w:eastAsia="宋体" w:hAnsi="Times New Roman" w:cs="Times New Roman"/>
          <w:kern w:val="0"/>
          <w:sz w:val="24"/>
          <w:vertAlign w:val="superscript"/>
        </w:rPr>
        <w:footnoteReference w:id="116"/>
      </w:r>
      <w:r>
        <w:rPr>
          <w:rFonts w:ascii="Times New Roman" w:eastAsia="宋体" w:hAnsi="Times New Roman" w:cs="Times New Roman"/>
          <w:kern w:val="0"/>
          <w:sz w:val="24"/>
        </w:rPr>
        <w:t xml:space="preserve">，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w:t>
      </w:r>
      <w:r>
        <w:rPr>
          <w:rFonts w:ascii="Times New Roman" w:eastAsia="宋体" w:hAnsi="Times New Roman" w:cs="Times New Roman"/>
          <w:kern w:val="0"/>
          <w:sz w:val="24"/>
        </w:rPr>
        <w:lastRenderedPageBreak/>
        <w:t>境中分别观察。</w:t>
      </w:r>
    </w:p>
    <w:p w14:paraId="03CD25C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702E2A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361C16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6E8658D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330A4C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2D1E01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733C1C9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4228C1F"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1C6680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35945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32D44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143B58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43AF1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F9F8B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16B6D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7FF110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3.</w:t>
      </w:r>
      <w:r>
        <w:rPr>
          <w:rFonts w:ascii="Times New Roman" w:eastAsia="黑体" w:hAnsi="Times New Roman" w:cs="Times New Roman"/>
          <w:b/>
          <w:sz w:val="24"/>
        </w:rPr>
        <w:t>指向高阶能力发展的学习模型</w:t>
      </w:r>
    </w:p>
    <w:p w14:paraId="5E090718"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400000" cy="6657632"/>
            <wp:docPr id="71" name="Picture 71"/>
            <wp:cNvGraphicFramePr>
              <a:graphicFrameLocks noChangeAspect="1"/>
            </wp:cNvGraphicFramePr>
            <a:graphic>
              <a:graphicData uri="http://schemas.openxmlformats.org/drawingml/2006/picture">
                <pic:pic>
                  <pic:nvPicPr>
                    <pic:cNvPr id="0" name="model_learning_k.png"/>
                    <pic:cNvPicPr/>
                  </pic:nvPicPr>
                  <pic:blipFill>
                    <a:blip r:embed="rId53"/>
                    <a:stretch>
                      <a:fillRect/>
                    </a:stretch>
                  </pic:blipFill>
                  <pic:spPr>
                    <a:xfrm>
                      <a:off x="0" y="0"/>
                      <a:ext cx="5400000" cy="6657632"/>
                    </a:xfrm>
                    <a:prstGeom prst="rect"/>
                  </pic:spPr>
                </pic:pic>
              </a:graphicData>
            </a:graphic>
          </wp:inline>
        </w:drawing>
      </w:r>
    </w:p>
    <w:p w14:paraId="1B62053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1A6E5B6F" w14:textId="77777777" w:rsidR="000B1CCE" w:rsidRDefault="000B1CCE">
      <w:pPr>
        <w:adjustRightInd w:val="0"/>
        <w:snapToGrid w:val="0"/>
        <w:spacing w:line="360" w:lineRule="auto"/>
        <w:ind w:firstLineChars="200" w:firstLine="480"/>
        <w:rPr>
          <w:rFonts w:ascii="宋体" w:eastAsia="宋体" w:hAnsi="宋体" w:cs="宋体"/>
          <w:sz w:val="24"/>
        </w:rPr>
      </w:pPr>
    </w:p>
    <w:p w14:paraId="16B666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6E73DC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6DCEA9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2C395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2FFB6A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w:t>
      </w:r>
      <w:r>
        <w:rPr>
          <w:rFonts w:ascii="Times New Roman" w:eastAsia="宋体" w:hAnsi="Times New Roman" w:cs="Times New Roman"/>
          <w:sz w:val="24"/>
        </w:rPr>
        <w:lastRenderedPageBreak/>
        <w:t>或成果。</w:t>
      </w:r>
    </w:p>
    <w:p w14:paraId="5B414B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72E92C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7669AB9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4EE79864"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25CE0F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6D3616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4F1BDDA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7B13BE2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3F7331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4137C5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 xml:space="preserve">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vertAlign w:val="superscript"/>
        </w:rPr>
        <w:footnoteReference w:id="117"/>
      </w:r>
      <w:r>
        <w:rPr>
          <w:rFonts w:ascii="Times New Roman" w:eastAsia="宋体" w:hAnsi="Times New Roman" w:cs="Times New Roman"/>
          <w:kern w:val="0"/>
          <w:sz w:val="24"/>
        </w:rPr>
        <w:t xml:space="preserve">，这为反思迁移环节中的策略提炼和迁移练习提供了依据。</w:t>
      </w:r>
    </w:p>
    <w:p w14:paraId="138E2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50719BE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317760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4BC6E8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28CDDA82"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400000" cy="7091053"/>
            <wp:docPr id="72" name="Picture 72"/>
            <wp:cNvGraphicFramePr>
              <a:graphicFrameLocks noChangeAspect="1"/>
            </wp:cNvGraphicFramePr>
            <a:graphic>
              <a:graphicData uri="http://schemas.openxmlformats.org/drawingml/2006/picture">
                <pic:pic>
                  <pic:nvPicPr>
                    <pic:cNvPr id="0" name="model_teaching_k.png"/>
                    <pic:cNvPicPr/>
                  </pic:nvPicPr>
                  <pic:blipFill>
                    <a:blip r:embed="rId54"/>
                    <a:stretch>
                      <a:fillRect/>
                    </a:stretch>
                  </pic:blipFill>
                  <pic:spPr>
                    <a:xfrm>
                      <a:off x="0" y="0"/>
                      <a:ext cx="5400000" cy="7091053"/>
                    </a:xfrm>
                    <a:prstGeom prst="rect"/>
                  </pic:spPr>
                </pic:pic>
              </a:graphicData>
            </a:graphic>
          </wp:inline>
        </w:drawing>
      </w:r>
    </w:p>
    <w:p w14:paraId="7C447E12"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6AA5785D" w14:textId="77777777" w:rsidR="000B1CCE" w:rsidRDefault="000B1CCE">
      <w:pPr>
        <w:adjustRightInd w:val="0"/>
        <w:snapToGrid w:val="0"/>
        <w:spacing w:line="360" w:lineRule="auto"/>
        <w:jc w:val="center"/>
        <w:rPr>
          <w:rFonts w:ascii="宋体" w:eastAsia="宋体" w:hAnsi="宋体" w:cs="宋体"/>
          <w:b/>
          <w:bCs/>
          <w:szCs w:val="21"/>
        </w:rPr>
      </w:pPr>
    </w:p>
    <w:p w14:paraId="690783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60468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0DD976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6A9C1E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025CF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4364720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7F775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20399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5D6C93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29614A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46242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898D6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vertAlign w:val="superscript"/>
        </w:rPr>
        <w:footnoteReference w:id="118"/>
      </w:r>
      <w:r>
        <w:rPr>
          <w:rFonts w:ascii="Times New Roman" w:eastAsia="宋体" w:hAnsi="Times New Roman" w:cs="Times New Roman"/>
          <w:kern w:val="0"/>
          <w:sz w:val="24"/>
        </w:rPr>
        <w:t xml:space="preserve">。</w:t>
      </w:r>
    </w:p>
    <w:p w14:paraId="3A72A1D2" w14:textId="77777777" w:rsidR="000B1CCE" w:rsidRDefault="000B1CCE">
      <w:pPr>
        <w:adjustRightInd w:val="0"/>
        <w:snapToGrid w:val="0"/>
        <w:spacing w:line="360" w:lineRule="auto"/>
        <w:ind w:firstLineChars="200" w:firstLine="480"/>
        <w:rPr>
          <w:rFonts w:ascii="宋体" w:eastAsia="宋体" w:hAnsi="宋体" w:cs="宋体"/>
          <w:sz w:val="24"/>
        </w:rPr>
      </w:pPr>
    </w:p>
    <w:p w14:paraId="5AB6BF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2FE1F1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09F7EB6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070F3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6D7B8A4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3773D8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7255B2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5CB066E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766879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211A09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7EEE71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1C83E8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0B75A3C8"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（五）学科课堂中的高阶能力培育实践案例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模型建构完成后，课题组在语文、英语、物理等学科开展了多轮研究课实践。为呈现模型怎样转化为具体的课堂教学，本节选取四个学科案例进行分析。案例选择兼顾学科、学段和学习样态的差异，物理《光的折射》侧重实验探究与模型建构，英语写作侧重论证思维的进阶，语文状物写作侧重真实任务中的观察与表达，语文《秋天的怀念》侧重协同探究中的文本理解与生命感悟。四个案例均以五环学习模型组织学生学习，以诊断发现、干预设计、实施推进和评估改进组织教师调节，并以五见为线索收集学习证据。</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参照学科实践学习分析框架的写法</w:t>
      </w:r>
      <w:r>
        <w:rPr>
          <w:rFonts w:ascii="Times New Roman" w:eastAsia="宋体" w:hAnsi="Times New Roman" w:cs="Times New Roman"/>
          <w:sz w:val="24"/>
          <w:vertAlign w:val="superscript"/>
        </w:rPr>
        <w:footnoteReference w:id="119"/>
      </w:r>
      <w:r>
        <w:rPr>
          <w:rFonts w:ascii="Times New Roman" w:eastAsia="宋体" w:hAnsi="Times New Roman" w:cs="Times New Roman"/>
          <w:sz w:val="24"/>
        </w:rPr>
        <w:t xml:space="preserve">，每个案例从学情诊断与目标确立、五环实施过程、学习证据与反思三个方面展开，重点回答三个问题，一是七维高阶能力目标怎样转化为本课可观察的学习表现，二是学生的思维过程和社会情感表现怎样在课堂中外显，三是教师怎样依据这些证据调整教学。四个案例的基本情况见表3-31。</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表3-31  四个学科案例的基本情况</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709"/>
        <w:gridCol w:w="1597"/>
        <w:gridCol w:w="709"/>
        <w:gridCol w:w="887"/>
        <w:gridCol w:w="2307"/>
        <w:gridCol w:w="2307"/>
      </w:tblGrid>
      <w:tr w:rsidR="000B1CCE" w14:paraId="7531D65E" w14:textId="77777777">
        <w:trPr>
          <w:tblHeader/>
          <w:jc w:val="center"/>
        </w:trPr>
        <w:tc>
          <w:tcPr>
            <w:tcW w:w="709"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案例</w:t>
            </w:r>
          </w:p>
        </w:tc>
        <w:tc>
          <w:tcPr>
            <w:tcW w:w="159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学科与课题</w:t>
            </w:r>
          </w:p>
        </w:tc>
        <w:tc>
          <w:tcPr>
            <w:tcW w:w="7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执教教师</w:t>
            </w:r>
          </w:p>
        </w:tc>
        <w:tc>
          <w:tcPr>
            <w:tcW w:w="88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主样态</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能力重点</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关键证据</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案例一</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物理《光的折射》第一课时</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姜惠轶</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分析、评价、创造；合作共情、情绪调节</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前测、课堂实录、实验报告、光路图、课堂智能反馈报告、分层作业</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案例二</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英语中考写作（九年级）</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李静</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证据支撑的论证性实践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草稿至终稿、教师批注、同伴互评量表、自我评估清单</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案例三</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语文状物描写写作</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王尤迪</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真实情境的任务性实践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AI图像对比、1.0至4.0版本链、迁移习作、互评表</w:t>
            </w:r>
          </w:p>
        </w:tc>
      </w:tr>
      <w:tr w:rsidR="000B1CCE" w14:paraId="3AC77B2B" w14:textId="77777777">
        <w:trPr>
          <w:jc w:val="center"/>
        </w:trPr>
        <w:tc>
          <w:tcPr>
            <w:tcW w:w="709"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案例四</w:t>
            </w:r>
          </w:p>
        </w:tc>
        <w:tc>
          <w:tcPr>
            <w:tcW w:w="159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语文《秋天的怀念》第二课时（七年级）</w:t>
            </w:r>
          </w:p>
        </w:tc>
        <w:tc>
          <w:tcPr>
            <w:tcW w:w="7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董丹</w:t>
            </w:r>
          </w:p>
        </w:tc>
        <w:tc>
          <w:tcPr>
            <w:tcW w:w="88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分析、评价、创造；情绪调节、合作共情、责任担当、包容创新</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学案、短笺迭代记录单、答辩记录表、跨文本迁移阅读记录卡</w:t>
            </w:r>
          </w:p>
        </w:tc>
      </w:tr>
    </w:tbl>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1.物理《光的折射》，在实验与仿真中建构光路模型</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课前，姜惠轶老师通过预习案和前测诊断学生起点。35名学生不知道叉鱼时应瞄准什么位置，占83.3%；28名学生认为折射角可能等于入射角。课堂智能反馈报告对学生回答的结构分类显示，83%的回答属于单点结构，4%达到关联结构，尚无回答达到拓展抽象结构。这说明学生学习光的反射之后能够完成基础操作，但思维多停留在记忆、理解和应用层面，类比分析、循证归纳与模型建构的能力尚未形成。</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分为基础与高阶两级（表3-32）。基础目标对应三层六阶中的学习理解层，要求学生识别光的折射中的各个要素、规范操作并类比反射定律写出初步结论；高阶目标对应应用实践与迁移创新层，要求学生依据数据验证或修正猜想，运用光路可逆模型绘制叉鱼光路图，并把折射规律迁移到潭清疑水浅、繁星闪烁等新情境。高阶目标同时包含社会情感要求，即在模型建构和科普解释中包容不同观点，把物理知识转化为服务他人的行动。每一项目标都对应可见的评价依据，师生在课前就能明确学习要去哪里、做到什么程度。</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表3-32  《光的折射》教学目标与评价依据</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946"/>
        <w:gridCol w:w="3076"/>
        <w:gridCol w:w="3076"/>
        <w:gridCol w:w="1419"/>
      </w:tblGrid>
      <w:tr w:rsidR="000B1CCE" w14:paraId="7531D65E" w14:textId="77777777">
        <w:trPr>
          <w:tblHeader/>
          <w:jc w:val="center"/>
        </w:trPr>
        <w:tc>
          <w:tcPr>
            <w:tcW w:w="946"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目标层级</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可观测的学习目标</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评价依据</w:t>
            </w:r>
          </w:p>
        </w:tc>
        <w:tc>
          <w:tcPr>
            <w:tcW w:w="141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能力指向</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基础目标</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说出光的折射定义并识别相关光线与角，规范操作光具盘并如实记录多组数据，类比反射定律写出至少三条初步结论</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光路图描画正确，数据记录完整，类比推理栏写出三线共面、两线分居等结论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理解、应用</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高阶目标一</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基于反射定律提出折射规律的猜想，在多组数据中寻找证据验证或修正猜想，并解释异常数据</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猜想与假设栏有类比推理，结论至少三条且包含一条拓展结论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高阶目标二</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运用光路可逆模型绘制叉鱼光路图，标出虚像位置并解释瞄准下方的原因</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虚像位置标注正确，能口头解释人眼逆着折射光看到的像在反向延长线上</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分析、创造</w:t>
            </w:r>
          </w:p>
        </w:tc>
      </w:tr>
      <w:tr w:rsidR="000B1CCE" w14:paraId="3AC77B2B" w14:textId="77777777">
        <w:trPr>
          <w:jc w:val="center"/>
        </w:trPr>
        <w:tc>
          <w:tcPr>
            <w:tcW w:w="946"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高阶目标三</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把折射规律迁移到新情境，在科普解释中包容不同观点并提出服务他人的建议</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科普解释准确运用折射原理，提出不凭肉眼判断水深等具体建议</w:t>
            </w:r>
          </w:p>
        </w:tc>
        <w:tc>
          <w:tcPr>
            <w:tcW w:w="141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创造、合作共情、责任担当</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依据三层五环框架，本课把五环学习过程与学习理解、应用实践、迁移创新三个能力层级对应起来，每一环节同时呈现教师的调节行为与学生的学习行为，课堂活动与理论框架的对应关系见图3-11。</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4" name="Picture 74"/>
            <wp:cNvGraphicFramePr>
              <a:graphicFrameLocks noChangeAspect="1"/>
            </wp:cNvGraphicFramePr>
            <a:graphic>
              <a:graphicData uri="http://schemas.openxmlformats.org/drawingml/2006/picture">
                <pic:pic>
                  <pic:nvPicPr>
                    <pic:cNvPr id="0" name="flow_jhy_k.png"/>
                    <pic:cNvPicPr/>
                  </pic:nvPicPr>
                  <pic:blipFill>
                    <a:blip r:embed="rId56"/>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图3-11  《光的折射》五环学习与教师调节流程图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以叉鱼游戏开场。学生借助吸管瞄准鱼缸中的鱼，再用木条模拟鱼叉，结果明明瞄准了却没有叉到。预期与结果的冲突使学生开始怀疑眼睛看到的位置是否等于物体的真实位置，学习问题由此从学生自己的困惑中生成。教师随后引导学生观察浸入水中的木条，并连续追问木条是否真的折断、怎样证明它没有折断、为什么看起来折断、光在什么情况下会改变传播方向。四个追问依次推动学生区分现象与本质、设计验证方法、作出因果解释并归纳条件。学生提出抽出来看、从侧面看等验证办法，表明其已经具备用证据支撑判断的意识。</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教师继续追问光垂直射入水面是否偏折、两个方向的偏折是否相同。学生的回答呈现出明显分层，有的学生表示不确定，有的学生以侧面看木条仍是直的为证据，推断垂直入射时不偏折，还有学生由反射中的光路可逆类比提出折射也可能可逆。教师把不确定和没观察过的回答转化为探究任务，把证据迁移和类比推理的回答作为全班讨论的范例，由此形成本课的三个核心问题，即光在什么条件下偏折、偏折方向与介质有什么关系、光路是否可逆。这一过程对应教学模型中的诊断发现，教师通过学生的回答看见其认知起点和思维层次，并据此设计后续的分层探究任务。课堂智能反馈报告显示，该环节学生抬头率在85%以上，参与度约为70%。</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采用实体实验与仿真实验相结合的方式（图3-12）。学生分组用光具盘探究空气射入水或玻璃、水或玻璃射入空气四种路径。实验报告中的入射角经过多轮修订，0°用于检验垂直入射，15°、50°和75°用于比较角度变化的规律，水射入空气的46°和玻璃射入空气的40°接近全反射临界角，空气射入水的折射角与水射入空气的入射角相互对应，可为光路可逆的猜想提供定量证据。由于光具盘分度值为5°，水面晃动等因素也影响读数，全反射现象和水与玻璃的折射差异在实体实验中难以看清。教师因此引入PhET仿真，放大光在不同介质间传播时的角度差异，并用光强探测功能呈现折射光消失、反射光强等于入射光强的过程，学生据此建立全反射概念。仿真实验补足了实体实验的证据缺口，教学模型中的干预设计在这里表现为针对证据不足的环节及时提供技术支架。</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269521"/>
            <wp:docPr id="45" name="Picture 45"/>
            <wp:cNvGraphicFramePr>
              <a:graphicFrameLocks noChangeAspect="1"/>
            </wp:cNvGraphicFramePr>
            <a:graphic>
              <a:graphicData uri="http://schemas.openxmlformats.org/drawingml/2006/picture">
                <pic:pic>
                  <pic:nvPicPr>
                    <pic:cNvPr id="0" name="jhy_exp.jpg"/>
                    <pic:cNvPicPr/>
                  </pic:nvPicPr>
                  <pic:blipFill>
                    <a:blip r:embed="rId26"/>
                    <a:stretch>
                      <a:fillRect/>
                    </a:stretch>
                  </pic:blipFill>
                  <pic:spPr>
                    <a:xfrm>
                      <a:off x="0" y="0"/>
                      <a:ext cx="5040000" cy="126952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图3-12  学生分组实验中的光具盘（左）与PhET仿真实验中的全反射探测（右）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展学的核心任务是光路图投屏答辩。学生调用实验数据画出人眼看到鱼的光路图，确定虚像的位置，先讲作图思路再讲结论，其他小组质疑和互评（图3-13）。有的学生画出正确光路，并说明人眼逆着折射光看，虚像在实物上方；有的学生把光的传播方向画反，经同伴指出光应从鱼发出到达人眼后改正；还有学生没有画法线，同伴追问所标的角以何为参照后，学生补画法线并重新标角。教师在这一环节退居组织者和证据捕捉者的位置，把纠错交给同伴互评，同时记录学生在互评中的措辞和被质疑时的回应。课后访谈中，一名作图出错的学生表示开始有点不好意思，后来觉得同学说得对，改完就清楚了，这为合作共情与情绪调节的发展提供了过程证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240000" cy="2138507"/>
            <wp:docPr id="46" name="Picture 46"/>
            <wp:cNvGraphicFramePr>
              <a:graphicFrameLocks noChangeAspect="1"/>
            </wp:cNvGraphicFramePr>
            <a:graphic>
              <a:graphicData uri="http://schemas.openxmlformats.org/drawingml/2006/picture">
                <pic:pic>
                  <pic:nvPicPr>
                    <pic:cNvPr id="0" name="jhy_lightpath.jpg"/>
                    <pic:cNvPicPr/>
                  </pic:nvPicPr>
                  <pic:blipFill>
                    <a:blip r:embed="rId27"/>
                    <a:stretch>
                      <a:fillRect/>
                    </a:stretch>
                  </pic:blipFill>
                  <pic:spPr>
                    <a:xfrm>
                      <a:off x="0" y="0"/>
                      <a:ext cx="3240000" cy="213850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图3-13  学生构建的叉鱼光路图</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与反思迁移主要通过分层作业完成。课堂智能反馈报告提示本课缺少创造性问题，教师据此借助DeepSeek生成分层作业初稿，经审核修改后形成《星光与池水的奥秘》，题目按单点、多点、关联和拓展抽象结构分层设计。教师通过批注把典型错误转化为诊断性反馈，例如有学生认为传播速度快的介质中的角一定更大，教师批注垂直入射时是否还成立，学生据此修正结论；有学生设计在泳池底部安装红外传感器，教师追问传感器如何传递信息、救生员观察哪里，引导其由堆砌技术转向建立物理模型。在拓展迁移题中，有学生提出在泳池壁安装激光笔，利用光路可逆从岸上逆着折射光定位溺水者（图3-14）；优秀学生还能指出泳池中水与空气的界面是单次偏折，大气层是连续偏折，从介质是否均匀的角度解释繁星闪烁与池水变浅的区别。</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354337"/>
            <wp:docPr id="47" name="Picture 47"/>
            <wp:cNvGraphicFramePr>
              <a:graphicFrameLocks noChangeAspect="1"/>
            </wp:cNvGraphicFramePr>
            <a:graphic>
              <a:graphicData uri="http://schemas.openxmlformats.org/drawingml/2006/picture">
                <pic:pic>
                  <pic:nvPicPr>
                    <pic:cNvPr id="0" name="jhy_hw.jpg"/>
                    <pic:cNvPicPr/>
                  </pic:nvPicPr>
                  <pic:blipFill>
                    <a:blip r:embed="rId28"/>
                    <a:stretch>
                      <a:fillRect/>
                    </a:stretch>
                  </pic:blipFill>
                  <pic:spPr>
                    <a:xfrm>
                      <a:off x="0" y="0"/>
                      <a:ext cx="5220000" cy="135433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图3-14  学生分层作业中拓展迁移部分的作答</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链由前测、课堂实录、实验报告、光路图修订、课堂智能反馈报告和分层作业构成，覆盖目标可见、思维可见、证据可见、进步可见和能力可见五个方面。学生从叉鱼失败的困惑出发，经历提出问题、分析原因、设计验证、提出假设和类比推理，最终能够在新情境中调用光路可逆模型，体现了由学习理解到迁移创新的进阶。证据同时揭示了不足。课堂智能反馈报告显示迁移应用环节用时为0秒，评价型和创造型提问的比例较低，平均举手率仅为13%，理答方式中肯定和激励各占10%。教师据此提出，后续需要在课内预留迁移时间，增加分析型和评价型问题，设置轮值发言人和匿名投票，并在小组探究中加入过程性评价，使更多学生的思维过程能够被看见。</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2.英语写作，以三级反馈推动论证思维进阶</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（1）任务分析与目标确立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以2026年上海中考英语作文为载体。题目设定的情境是，英国朋友Jim制定了每月读5本中文小说的计划，一个月后感到难以执行，来信询问自己是否足够好、是否应当放弃。学生需要回复邮件，回应这两个问题，并提出两条合理的建议及理由。任务没有唯一答案，学生需要先共情，再辩证分析Jim的计划，提出个性化建议并论证其合理性，写作过程同时涉及分析、评价和创造。李静老师在前期教学中发现，学生习惯背诵范文和套用句式，作文能写得有条理，但论证常常断裂，观点也缺乏新意。由于思维过程隐藏在成稿之后，教师很难判断问题出在观点生成、论据选择还是论证逻辑上。</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设定为由有条理到有新意的思维进阶，并在动笔前公开英语写作高阶思维分层评价量表（表3-33）。量表从内容和语言两个方面设置优秀、良好、中等和待提高四个等级，内容维度依次对应构建独特观点、提出较有新意的观点、提出基本观点和无法提出明确观点。每个等级都配有本题情境下的建议示例，学生在写作前就能看到什么样的思维才算优秀，这对应五环中的目标引领和五见中的目标可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表3-33  英语写作高阶思维分层评价量表（节选）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821"/>
        <w:gridCol w:w="2668"/>
        <w:gridCol w:w="2155"/>
        <w:gridCol w:w="1436"/>
        <w:gridCol w:w="1436"/>
      </w:tblGrid>
      <w:tr w:rsidR="000B1CCE" w14:paraId="7531D65E" w14:textId="77777777">
        <w:trPr>
          <w:tblHeader/>
          <w:jc w:val="center"/>
        </w:trPr>
        <w:tc>
          <w:tcPr>
            <w:tcW w:w="821"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维度</w:t>
            </w:r>
          </w:p>
        </w:tc>
        <w:tc>
          <w:tcPr>
            <w:tcW w:w="266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优秀</w:t>
            </w:r>
          </w:p>
        </w:tc>
        <w:tc>
          <w:tcPr>
            <w:tcW w:w="21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良好</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中等</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待提高</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内容观点</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结合写作语境构建独特观点</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提出较有新意的观点</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提出基本观点但缺乏新意</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无法提出明确观点</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语言适切性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不符合语境</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语言准确性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语法正确</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错误较少</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错误较多</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错误频发</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语言丰富性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表达新颖</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表达较流畅</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表达较生硬</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表达混乱</w:t>
            </w:r>
          </w:p>
        </w:tc>
      </w:tr>
      <w:tr w:rsidR="000B1CCE" w14:paraId="3AC77B2B" w14:textId="77777777">
        <w:trPr>
          <w:jc w:val="center"/>
        </w:trPr>
        <w:tc>
          <w:tcPr>
            <w:tcW w:w="821"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建议示例</w:t>
            </w:r>
          </w:p>
        </w:tc>
        <w:tc>
          <w:tcPr>
            <w:tcW w:w="266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每周确定一个中国文化主题，围绕同一主题听一首歌、读一篇短文、看一段视频</w:t>
            </w:r>
          </w:p>
        </w:tc>
        <w:tc>
          <w:tcPr>
            <w:tcW w:w="21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先看影视改编再读原著，借助已知情节猜测生词</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把每月5本减少为1至3本短篇</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熬夜硬读，或惩罚自己完成阅读</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依据三层五环框架，本课把五环学习过程与学习理解、应用实践、迁移创新三个能力层级对应起来，每一环节同时呈现教师的调节行为与学生的学习行为，课堂活动与理论框架的对应关系见图3-15。</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5" name="Picture 75"/>
            <wp:cNvGraphicFramePr>
              <a:graphicFrameLocks noChangeAspect="1"/>
            </wp:cNvGraphicFramePr>
            <a:graphic>
              <a:graphicData uri="http://schemas.openxmlformats.org/drawingml/2006/picture">
                <pic:pic>
                  <pic:nvPicPr>
                    <pic:cNvPr id="0" name="flow_lj_k.png"/>
                    <pic:cNvPicPr/>
                  </pic:nvPicPr>
                  <pic:blipFill>
                    <a:blip r:embed="rId57"/>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图3-15  英语写作五环学习与教师调节流程图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（2）过程性作品与三级反馈</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改变一稿定分的做法，系统收集学生的草稿、一稿、二稿、三稿和终稿，建立思维过程档案。以一名学生的草稿为例，其核心观点是不应放弃，并给出两条建议，一是把大任务分解为小目标，二是用新计划替代旧计划。教师从草稿中看到，第二条建议与第一条实质重复，只是表达方式不同，两条建议也都缺少说明其合理性的理由。教师在草稿上标注两个论证属于同一维度，并提示该生的核心观点缺少论证（图3-16）。这一诊断对应教学模型中的诊断发现，教师依据过程作品定位学生论证链断裂的具体位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914425"/>
            <wp:docPr id="48" name="Picture 48"/>
            <wp:cNvGraphicFramePr>
              <a:graphicFrameLocks noChangeAspect="1"/>
            </wp:cNvGraphicFramePr>
            <a:graphic>
              <a:graphicData uri="http://schemas.openxmlformats.org/drawingml/2006/picture">
                <pic:pic>
                  <pic:nvPicPr>
                    <pic:cNvPr id="0" name="lj_draft.jpg"/>
                    <pic:cNvPicPr/>
                  </pic:nvPicPr>
                  <pic:blipFill>
                    <a:blip r:embed="rId29"/>
                    <a:stretch>
                      <a:fillRect/>
                    </a:stretch>
                  </pic:blipFill>
                  <pic:spPr>
                    <a:xfrm>
                      <a:off x="0" y="0"/>
                      <a:ext cx="5220000" cy="1914425"/>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图3-16  学生写作草稿（左）与一稿（右）中的教师批注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教师实施教师、同伴和自我三级反馈。第一级为教师反馈，聚焦一稿，批注与评价量表的维度直接对应，重点提示补充支持论点的依据、从具体做法中提炼上位原则、找出论证链中断的位置。该生一稿中的第二条建议较有新意，但只有具体做法而缺少概括性的建议，教师据此提示其补全论证。第二级为同伴互评，聚焦二稿。同伴依据结构化互评量表逐项判断对方的核心观点是否明确、论据是否充分、是否以建议加理由的结构展开论证、语言是否正确、表达是否连贯，并以勾画和标注呈现对方的思维结构（图3-17）。审视他人论证的过程，也促使互评双方反思自己的论证策略。第三级为自我评估，聚焦三稿。学生对照分层量表判断自己所处的层级，书面写下存在的问题和改进办法，学习者由被动接受反馈转向主动优化自己的思维。</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680000" cy="1750129"/>
            <wp:docPr id="49" name="Picture 49"/>
            <wp:cNvGraphicFramePr>
              <a:graphicFrameLocks noChangeAspect="1"/>
            </wp:cNvGraphicFramePr>
            <a:graphic>
              <a:graphicData uri="http://schemas.openxmlformats.org/drawingml/2006/picture">
                <pic:pic>
                  <pic:nvPicPr>
                    <pic:cNvPr id="0" name="lj_peer.jpg"/>
                    <pic:cNvPicPr/>
                  </pic:nvPicPr>
                  <pic:blipFill>
                    <a:blip r:embed="rId30"/>
                    <a:stretch>
                      <a:fillRect/>
                    </a:stretch>
                  </pic:blipFill>
                  <pic:spPr>
                    <a:xfrm>
                      <a:off x="0" y="0"/>
                      <a:ext cx="4680000" cy="175012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图3-17  英语写作同伴互评量表</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（3）思维进阶的证据与反思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对比一稿、二稿、三稿和终稿的变化可以看到，绝大多数学生能够构建观点、论据和理由完整的论证链；在批判性思维方面，学生能够辩证回应Jim是否应当放弃计划这一开放问题，立场有据；在创造性思维方面，部分学生跳出常规思路，结合对文化理解、学习方法或自我管理的认识，提出情境化、可操作并具有个人意义的建议。终稿完成后，学生再次自评，判断自己是否实现了进阶，并思考这种思维能力还可以迁移到哪些题型（图3-18）。</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520881"/>
            <wp:docPr id="50" name="Picture 50"/>
            <wp:cNvGraphicFramePr>
              <a:graphicFrameLocks noChangeAspect="1"/>
            </wp:cNvGraphicFramePr>
            <a:graphic>
              <a:graphicData uri="http://schemas.openxmlformats.org/drawingml/2006/picture">
                <pic:pic>
                  <pic:nvPicPr>
                    <pic:cNvPr id="0" name="lj_self.jpg"/>
                    <pic:cNvPicPr/>
                  </pic:nvPicPr>
                  <pic:blipFill>
                    <a:blip r:embed="rId31"/>
                    <a:stretch>
                      <a:fillRect/>
                    </a:stretch>
                  </pic:blipFill>
                  <pic:spPr>
                    <a:xfrm>
                      <a:off x="0" y="0"/>
                      <a:ext cx="5220000" cy="152088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图3-18  学生自我评估清单（左）与终稿（右）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评价标准前置对应目标引领与目标可见，过程作品档案对应探究展学与思维可见，三级反馈对应反馈迭代与进步可见，终稿自评与迁移思考对应反思迁移与能力可见；教师则在草稿诊断、批注干预、组织互评和评估终稿中完成四步调节。本案例的不足在于，进阶描述主要来自教师对作品的整体判断，尚缺少按量表等级统计的全班分布，后续需要系统记录各稿次的等级变化。</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3.语文状物写作，借AI图像让描写思维可见</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状物描写是初中写作的常见难点。王尤迪老师通过前测草稿发现，学生的问题集中在四个方面，一是描写笼统，难以用文字构建具体画面；二是物与事、情割裂，只能静态描摹外形；三是回避物件的磨损痕迹，认识较为片面；四是缺少取舍意识，容易堆砌与主旨无关的细节。与此同时，学生还表现出固守个人视角、抵触修改草稿、照搬AI生成内容等社会情感方面的困难。教师据此把本课定位为真实情境的任务性实践，同时兼具证据支撑的论证性实践和综合迁移的创新性实践特征，能力重点为分析、评价、创造以及合作共情和责任担当，情绪调节和包容创新作为伴随维度加以观察。基础目标是理解准确、生动、真实、取舍四项状物原则，完成物件描写由1.0到2.0的迭代；高阶目标是建立物件、故事与情感之间的联系，完成多稿迭代和自选物件的迁移写作，并借助互评量表开展同伴评价。</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依据三层五环框架，本课把五环学习过程与学习理解、应用实践、迁移创新三个能力层级对应起来，每一环节同时呈现教师的调节行为与学生的学习行为，课堂活动与理论框架的对应关系见图3-19。</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6" name="Picture 76"/>
            <wp:cNvGraphicFramePr>
              <a:graphicFrameLocks noChangeAspect="1"/>
            </wp:cNvGraphicFramePr>
            <a:graphic>
              <a:graphicData uri="http://schemas.openxmlformats.org/drawingml/2006/picture">
                <pic:pic>
                  <pic:nvPicPr>
                    <pic:cNvPr id="0" name="flow_wyd_k.png"/>
                    <pic:cNvPicPr/>
                  </pic:nvPicPr>
                  <pic:blipFill>
                    <a:blip r:embed="rId58"/>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图3-19  状物写作五环学习与教师调节流程图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环节，学生阅读本课目标后先写下对凳子的最初描述，多数学生只写了凳子这一名词，教师保留这份草稿作为前测证据。任务驱动环节，教师出示一只蓝色塑料高脚方凳，组织三轮AI图像生成（图3-20）。第一轮，教师把学生的回答输入豆包，生成的是一只木面铁脚的吧台凳，与实物明显不符。教师追问，同样一个词，AI画出的和眼前的实物为什么不一样，我们缺少了哪些信息。学生补充蓝色、方形、塑料等颜色、形状和材质信息，第二轮生成的是一只蓝色矮圆凳，仍有偏差。有学生注意到实物是高脚凳，补充后第三轮生成的图像与实物基本一致。学生由此自主得出，描写物件要具体到颜色、材质、形状、光泽和高矮等方面，作品也由1.0版本的一个凳子，发展为2.0版本的一个蓝色塑料高脚凳。AI图像在这里充当即时反馈证据，把描写准确这一抽象要求转化为看得见的图文差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165699"/>
            <wp:docPr id="51" name="Picture 51"/>
            <wp:cNvGraphicFramePr>
              <a:graphicFrameLocks noChangeAspect="1"/>
            </wp:cNvGraphicFramePr>
            <a:graphic>
              <a:graphicData uri="http://schemas.openxmlformats.org/drawingml/2006/picture">
                <pic:pic>
                  <pic:nvPicPr>
                    <pic:cNvPr id="0" name="wyd_ai.jpg"/>
                    <pic:cNvPicPr/>
                  </pic:nvPicPr>
                  <pic:blipFill>
                    <a:blip r:embed="rId32"/>
                    <a:stretch>
                      <a:fillRect/>
                    </a:stretch>
                  </pic:blipFill>
                  <pic:spPr>
                    <a:xfrm>
                      <a:off x="0" y="0"/>
                      <a:ext cx="5220000" cy="116569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图3-20  实物凳子（左一）与三轮AI生成图像（左二至右一）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随后，教师围绕同一只凳子继续追问。凳子适用于哪些场景，学生联系教师听课、面批作业和运动会观赛等校园经验，归纳出凳子轻便、成本低等特点，认识到物件的价值体现在被人使用的过程中，由此提炼出生动原则。家里的凳子和商店里的凳子有何区别，学生认为家里的凳子有使用痕迹，更有生活气息，主张把这些不完美写进作文，由此形成真实原则。另一名学生随即反驳，认为并非所有缺点都要写，应挑选与主旨相关、具有特殊意义的痕迹，否则就是赘笔，取舍原则由此形成。四项原则都在学生依托证据的对话中生成，教师的作用是持续追问，并把学生的观点联结为可迁移的写作思维模型，即物件本体、客观特征、场景故事、岁月痕迹和主旨取舍。</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教师出示由凳子到老藤椅的1.0至4.0示范文本，逐版拆解每一轮新增的细节、场景和情感，并巡视学生草稿，依据涂改痕迹开展个别对话。对只会写外形的学生，教师提示这件物件发生过一件什么小事；对堆砌细节的学生，教师提示哪些细节最能表达想讲的情感。学生作品显示，一名学生以藤椅为对象，2.0版本写出棕色的靠背、金色的椅脚和弯曲的椅背，3.0版本补充椅背上的镂空让夏天坐着很凉快，4.0版本写到小时候喜欢把藤椅搬到床上，家人觉得多此一举，自己却从中获得安全和舒适的感觉（图3-21）。版本链使写作由描摹外形逐步走向书写个人记忆。</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3718552"/>
            <wp:docPr id="52" name="Picture 52"/>
            <wp:cNvGraphicFramePr>
              <a:graphicFrameLocks noChangeAspect="1"/>
            </wp:cNvGraphicFramePr>
            <a:graphic>
              <a:graphicData uri="http://schemas.openxmlformats.org/drawingml/2006/picture">
                <pic:pic>
                  <pic:nvPicPr>
                    <pic:cNvPr id="0" name="wyd_versions.jpg"/>
                    <pic:cNvPicPr/>
                  </pic:nvPicPr>
                  <pic:blipFill>
                    <a:blip r:embed="rId33"/>
                    <a:stretch>
                      <a:fillRect/>
                    </a:stretch>
                  </pic:blipFill>
                  <pic:spPr>
                    <a:xfrm>
                      <a:off x="0" y="0"/>
                      <a:ext cx="3060000" cy="3718552"/>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图3-21  学生藤椅描写的2.0至4.0版本</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按典型问题给出诊断性反馈并布置分层任务（表3-34）。学生接收反馈后亲笔写下修改点与修改原因，形成完整的版本链证据。反思迁移环节，教师布置同构异境的迁移任务，学生脱离范例凳子，自选毛衣、瓷碗、旧木椅等生活物件，沿用1.0至4.0的路径完成新习作，再把习作与AI生成的场景图结合，开展画廊漫步式展学，并使用互评表评价同伴作品（图3-22、图3-23）。迁移任务通过更换写作对象，检验学生能否复用写作思维方法。展学作品被分为童年童趣、私人生活、借物升华和个性创意四类，前两类多达到3.0水平，借物升华类达到4.0水平，个性创意类则体现了选材的新颖与多元。</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表3-34  状物写作的典型问题、诊断反馈与分层迭代任务</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877"/>
        <w:gridCol w:w="3609"/>
        <w:gridCol w:w="3032"/>
      </w:tblGrid>
      <w:tr w:rsidR="000B1CCE" w14:paraId="7531D65E" w14:textId="77777777">
        <w:trPr>
          <w:tblHeader/>
          <w:jc w:val="center"/>
        </w:trPr>
        <w:tc>
          <w:tcPr>
            <w:tcW w:w="1877"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36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基于证据的诊断反馈</w:t>
            </w:r>
          </w:p>
        </w:tc>
        <w:tc>
          <w:tcPr>
            <w:tcW w:w="3032"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分层迭代任务</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描写笼统，缺少外形细节</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对照实物，补充颜色、材质等信息，让读者能看见它</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基础层，由1.0升级为2.0，补齐客观特征</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只有外形，没有人与故事</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想一想这件物件陪伴你的哪个生活片段，把小故事加进去</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进阶层，增加生活场景，迭代至3.0</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只写崭新美好，回避磨损痕迹</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划痕和磨损也是时光留下的证据，尝试写一处</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进阶层，补充一处使用痕迹并写出感受</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细节堆砌，脱离主旨</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对照想表达的情感，保留相关细节，删去无关内容</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高阶层，以主旨为标尺筛选细节</w:t>
            </w:r>
          </w:p>
        </w:tc>
      </w:tr>
      <w:tr w:rsidR="000B1CCE" w14:paraId="3AC77B2B" w14:textId="77777777">
        <w:trPr>
          <w:jc w:val="center"/>
        </w:trPr>
        <w:tc>
          <w:tcPr>
            <w:tcW w:w="1877"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有故事但缺少情感落点</w:t>
            </w:r>
          </w:p>
        </w:tc>
        <w:tc>
          <w:tcPr>
            <w:tcW w:w="36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这件物件带给你怎样的触动，把感受收束在结尾</w:t>
            </w:r>
          </w:p>
        </w:tc>
        <w:tc>
          <w:tcPr>
            <w:tcW w:w="3032"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高阶层，完成4.0主旨升华</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4273018"/>
            <wp:docPr id="53" name="Picture 53"/>
            <wp:cNvGraphicFramePr>
              <a:graphicFrameLocks noChangeAspect="1"/>
            </wp:cNvGraphicFramePr>
            <a:graphic>
              <a:graphicData uri="http://schemas.openxmlformats.org/drawingml/2006/picture">
                <pic:pic>
                  <pic:nvPicPr>
                    <pic:cNvPr id="0" name="wyd_transfer.jpg"/>
                    <pic:cNvPicPr/>
                  </pic:nvPicPr>
                  <pic:blipFill>
                    <a:blip r:embed="rId34"/>
                    <a:stretch>
                      <a:fillRect/>
                    </a:stretch>
                  </pic:blipFill>
                  <pic:spPr>
                    <a:xfrm>
                      <a:off x="0" y="0"/>
                      <a:ext cx="3060000" cy="4273018"/>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图3-22  学生迁移习作与AI生成的场景图</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795724"/>
            <wp:docPr id="54" name="Picture 54"/>
            <wp:cNvGraphicFramePr>
              <a:graphicFrameLocks noChangeAspect="1"/>
            </wp:cNvGraphicFramePr>
            <a:graphic>
              <a:graphicData uri="http://schemas.openxmlformats.org/drawingml/2006/picture">
                <pic:pic>
                  <pic:nvPicPr>
                    <pic:cNvPr id="0" name="wyd_gallery.jpg"/>
                    <pic:cNvPicPr/>
                  </pic:nvPicPr>
                  <pic:blipFill>
                    <a:blip r:embed="rId35"/>
                    <a:stretch>
                      <a:fillRect/>
                    </a:stretch>
                  </pic:blipFill>
                  <pic:spPr>
                    <a:xfrm>
                      <a:off x="0" y="0"/>
                      <a:ext cx="5040000" cy="1795724"/>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图3-23  画廊漫步式展学</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案例按照前测、过程和后测的纵向证据，起点、过程、变化和迁移的横向证据，以及自评、互评和师评的多元互证组织材料。依据评价量表对86名学生初稿1.0和终稿4.0的水平评定显示，处于初始水平的学生由37.2%降至12.8%，入门水平由33.7%降至24.4%，进阶水平由20.9%升至41.9%，高阶水平由8.1%升至20.9%（表3-35）。一名学生在反思中写道，初稿只写了旧物件的样子，物件和自己的故事是分开的，第二次修改时加上了当年和外婆一起留下的划痕，改完才意识到写物件其实是写藏在物件身上的时光。这段反思与其草稿批注、自评量表和教师观察相互印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表3-35  状物写作初稿与终稿的水平分布（n＝86）</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548"/>
        <w:gridCol w:w="1548"/>
        <w:gridCol w:w="1936"/>
        <w:gridCol w:w="1548"/>
        <w:gridCol w:w="1936"/>
      </w:tblGrid>
      <w:tr w:rsidR="000B1CCE" w14:paraId="7531D65E" w14:textId="77777777">
        <w:trPr>
          <w:tblHeader/>
          <w:jc w:val="center"/>
        </w:trPr>
        <w:tc>
          <w:tcPr>
            <w:tcW w:w="154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水平</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初稿1.0比例（%）</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终稿4.0比例（%）</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初始水平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32</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37.2</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12.8</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入门水平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29</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33.7</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24.4</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进阶水平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36</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41.9</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7</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8.1</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r>
      <w:tr w:rsidR="000B1CCE" w14:paraId="3AC77B2B" w14:textId="77777777">
        <w:trPr>
          <w:jc w:val="center"/>
        </w:trPr>
        <w:tc>
          <w:tcPr>
            <w:tcW w:w="154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合计</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三轮AI图像生成与追问体现了任务驱动中的诊断发现和干预设计，版本链和草稿批注使思维可见和进步可见，迁移习作与画廊展学使能力可见。教师反思认为，AI图像降低了思辨的门槛，版本链使迭代真实发生，但仍需为每名学生完整留存1.0至4.0的全部草稿，补充小组思辨的观察量规以完善社会情感证据，并进一步提供辨别AI内容的支架，引导学生区分AI生成图像与自身真实的生活记忆。</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4.语文《秋天的怀念》，在协同探究中理解生命的意义</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为统编版七年级上册《秋天的怀念》第二课时。在第一课时梳理情节、初步感知母爱的基础上，董丹老师聚焦三次看花情节、菊花意象和好好儿活的主旨，把语言品味、文本解读、生命感悟与社会情感培育结合起来。教师依据学科高阶学习的三层五环框架设计本课，把五环学习过程与学习理解、应用实践、迁移创新三层能力表征贯通。课堂以协同探究的建构性实践为主样态，学生围绕文本细节、人物心理和意象内涵开展观点碰撞，在对话、追问和互评中共同建构对母爱、苦难与生命的理解；所有观点都要求锚定文本语句，体现证据支撑的论证性实践特征；最后撤去部分支架，引导学生面对自身的生命困境，体现综合迁移的创新性实践特征。</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目标分为基础与高阶两级。基础目标要求学生梳理三次看花情节，找出悄悄、扑、抓、挡等关键细节并说出背后母亲的心理，同时在小组研讨中尊重同伴的不同阅读感受。高阶目标要求学生比较三次看花中我的心理变化，阐释菊花和秋天的多重象征；在面对苦难话题和同伴不同感悟时克制主观情绪、换位共情；并结合自身生活体验解读好好儿活的多层内涵，完成生命感悟类创作。每项目标都配有可观察的评价依据，例如学案中能记录至少一位同学不同的阅读感受，小组汇报能结合文本语句讲清人物心理转变的逻辑。</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依据三层五环框架，本课把五环学习过程与学习理解、应用实践、迁移创新三个能力层级对应起来，每一环节同时呈现教师的调节行为与学生的学习行为，课堂活动与理论框架的对应关系见图3-24。</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7" name="Picture 77"/>
            <wp:cNvGraphicFramePr>
              <a:graphicFrameLocks noChangeAspect="1"/>
            </wp:cNvGraphicFramePr>
            <a:graphic>
              <a:graphicData uri="http://schemas.openxmlformats.org/drawingml/2006/picture">
                <pic:pic>
                  <pic:nvPicPr>
                    <pic:cNvPr id="0" name="flow_dd_k.png"/>
                    <pic:cNvPicPr/>
                  </pic:nvPicPr>
                  <pic:blipFill>
                    <a:blip r:embed="rId59"/>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图3-24  《秋天的怀念》五环学习与教师调节流程图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教师创设生命感悟观察员的课堂情境，设计基础与高阶两级任务。基础任务要求学生独立完成情节与细节表格，教师以三处悄悄地分别对应母亲什么心境、扑和抓能否替换为别的词语等问题作为思维支架。高阶任务要求学生探究三次看花中我的态度转变、结尾菊花描写的作用和秋天的含义，并撰写好好儿活当代启示短笺。问题链由母亲为什么执着于带我看菊花，到母亲口中的好好儿活与我后来领悟的是否相同，再到现实生活中怎样才算好好儿活，逐级提高开放程度。社会情感培育点同步嵌入任务之中，包括触及苦难话题时调节悲伤或急躁的情绪、接纳同伴不同的生命体验、主动分担小组任务等。</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探究展学环节，学生先在平台展示学案表格，再以小组思维导图汇报和短笺成果答辩的形式呈现观点差异、对话碰撞和集体理解逐步形成的过程。评价标准兼顾文本依据、分析逻辑、主题契合和个性化创意。教师重点观察学生能否读懂母子双重的苦难，成果是简单贴标签还是真正共情人物，探讨苦难话题时能否自我调适，以及面对不同人生感悟时是否愿意理解他人立场。社会情感观察记录表从责任担当、情绪调节、合作共情和包容创新四个维度记录学生的典型行为，例如复述同伴观点后再发表意见、观点冲突时平复情绪理性发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针对理解片面、逻辑不清、迁移空洞、情绪偏激、共情不足和回避思考六类典型问题设计反馈与分层迭代任务（表3-36）。学生使用短笺作品迭代版本记录单记录初稿、二稿和终稿的修改理由与新启示（图3-25），并在答辩中回应同伴和教师的提问（图3-26）。答辩记录显示，一名学生的核心观点是，好好儿活意味着接纳挫折与难过，珍惜身边的亲人，平凡认真地过好每一天。同伴提出三个问题，母亲和史铁生理解的好好儿活是否一样，如果生活没有大苦难，普通人怎样好好活，菊花和好好儿活有什么关系。学生回应，母亲希望儿子战胜绝望活下去，史铁生则是读懂了苦难；苦难并不只来自重大打击，学习失利、和朋友吵架也是；秋风中各色菊花泼泼洒洒地开放，象征历经磨难而绽放的生命。学生采纳了同伴意见，在终稿中补充了母子二人对好好儿活的不同理解，并把菊花意象融入对主旨的理解。答辩使同伴反馈直接转化为作品修改，协同建构的过程由此留下证据。</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表3-36  《秋天的怀念》典型问题、反馈与迭代任务（节选）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2068"/>
        <w:gridCol w:w="973"/>
        <w:gridCol w:w="2920"/>
        <w:gridCol w:w="2555"/>
      </w:tblGrid>
      <w:tr w:rsidR="000B1CCE" w14:paraId="7531D65E" w14:textId="77777777">
        <w:trPr>
          <w:tblHeader/>
          <w:jc w:val="center"/>
        </w:trPr>
        <w:tc>
          <w:tcPr>
            <w:tcW w:w="206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97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对应维度</w:t>
            </w:r>
          </w:p>
        </w:tc>
        <w:tc>
          <w:tcPr>
            <w:tcW w:w="2920"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反馈要点</w:t>
            </w:r>
          </w:p>
        </w:tc>
        <w:tc>
          <w:tcPr>
            <w:tcW w:w="25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迭代任务</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left"/>
              <w:rPr>
                <w:rFonts w:ascii="宋体" w:eastAsia="宋体" w:hAnsi="宋体" w:cs="宋体"/>
                <w:bCs/>
                <w:szCs w:val="18"/>
              </w:rPr>
            </w:pPr>
            <w:r>
              <w:rPr>
                <w:rStyle w:val="a7"/>
                <w:rFonts w:ascii="Times New Roman" w:eastAsia="宋体" w:hAnsi="Times New Roman" w:cs="Times New Roman"/>
                <w:b w:val="0"/>
                <w:bCs/>
                <w:kern w:val="0"/>
                <w:szCs w:val="21"/>
                <w:lang w:bidi="ar"/>
              </w:rPr>
              <w:t>只看到母爱伟大，忽略母亲自身的病痛</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提示母亲承受双重煎熬，回到文中寻找暗示病痛的语句</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圈画相关语句并写下两三句批注</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认为菊花只代表母爱</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追问不同花色对应怎样的生命状态</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完善菊花、秋天与好好儿活三者关联的思维导图</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启示只喊口号，缺少个人思考</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追问普通人怎样好好活，尝试写一件小事</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修改短笺，补充一处真实生活情境</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认为我过于暴躁，难以共情</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情绪调节</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引导代入人物处境，体会瘫痪后的绝望</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以事实描述加情绪标注写下我暴怒时的内心独白</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直接否定同伴的阅读感受</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合作共情</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先复述同伴的核心观点，再谈不同理解</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写下同伴观点中认可的部分，再提出不同思考</w:t>
            </w:r>
          </w:p>
        </w:tc>
      </w:tr>
      <w:tr w:rsidR="000B1CCE" w14:paraId="3AC77B2B" w14:textId="77777777">
        <w:trPr>
          <w:jc w:val="center"/>
        </w:trPr>
        <w:tc>
          <w:tcPr>
            <w:tcW w:w="206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回避深度思考，等待现成答案</w:t>
            </w:r>
          </w:p>
        </w:tc>
        <w:tc>
          <w:tcPr>
            <w:tcW w:w="97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责任担当</w:t>
            </w:r>
          </w:p>
        </w:tc>
        <w:tc>
          <w:tcPr>
            <w:tcW w:w="2920"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鼓励从细节出发说出真实感受</w:t>
            </w:r>
          </w:p>
        </w:tc>
        <w:tc>
          <w:tcPr>
            <w:tcW w:w="25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填写反思单，记录卡点、已有尝试和改进设想</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9600" cy="4320000"/>
            <wp:docPr id="55" name="Picture 55"/>
            <wp:cNvGraphicFramePr>
              <a:graphicFrameLocks noChangeAspect="1"/>
            </wp:cNvGraphicFramePr>
            <a:graphic>
              <a:graphicData uri="http://schemas.openxmlformats.org/drawingml/2006/picture">
                <pic:pic>
                  <pic:nvPicPr>
                    <pic:cNvPr id="0" name="dd_iter.jpg"/>
                    <pic:cNvPicPr/>
                  </pic:nvPicPr>
                  <pic:blipFill>
                    <a:blip r:embed="rId36"/>
                    <a:stretch>
                      <a:fillRect/>
                    </a:stretch>
                  </pic:blipFill>
                  <pic:spPr>
                    <a:xfrm>
                      <a:off x="0" y="0"/>
                      <a:ext cx="3069600" cy="4320000"/>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图3-25  学生好好儿活当代启示短笺的迭代版本记录单</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460909"/>
            <wp:docPr id="56" name="Picture 56"/>
            <wp:cNvGraphicFramePr>
              <a:graphicFrameLocks noChangeAspect="1"/>
            </wp:cNvGraphicFramePr>
            <a:graphic>
              <a:graphicData uri="http://schemas.openxmlformats.org/drawingml/2006/picture">
                <pic:pic>
                  <pic:nvPicPr>
                    <pic:cNvPr id="0" name="dd_defense.jpg"/>
                    <pic:cNvPicPr/>
                  </pic:nvPicPr>
                  <pic:blipFill>
                    <a:blip r:embed="rId37"/>
                    <a:stretch>
                      <a:fillRect/>
                    </a:stretch>
                  </pic:blipFill>
                  <pic:spPr>
                    <a:xfrm>
                      <a:off x="0" y="0"/>
                      <a:ext cx="4860000" cy="346090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图3-26  学生短笺成果答辩记录表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思迁移环节，教师引导学生提炼抓细节、品意象、悟主旨的散文阅读三步法，以及觉察情绪、换位共情、责任转化的社会情感三步法，再提供本课未学过的散文开展零支架迁移阅读（图3-27）。一名学生选择《合欢树》，摘抄母亲到处打听偏方为我治病等细节，判断合欢树象征母爱，读出全文借合欢树怀念逝去的母亲；在新旧联系中，学生认为两文的共通点是儿子遭遇人生苦难而母亲默默付出，不同之处在于《秋天的怀念》以菊花寄托母亲的心愿，《合欢树》以树的成长对应我的成长。在方法自评中，学生认为三步法中第一步用得最顺，第二步容易卡住，计划下次先弄清情节发展，再寻找意象并挖掘其背后的情感和象征意义。这份记录说明，学生已能把本课形成的阅读方法独立用于新文本，并对自身的方法运用作出反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533143"/>
            <wp:docPr id="57" name="Picture 57"/>
            <wp:cNvGraphicFramePr>
              <a:graphicFrameLocks noChangeAspect="1"/>
            </wp:cNvGraphicFramePr>
            <a:graphic>
              <a:graphicData uri="http://schemas.openxmlformats.org/drawingml/2006/picture">
                <pic:pic>
                  <pic:nvPicPr>
                    <pic:cNvPr id="0" name="dd_transfer.jpg"/>
                    <pic:cNvPicPr/>
                  </pic:nvPicPr>
                  <pic:blipFill>
                    <a:blip r:embed="rId38"/>
                    <a:stretch>
                      <a:fillRect/>
                    </a:stretch>
                  </pic:blipFill>
                  <pic:spPr>
                    <a:xfrm>
                      <a:off x="0" y="0"/>
                      <a:ext cx="4860000" cy="3533143"/>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图3-27  学生跨文本迁移阅读记录卡</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由学案中的细节解读、思维导图、短笺三稿、答辩记录、社会情感观察记录和跨文本迁移阅读记录卡构成。三稿与答辩记录使进步可见，迁移记录卡在撤去支架后检验方法能否独立运用，使能力可见；社会情感观察表和课后访谈则为情绪调节、合作共情等维度提供过程证据。学生的生命感悟始终建立在小组品读、文本论证和反馈修正之上，协同探究因而具有明确的证据基础。后续仍需对全班短笺的迭代质量和迁移记录卡的完成情况作系统统计，以判断这一设计对不同学生的作用。</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5.四个案例的比较与启示</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四个案例的学科、任务和样态各不相同，但在模型运行上呈现出共同特点（表3-37）。第一，成功标准前置是高阶学习的起点。四位教师都在学习开始前公开分层目标或评价量表，学生因此能够在学习过程中对照标准判断自己的位置。第二，认知冲突与过程作品使思维外显。叉鱼失败、AI图像与实物不符等冲突暴露了学生的前概念，草稿、版本链、光路图和短笺等过程作品则把思维过程固定为可以讨论和修改的对象。第三，多级反馈形成迭代闭环。教师批注、同伴互评、答辩追问和自我评估在四个案例中以不同组合出现，学生的修改理由和修订版本成为进步可见的直接证据。第四，迁移任务通过更换学习对象检验方法的掌握。救生员定位、自选物件写作和零支架散文阅读等任务都改变了学习情境，用来判断学生能否独立运用课堂中形成的思维方法。</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表3-37  四个案例中五环与五见的落实方式</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120"/>
        <w:gridCol w:w="2129"/>
        <w:gridCol w:w="1457"/>
        <w:gridCol w:w="2017"/>
        <w:gridCol w:w="1793"/>
      </w:tblGrid>
      <w:tr w:rsidR="000B1CCE" w14:paraId="7531D65E" w14:textId="77777777">
        <w:trPr>
          <w:tblHeader/>
          <w:jc w:val="center"/>
        </w:trPr>
        <w:tc>
          <w:tcPr>
            <w:tcW w:w="1120"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五环（五见）</w:t>
            </w:r>
          </w:p>
        </w:tc>
        <w:tc>
          <w:tcPr>
            <w:tcW w:w="212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物理《光的折射》</w:t>
            </w:r>
          </w:p>
        </w:tc>
        <w:tc>
          <w:tcPr>
            <w:tcW w:w="145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英语写作</w:t>
            </w:r>
          </w:p>
        </w:tc>
        <w:tc>
          <w:tcPr>
            <w:tcW w:w="201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语文状物写作</w:t>
            </w:r>
          </w:p>
        </w:tc>
        <w:tc>
          <w:tcPr>
            <w:tcW w:w="179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语文《秋天的怀念》</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目标引领（目标可见）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前测诊断，基础与高阶两级目标及评价依据</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四级评价量表与情境示例前置</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记录初始描述，明确四项原则与版本层级</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基础与高阶两级目标及可观测依据</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叉鱼失败与木条折断引发认知冲突</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回复Jim邮件的开放任务</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三轮AI图像生成与实物对比</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生命感悟观察员情境与递进问题链</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探究展学（思维可见）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实体实验与PhET仿真，光路图投屏答辩</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草稿至终稿的思维过程档案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示范文本拆解与草稿对话</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学案展示、思维导图汇报与短笺答辩</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反馈迭代（进步可见）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同伴互评纠错，分层作业批注</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教师、同伴、自我三级反馈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典型问题诊断与分层迭代任务</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六类典型问题反馈，短笺三稿迭代</w:t>
            </w:r>
          </w:p>
        </w:tc>
      </w:tr>
      <w:tr w:rsidR="000B1CCE" w14:paraId="3AC77B2B" w14:textId="77777777">
        <w:trPr>
          <w:jc w:val="center"/>
        </w:trPr>
        <w:tc>
          <w:tcPr>
            <w:tcW w:w="1120"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反思迁移（能力可见）</w:t>
            </w:r>
          </w:p>
        </w:tc>
        <w:tc>
          <w:tcPr>
            <w:tcW w:w="212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救生员定位、繁星闪烁等新情境</w:t>
            </w:r>
          </w:p>
        </w:tc>
        <w:tc>
          <w:tcPr>
            <w:tcW w:w="145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终稿自评与题型迁移思考</w:t>
            </w:r>
          </w:p>
        </w:tc>
        <w:tc>
          <w:tcPr>
            <w:tcW w:w="201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自选物件迁移写作与画廊展学</w:t>
            </w:r>
          </w:p>
        </w:tc>
        <w:tc>
          <w:tcPr>
            <w:tcW w:w="179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零支架跨文本迁移阅读</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案例也暴露了共同的不足。社会情感能力的证据多来自教师观察和学生反思，结构化的过程记录仍然不足；多数案例对学生进步的描述以典型个案为主，按量表等级统计的全班分布较为有限，仅状物写作案例报告了初稿与终稿的水平分布。这些问题为模型的进一步迭代提供了方向，也与下文评价体系的建设直接相关。</w:t>
      </w:r>
    </w:p>
    <w:p w14:paraId="2161951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基于实践证据的模型迭代</w:t>
      </w:r>
    </w:p>
    <w:p w14:paraId="37A148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415AE8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579EDD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0496A9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22EDFA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1EA5A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543E85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创造、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DA0E0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版保持分析、评价、创造三个高阶思维维度不变，同时进一步强调创造在新情境中的迁移运用。迁移不另设能力维度，它作为创造的重要表现，体现在反思迁移环节和评价指标之中；学生问卷创造维度中的知识迁移等题项也对应这一要求，测评框架与模型因此保持一致。</w:t>
      </w:r>
    </w:p>
    <w:p w14:paraId="1FD130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3747C350" w14:textId="77777777" w:rsidR="00CD5D2E" w:rsidRDefault="00000000">
      <w:pPr>
        <w:keepNext/>
        <w:spacing w:before="120"/>
        <w:jc w:val="center"/>
      </w:pPr>
      <w:r>
        <w:drawing>
          <wp:inline xmlns:a="http://schemas.openxmlformats.org/drawingml/2006/main" xmlns:pic="http://schemas.openxmlformats.org/drawingml/2006/picture">
            <wp:extent cx="5400000" cy="6707368"/>
            <wp:docPr id="73" name="Picture 73"/>
            <wp:cNvGraphicFramePr>
              <a:graphicFrameLocks noChangeAspect="1"/>
            </wp:cNvGraphicFramePr>
            <a:graphic>
              <a:graphicData uri="http://schemas.openxmlformats.org/drawingml/2006/picture">
                <pic:pic>
                  <pic:nvPicPr>
                    <pic:cNvPr id="0" name="model_20_k.png"/>
                    <pic:cNvPicPr/>
                  </pic:nvPicPr>
                  <pic:blipFill>
                    <a:blip r:embed="rId55"/>
                    <a:stretch>
                      <a:fillRect/>
                    </a:stretch>
                  </pic:blipFill>
                  <pic:spPr>
                    <a:xfrm>
                      <a:off x="0" y="0"/>
                      <a:ext cx="5400000" cy="6707368"/>
                    </a:xfrm>
                    <a:prstGeom prst="rect"/>
                  </pic:spPr>
                </pic:pic>
              </a:graphicData>
            </a:graphic>
          </wp:inline>
        </w:drawing>
      </w:r>
    </w:p>
    <w:p w14:paraId="571CA92E" w14:textId="77777777" w:rsidR="000B1CCE" w:rsidRDefault="00000000">
      <w:pPr>
        <w:spacing w:before="60" w:after="180"/>
        <w:jc w:val="center"/>
      </w:pPr>
      <w:r>
        <w:rPr>
          <w:rFonts w:ascii="Times New Roman" w:eastAsia="黑体" w:hAnsi="Times New Roman" w:cs="Times New Roman"/>
        </w:rPr>
        <w:t>图3-28  可见的学习视域下中学生高阶能力培育模型（2.0版）</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p w14:paraId="019330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06C193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4B365C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F8144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D2F5C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3D0D58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w:t>
      </w:r>
      <w:r>
        <w:rPr>
          <w:rFonts w:ascii="Times New Roman" w:eastAsia="宋体" w:hAnsi="Times New Roman" w:cs="Times New Roman"/>
          <w:sz w:val="24"/>
        </w:rPr>
        <w:lastRenderedPageBreak/>
        <w:t>五环中高阶学习怎样发生、怎样进阶、怎样留下证据。</w:t>
      </w:r>
    </w:p>
    <w:p w14:paraId="440158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29F32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vertAlign w:val="superscript"/>
        </w:rPr>
        <w:footnoteReference w:id="120"/>
      </w:r>
      <w:r>
        <w:rPr>
          <w:rFonts w:ascii="Times New Roman" w:eastAsia="宋体" w:hAnsi="Times New Roman" w:cs="Times New Roman"/>
          <w:kern w:val="0"/>
          <w:sz w:val="24"/>
        </w:rPr>
        <w:t xml:space="preserve">。本研究在多轮课例研讨中依据学生作品和课堂表现修订进阶描述，正是这种校准过程的体现，后续仍需积累更多学科的表现样例。</w:t>
      </w:r>
    </w:p>
    <w:p w14:paraId="3063EE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4C32C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4E97D1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314A5E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D1634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27E5FA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3CC74C6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4CBC2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57E6C94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4BC41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3CBD2B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4047FA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246B663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73C93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9E75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3B29CC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4D9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0B294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49BCB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67FF6B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4CCB2B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29420B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65B25D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C6BAF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0FEDE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1CB67F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2048C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w:t>
      </w:r>
      <w:r>
        <w:rPr>
          <w:rFonts w:ascii="Times New Roman" w:eastAsia="宋体" w:hAnsi="Times New Roman" w:cs="Times New Roman"/>
          <w:sz w:val="24"/>
        </w:rPr>
        <w:lastRenderedPageBreak/>
        <w:t>代）由按照预设推进教学，进一步走向依据学生学习证据持续诊断、调节和改进。</w:t>
      </w:r>
    </w:p>
    <w:p w14:paraId="23BD31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2C28C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334087ED"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4DAB63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055AF2"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3F7EDD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011158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117BEBD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5A13F87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4B30C7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29546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25BE2D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0BDC10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147F52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737B11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评价体系的设计还考虑了高阶能力评价的两类风险。其一是以术语代替思维，当评价标准只关注学生是否使用了特定的分析术语时，学生可能通过套用术语获得较高评价</w:t>
      </w:r>
      <w:r>
        <w:rPr>
          <w:rFonts w:ascii="Times New Roman" w:eastAsia="宋体" w:hAnsi="Times New Roman" w:cs="Times New Roman"/>
          <w:kern w:val="0"/>
          <w:sz w:val="24"/>
          <w:vertAlign w:val="superscript"/>
        </w:rPr>
        <w:footnoteReference w:id="121"/>
      </w:r>
      <w:r>
        <w:rPr>
          <w:rFonts w:ascii="Times New Roman" w:eastAsia="宋体" w:hAnsi="Times New Roman" w:cs="Times New Roman"/>
          <w:kern w:val="0"/>
          <w:sz w:val="24"/>
        </w:rPr>
        <w:t xml:space="preserve">，因此本研究的评价指标描述的是学生的具体表现，例如能否说明判断依据、比较不同方案、依据反馈修订观点。其二是过早评分抑制探索，低利害的多轮修订和描述性反馈更有利于批判性思维和创造力的发展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vertAlign w:val="superscript"/>
        </w:rPr>
        <w:footnoteReference w:id="122"/>
      </w:r>
      <w:r>
        <w:rPr>
          <w:rFonts w:ascii="Times New Roman" w:eastAsia="宋体" w:hAnsi="Times New Roman" w:cs="Times New Roman"/>
          <w:kern w:val="0"/>
          <w:sz w:val="24"/>
        </w:rPr>
        <w:t xml:space="preserve">，因此课堂中的评价以形成性反馈为主，分数主要用于研究层面的前后比较。在思维层次判断上，评价指标与研究设计中的表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534C6A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35976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0C009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0D1A3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4314F0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1AA7FF36"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4DC09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E232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45A31895"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F67B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3FE169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69913DD9"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CF2F5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2FC311D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24C35824"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03FEA3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5AD7D2E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5B895B57"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5191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5F9112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31BE0A30"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F8201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798656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3B482E8D"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6299A0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3AC1E3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6CA0A71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5B2EB4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29D85E2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能够接纳不同观点和新的信息，在开放和不确定情境中持续尝试、调整并形成新想法。</w:t>
            </w:r>
          </w:p>
        </w:tc>
      </w:tr>
    </w:tbl>
    <w:p w14:paraId="6A368A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497985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56134F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3DCE844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w:t>
      </w:r>
      <w:r>
        <w:rPr>
          <w:rFonts w:ascii="Times New Roman" w:eastAsia="宋体" w:hAnsi="Times New Roman" w:cs="Times New Roman"/>
          <w:sz w:val="24"/>
        </w:rPr>
        <w:lastRenderedPageBreak/>
        <w:t>的相互参照，提高对研究成效判断的可靠性。</w:t>
      </w:r>
    </w:p>
    <w:p w14:paraId="36B50D2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表3-38  高阶能力培育评价工具与证据采集</w:t>
      </w:r>
      <w:r>
        <w:rPr>
          <w:rFonts w:ascii="Times New Roman" w:eastAsia="黑体" w:hAnsi="Times New Roman" w:cs="Times New Roman"/>
        </w:rPr>
      </w:r>
      <w:r>
        <w:rPr>
          <w:rFonts w:ascii="Times New Roman" w:eastAsia="黑体" w:hAnsi="Times New Roman" w:cs="Times New Roman"/>
        </w:rPr>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555631F0"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C672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34AF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44E3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E6182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38A6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06D4C61C"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66C6A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6EBA2C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7746E7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76226F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20DCF4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76A9849D"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BC0DD51"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20F728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44D1A4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9917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1CB569D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DE69646"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60516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2DF7E7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A69B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55446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6D1085B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3992C6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021FB8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5EFF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32964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4A3876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732DEA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F472FB2"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664A5E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4E1F60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24D54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24C5D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561B458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18FDAFD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评课更多呈现课堂中实际发生的行为过程。二者与学生、教师前后测相互补充，从不同角度呈现研究实践中发生的变化。</w:t>
      </w:r>
    </w:p>
    <w:p w14:paraId="574F55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197F7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497CC9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53488C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213686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43E2C6C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6DF09F3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w:t>
      </w:r>
      <w:r>
        <w:rPr>
          <w:rFonts w:ascii="Times New Roman" w:eastAsia="宋体" w:hAnsi="Times New Roman" w:cs="Times New Roman"/>
          <w:sz w:val="24"/>
        </w:rPr>
        <w:lastRenderedPageBreak/>
        <w:t>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431953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3D9ACC2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76961C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77BF07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769164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42BDA00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7FB088C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327D0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01A9A91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64C7D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61A9F44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表3-39  研究样本基本情况</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3830AD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0CDA0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1411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4E31F9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3FF1E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65265A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713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181B5D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6CDB2B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2F1574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01553D2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655A4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4A4554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0C1AC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0F63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05D49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169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043C21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11E33F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61885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836ED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ED44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7723A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1447D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2420C5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3CE141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D0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3B5FF15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6ABB5F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31419A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3145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AAF40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16126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4718B5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19F2CF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17EBE0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E79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3A37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1C4AE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515A7F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538889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020A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C61AE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6A7DA6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16F3D1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1E71686E"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3816B3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59F8AB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33DA0B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EFEC2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7FC016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73E7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0397A7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6C0F56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2363F9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4D629F9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表3-40  高阶思维总体前后测配对比较（n=1346）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48DCB570"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90EA7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7F17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A2DB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C6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F3A0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506DB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8EC3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1F43687D"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62977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FECC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089E49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3B642C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0D0F8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289396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40FF5A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05230FD7"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80C53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0BDE23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64002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5C9A258"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53660706"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C28512B"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1BE85E3" w14:textId="77777777" w:rsidR="000B1CCE" w:rsidRDefault="000B1CCE">
            <w:pPr>
              <w:adjustRightInd w:val="0"/>
              <w:snapToGrid w:val="0"/>
              <w:spacing w:before="20" w:after="20"/>
              <w:jc w:val="center"/>
              <w:rPr>
                <w:rFonts w:ascii="宋体" w:eastAsia="宋体" w:hAnsi="宋体" w:cs="宋体"/>
                <w:sz w:val="24"/>
              </w:rPr>
            </w:pPr>
          </w:p>
        </w:tc>
      </w:tr>
    </w:tbl>
    <w:p w14:paraId="2D234B5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3E0DA4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2C5ACD4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328104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表3-41  高阶社会情感总体前后测配对比较（n=1346）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845AC5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8C78E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06AF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21C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8484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A8C6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D98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9F38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BDB59A6"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3F10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15F7A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56E809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1EBD86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7DF38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79995D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BB64E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87D25D3"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90B14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922A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160F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F7B4E20"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70F8D8"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1073A6E"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D595E22" w14:textId="77777777" w:rsidR="000B1CCE" w:rsidRDefault="000B1CCE">
            <w:pPr>
              <w:adjustRightInd w:val="0"/>
              <w:snapToGrid w:val="0"/>
              <w:spacing w:before="20" w:after="20"/>
              <w:jc w:val="center"/>
              <w:rPr>
                <w:rFonts w:ascii="宋体" w:eastAsia="宋体" w:hAnsi="宋体" w:cs="宋体"/>
                <w:sz w:val="24"/>
              </w:rPr>
            </w:pPr>
          </w:p>
        </w:tc>
      </w:tr>
    </w:tbl>
    <w:p w14:paraId="742109E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328700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4.032分提高至4.400分，平均增加0.368分。高阶社会情感总体自评得分明显提高，配对效应量为1.099。相较于高阶思维总体，其平均增分在数值上更大；该比较未构成两类增幅差异的正式检验。由于该结果来自学生自评，且后测均分接近量表上限，社会期望、学生对题项理解的变化以及重复填答带来的熟悉效应都可能放大自评增幅，这一效应量需要结合课堂观察和学生作品等证据审慎解释。</w:t>
      </w:r>
    </w:p>
    <w:p w14:paraId="002901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02CC2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1037513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35342FB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表3-42  两个学段的高阶思维总体前后测比较</w:t>
      </w:r>
      <w:r>
        <w:rPr>
          <w:rFonts w:ascii="Times New Roman" w:eastAsia="黑体" w:hAnsi="Times New Roman" w:cs="Times New Roman"/>
        </w:rPr>
      </w:r>
      <w:r>
        <w:rPr>
          <w:rFonts w:ascii="Times New Roman" w:eastAsia="黑体" w:hAnsi="Times New Roman" w:cs="Times New Roman"/>
        </w:rPr>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0A40055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7F6F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6A60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FF82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334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7E49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C3C11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D2A63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CAE7E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19C7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90C29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42B348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72ED05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0A01DC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46AA2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09EF4E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51A846FD"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D498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59A271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47E5C8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5394F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12A050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2B415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05E232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3FB83F5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1A61AD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表3-43  两个学段的高阶社会情感总体前后测比较</w:t>
      </w:r>
      <w:r>
        <w:rPr>
          <w:rFonts w:ascii="Times New Roman" w:eastAsia="黑体" w:hAnsi="Times New Roman" w:cs="Times New Roman"/>
        </w:rPr>
      </w:r>
      <w:r>
        <w:rPr>
          <w:rFonts w:ascii="Times New Roman" w:eastAsia="黑体" w:hAnsi="Times New Roman" w:cs="Times New Roman"/>
        </w:rPr>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643115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0373A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D8E9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7172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3851D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BA7BFF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7BC5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04A87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249E11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FD4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12352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63299B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4E40BB2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2459701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162EB5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1906BB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48176"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574CDF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3B1CDD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5D610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F2408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5454CF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54B7D4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B6A17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DB75E4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0EA90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06BA15D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表3-44  高中与初中学生平均增分的比较</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1A9562FE"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E39C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E6E0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5029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61B7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CE80DE"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3295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90D5747"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700365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4D5873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55448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407335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1EC929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2643FB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4BD384D8"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2FD9F42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5777E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2F2C0D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4807B4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6A91E4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EE73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C9C3B26"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6095CA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6D9090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5DFAD9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7B6ED7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表3-45  各年级高阶思维总体的前后变化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6056FC8E"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44BD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2B2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0BEF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F6061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54057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622B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27D6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7F0577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0423C6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6B8F74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797269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3541F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3F58F1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524308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709966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18FD51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A58F2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7167C2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34AF80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4BEC46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425F78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6394BAD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5BD190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5A5DFDC"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55EE4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321AAE3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49B6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1916FA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218AD1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6596BE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63288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372AAEE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789C9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2C0202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64151B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18CC6C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75766E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5B6DAA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1938E8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B1E175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B83F97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1106B4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493FFF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373068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572716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118E78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21B9A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0473A1A"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C71FD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3C249C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639A10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287ABE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07F6B1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1E0F5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4E19D6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27CCC6C9"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578CE1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2B293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7C81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42FD05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7FD541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3351C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30DE9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75F2DFA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表3-46  各年级高阶社会情感总体的前后变化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EFEF704"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7B64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B886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FD8A6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B494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AED3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FDF8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2268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E13B9A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65740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7C43E6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3E0B6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6ECF4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218C60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16382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018172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B439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5C510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64125C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F62B1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7834A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17FB39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BE93C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5DD3C4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945E5B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50FC57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7BA99E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353D50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0C4228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611A9E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55477E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32D6E6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7A3BAF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98B2D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3B6D7B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721FCD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49271E5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7CC3E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03666E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0BB4F1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0ECC11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1F4767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11610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53441D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77300F4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09C821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5DB1FA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EDCD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905C5A8"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5B8E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222F3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07E85F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78912A2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740C4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16FA8E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253D3A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6860EC5"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2D7C89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DA7B1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453F5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2AA2033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246220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638318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375AEE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FF17F4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7EAD57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5AFE1D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61AF21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16A3ED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9CEEF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表3-47  年级发展特点的探索性分组</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BDA06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D363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AFE8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6A1B0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9CAE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31672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38E2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6F656F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21710C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08F4C6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442600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640D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6256AA7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31D61D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7E34A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58703F41"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00DBDE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0DFCDC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38A29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50D362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65377B6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1C86E4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7DEAB68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）剔除同选项答卷的敏感性检验</w:t>
      </w:r>
    </w:p>
    <w:p w14:paraId="306952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538EE34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表3-48  两个总体指标的敏感性分析</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1375A4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B1C8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546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5F1D1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ED2A1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63DCB8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30E5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25E6F0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279853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9C63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35D90326"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25AE88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33BC54F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5B1559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5D0C244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615AA198"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6CF627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3A5346F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27D5EE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表3-49  分析前后测配对比较（n=1346）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A75378D"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1A931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8A74F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B5C86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D5D2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F4F7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D848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6B6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5F3D72E"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7DE119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3FA4D8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31FF53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B2CF4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76A0CF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124510D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7EA473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32EAEB6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692B9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5DCBF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0AB98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209EC3D"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1B8C504"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786AF0A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99F64CD" w14:textId="77777777" w:rsidR="000B1CCE" w:rsidRDefault="000B1CCE">
            <w:pPr>
              <w:adjustRightInd w:val="0"/>
              <w:snapToGrid w:val="0"/>
              <w:spacing w:before="20" w:after="20"/>
              <w:jc w:val="center"/>
              <w:rPr>
                <w:rFonts w:ascii="宋体" w:eastAsia="宋体" w:hAnsi="宋体" w:cs="宋体"/>
                <w:sz w:val="24"/>
              </w:rPr>
            </w:pPr>
          </w:p>
        </w:tc>
      </w:tr>
    </w:tbl>
    <w:p w14:paraId="7955D3F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CB092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分。分析维度得分的提高，反映学生对分解问题、联系已有知识、筛选信息和探究原因等学习行为的自我评价有所改善。</w:t>
      </w:r>
    </w:p>
    <w:p w14:paraId="4CE789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69809B0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表3-50  评价前后测配对比较（n=1346）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FD3DD56"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C8FC7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8A4A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ED8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9D414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DD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E4A3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4EA3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6540CE7"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4DDEEB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7BF413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5DA0B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7ADF99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6F106A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3D6D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44BC49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63C2EDFA"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617FA0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848E3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1F3CC4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94CE494"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5EA0B0A"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4EB6291E"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D543D5D" w14:textId="77777777" w:rsidR="000B1CCE" w:rsidRDefault="000B1CCE">
            <w:pPr>
              <w:adjustRightInd w:val="0"/>
              <w:snapToGrid w:val="0"/>
              <w:spacing w:before="20" w:after="20"/>
              <w:jc w:val="center"/>
              <w:rPr>
                <w:rFonts w:ascii="宋体" w:eastAsia="宋体" w:hAnsi="宋体" w:cs="宋体"/>
                <w:sz w:val="24"/>
              </w:rPr>
            </w:pPr>
          </w:p>
        </w:tc>
      </w:tr>
    </w:tbl>
    <w:p w14:paraId="48307DD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075787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3ED8C2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）创造</w:t>
      </w:r>
    </w:p>
    <w:p w14:paraId="0B269A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表3-51  创造前后测配对比较（n=1346）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53A06016"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FFDEE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1830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40193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7CB3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247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7A0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5FDC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4D42CB9"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4A93040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050E91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1AE374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23023B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27C09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21F081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22A2A6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0FB7FDB"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6AC49C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13AA7A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E21860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7208A86"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766EFC6F"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1AD732A6"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4CBEDB9A" w14:textId="77777777" w:rsidR="000B1CCE" w:rsidRDefault="000B1CCE">
            <w:pPr>
              <w:adjustRightInd w:val="0"/>
              <w:snapToGrid w:val="0"/>
              <w:spacing w:before="20" w:after="20"/>
              <w:jc w:val="center"/>
              <w:rPr>
                <w:rFonts w:ascii="宋体" w:eastAsia="宋体" w:hAnsi="宋体" w:cs="宋体"/>
                <w:sz w:val="24"/>
              </w:rPr>
            </w:pPr>
          </w:p>
        </w:tc>
      </w:tr>
    </w:tbl>
    <w:p w14:paraId="5B64D76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46A7E1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31778B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523C8BE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77D0CE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表3-52  责任担当前后测配对比较（n=1346）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B2046FD"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854E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1622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3FA48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985A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CD85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887D6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3FF82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578A655"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05028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E3594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687E4F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0CA4B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BCB60C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44D64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68051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F28DAF4"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2091DA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794A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1CB8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6D3D79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03A6BC"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F204812"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7479C935" w14:textId="77777777" w:rsidR="000B1CCE" w:rsidRDefault="000B1CCE">
            <w:pPr>
              <w:adjustRightInd w:val="0"/>
              <w:snapToGrid w:val="0"/>
              <w:spacing w:before="20" w:after="20"/>
              <w:jc w:val="center"/>
              <w:rPr>
                <w:rFonts w:ascii="宋体" w:eastAsia="宋体" w:hAnsi="宋体" w:cs="宋体"/>
                <w:sz w:val="24"/>
              </w:rPr>
            </w:pPr>
          </w:p>
        </w:tc>
      </w:tr>
    </w:tbl>
    <w:p w14:paraId="5D64C7A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E4BA1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3690595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）情绪调节</w:t>
      </w:r>
    </w:p>
    <w:p w14:paraId="5AC040A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表3-53  情绪调节前后测配对比较（n=1346）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161E11C1"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7E7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BC88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C7DC2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54CC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30AE4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99BC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DC4A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0BE327E"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1A9BDA8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681B36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77059A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2CF578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0139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69C5DD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66CB4F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44A8D1"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BA3CD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1A72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FB434E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0F5EBF31"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40D9678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F65B71A"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C2E5376" w14:textId="77777777" w:rsidR="000B1CCE" w:rsidRDefault="000B1CCE">
            <w:pPr>
              <w:adjustRightInd w:val="0"/>
              <w:snapToGrid w:val="0"/>
              <w:spacing w:before="20" w:after="20"/>
              <w:jc w:val="center"/>
              <w:rPr>
                <w:rFonts w:ascii="宋体" w:eastAsia="宋体" w:hAnsi="宋体" w:cs="宋体"/>
                <w:sz w:val="24"/>
              </w:rPr>
            </w:pPr>
          </w:p>
        </w:tc>
      </w:tr>
    </w:tbl>
    <w:p w14:paraId="4D0D105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093815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478C3F7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）合作共情</w:t>
      </w:r>
    </w:p>
    <w:p w14:paraId="6A6C2E8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表3-54  合作共情前后测配对比较（n=1346）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4AE51B9C"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1802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DF32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A94D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0867D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851C5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9C2E8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11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7461A27"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26118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1E73F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4F6A64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3F9ADA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32C4D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441CEE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4E4C4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C54DEF8"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76652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B7382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95C56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6796D2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4B5D43BD"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3FC89F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1A44CC0D" w14:textId="77777777" w:rsidR="000B1CCE" w:rsidRDefault="000B1CCE">
            <w:pPr>
              <w:adjustRightInd w:val="0"/>
              <w:snapToGrid w:val="0"/>
              <w:spacing w:before="20" w:after="20"/>
              <w:jc w:val="center"/>
              <w:rPr>
                <w:rFonts w:ascii="宋体" w:eastAsia="宋体" w:hAnsi="宋体" w:cs="宋体"/>
                <w:sz w:val="24"/>
              </w:rPr>
            </w:pPr>
          </w:p>
        </w:tc>
      </w:tr>
    </w:tbl>
    <w:p w14:paraId="3EFABE8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346C83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420E2C7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34CC6D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表3-55  包容创新前后测配对比较（n=1346）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31309A59"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7F8E4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82A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53B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47A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F326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0DBCF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7E17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022D1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309E0A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9F9ED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44078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6ED60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23A0B2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66EE45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DF6CC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8DD3ECA"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2CC72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86463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E4613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173625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290719C"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A63248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87CDAA8" w14:textId="77777777" w:rsidR="000B1CCE" w:rsidRDefault="000B1CCE">
            <w:pPr>
              <w:adjustRightInd w:val="0"/>
              <w:snapToGrid w:val="0"/>
              <w:spacing w:before="20" w:after="20"/>
              <w:jc w:val="center"/>
              <w:rPr>
                <w:rFonts w:ascii="宋体" w:eastAsia="宋体" w:hAnsi="宋体" w:cs="宋体"/>
                <w:sz w:val="24"/>
              </w:rPr>
            </w:pPr>
          </w:p>
        </w:tc>
      </w:tr>
    </w:tbl>
    <w:p w14:paraId="6ABEAA77"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2F9E845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6F474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1DD3EBE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660E05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表3-56  学生前测开放性回答三级编码表</w:t>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029BC2CA"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E5123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F9059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4599A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909B1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6CC060A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C8C80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25301B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41A75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4C4777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306CB12C"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B481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08F562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48D0E3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10B2A4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1BDC55B9"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4D59F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2254EC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2EFD41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44BCD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318034B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ED153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F7B5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A4397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3E2877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3079F8A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E743D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6C77C1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4952AB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037B69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69792B6D"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2460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637BD2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204936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33C361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6881167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883ED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84D99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441676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2CD7A9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1453E584"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3B485A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1BD32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323C0D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44D40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357B9B81"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7198A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832F4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25CB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106609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6209839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同一条回答可能涉及多类困难，因此按类别统计的涉及回答数之和大于有效回答数。</w:t>
      </w:r>
    </w:p>
    <w:p w14:paraId="220B49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61CD09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3A7A102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表3-57  学生后测开放性回答三级编码表</w:t>
      </w:r>
      <w:r>
        <w:rPr>
          <w:rFonts w:ascii="Times New Roman" w:eastAsia="黑体" w:hAnsi="Times New Roman" w:cs="Times New Roman"/>
        </w:rPr>
      </w:r>
      <w:r>
        <w:rPr>
          <w:rFonts w:ascii="Times New Roman" w:eastAsia="黑体" w:hAnsi="Times New Roman" w:cs="Times New Roman"/>
        </w:rPr>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0A98068D"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C9D0C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5C2A4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DD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5B45F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846C33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53FFF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033304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574135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7BA807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4DD76089"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DBC9E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5811D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E91B5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76EF1A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0062286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A9F33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288E27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708A4C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04AD1D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66A6D86D"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0B5A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63A79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2EDC1D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4D7398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429063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29C9C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3C6214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9C23A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4B52CD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31A3E91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547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1C399C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692C7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69851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149D4C6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8330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57E3C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8294C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4379040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7D9E2F6C"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188D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28DBE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17797E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2AF7C0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57AC11C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8E3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44107A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4735F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7C294E4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4C7F9AE4"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F336E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73133D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443B71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3772DC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2CC92B8D"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665E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1F505F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69792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68DACB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3C987CEA"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同一条回答可能同时描述多方面的变化，各类别的涉及回答数可以重叠。</w:t>
      </w:r>
    </w:p>
    <w:p w14:paraId="40FCFBC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44546BF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表3-58  学生前后测开放性文本主题对应表</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57AF17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BEDF0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67F43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42AB3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69F16C0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2DFD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4667F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DCD598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67E6E8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97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64F082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79D127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46711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6E4F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42FCD3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847A30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15B9B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6CD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76ED00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7D4330F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41BEC5DD"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113CA9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5F3664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44C12BE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4EB993EA"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lastRenderedPageBreak/>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406C4F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16396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333B066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7A7246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0D190A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表3-59  纳入匹配表的教师背景分布（n＝129）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1BCAD9B8"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A7829E"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4A91F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CE4470"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244DD6"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6BF962"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0F2C8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2D0CB7"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684DAD1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06F6E2EB"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5C4BD136"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14AFE4A"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650A46FB"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651ECD0"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1FF6DB67"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2BB310E7"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3A5F9CE"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6D30F8"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04FC91D5"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687355E5"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65DD533"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F9C382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723CA0C"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330B14F0"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4B2F084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095D2BA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8C8E8F5"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0E9DDA45"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58CB45AF"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093D2265"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2843726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6613B0D"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B234C32"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442EF846"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58F774AA"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4F14011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E89A32E"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4145DE8C"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30777B99"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72CD7525"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42776D8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D7B3B9B"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BAA782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25CF8D7D"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673C5C9"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613C4E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AB1FF7A"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19A2DBF1"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17DC6054"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7C683DB2"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2605C20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F76D49F"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0CC7C2C3"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66877500"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75A069BF"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2BC2AD38"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45F1EB00"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CD13205"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78CD8C"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257244B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667C128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40DFFF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6C63CE8D" w14:textId="77777777" w:rsidR="000B1CCE" w:rsidRDefault="00000000">
      <w:pPr>
        <w:keepNext/>
        <w:snapToGrid w:val="0"/>
        <w:spacing w:before="180" w:after="60"/>
        <w:jc w:val="center"/>
      </w:pPr>
      <w:r>
        <w:rPr>
          <w:rFonts w:ascii="Times New Roman" w:eastAsia="黑体" w:hAnsi="Times New Roman" w:cs="Times New Roman"/>
        </w:rPr>
        <w:t>表3-60  纳入匹配表的教师学科分布（n＝129）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312BF243"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7FAF2"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62FC32"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1BB52"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0E05BBA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F9B407"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6F7C5984"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1083093A" w14:textId="77777777" w:rsidR="000B1CCE" w:rsidRDefault="00000000">
            <w:pPr>
              <w:snapToGrid w:val="0"/>
              <w:spacing w:before="20" w:after="20"/>
              <w:jc w:val="center"/>
            </w:pPr>
            <w:r>
              <w:rPr>
                <w:rFonts w:ascii="Times New Roman" w:eastAsia="宋体" w:hAnsi="Times New Roman" w:cs="Times New Roman"/>
              </w:rPr>
              <w:t>22.48</w:t>
            </w:r>
          </w:p>
        </w:tc>
      </w:tr>
      <w:tr w:rsidR="000B1CCE" w14:paraId="35B6A54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CFDD23D"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0077215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7546BC67" w14:textId="77777777" w:rsidR="000B1CCE" w:rsidRDefault="00000000">
            <w:pPr>
              <w:snapToGrid w:val="0"/>
              <w:spacing w:before="20" w:after="20"/>
              <w:jc w:val="center"/>
            </w:pPr>
            <w:r>
              <w:rPr>
                <w:rFonts w:ascii="Times New Roman" w:eastAsia="宋体" w:hAnsi="Times New Roman" w:cs="Times New Roman"/>
              </w:rPr>
              <w:t>14.73</w:t>
            </w:r>
          </w:p>
        </w:tc>
      </w:tr>
      <w:tr w:rsidR="000B1CCE" w14:paraId="6CC1AF9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AF00670"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533C883"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4EA00A8D" w14:textId="77777777" w:rsidR="000B1CCE" w:rsidRDefault="00000000">
            <w:pPr>
              <w:snapToGrid w:val="0"/>
              <w:spacing w:before="20" w:after="20"/>
              <w:jc w:val="center"/>
            </w:pPr>
            <w:r>
              <w:rPr>
                <w:rFonts w:ascii="Times New Roman" w:eastAsia="宋体" w:hAnsi="Times New Roman" w:cs="Times New Roman"/>
              </w:rPr>
              <w:t>11.63</w:t>
            </w:r>
          </w:p>
        </w:tc>
      </w:tr>
      <w:tr w:rsidR="000B1CCE" w14:paraId="4E0D2EC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D79408A"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0FADD982"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B7E0EDF" w14:textId="77777777" w:rsidR="000B1CCE" w:rsidRDefault="00000000">
            <w:pPr>
              <w:snapToGrid w:val="0"/>
              <w:spacing w:before="20" w:after="20"/>
              <w:jc w:val="center"/>
            </w:pPr>
            <w:r>
              <w:rPr>
                <w:rFonts w:ascii="Times New Roman" w:eastAsia="宋体" w:hAnsi="Times New Roman" w:cs="Times New Roman"/>
              </w:rPr>
              <w:t>10.85</w:t>
            </w:r>
          </w:p>
        </w:tc>
      </w:tr>
      <w:tr w:rsidR="000B1CCE" w14:paraId="379D639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AC8FAE9"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3B4E9C54"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1D01AB5" w14:textId="77777777" w:rsidR="000B1CCE" w:rsidRDefault="00000000">
            <w:pPr>
              <w:snapToGrid w:val="0"/>
              <w:spacing w:before="20" w:after="20"/>
              <w:jc w:val="center"/>
            </w:pPr>
            <w:r>
              <w:rPr>
                <w:rFonts w:ascii="Times New Roman" w:eastAsia="宋体" w:hAnsi="Times New Roman" w:cs="Times New Roman"/>
              </w:rPr>
              <w:t>8.53</w:t>
            </w:r>
          </w:p>
        </w:tc>
      </w:tr>
      <w:tr w:rsidR="000B1CCE" w14:paraId="17E94950"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C01E5BB"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FD6FCEA"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5B18FDF" w14:textId="77777777" w:rsidR="000B1CCE" w:rsidRDefault="00000000">
            <w:pPr>
              <w:snapToGrid w:val="0"/>
              <w:spacing w:before="20" w:after="20"/>
              <w:jc w:val="center"/>
            </w:pPr>
            <w:r>
              <w:rPr>
                <w:rFonts w:ascii="Times New Roman" w:eastAsia="宋体" w:hAnsi="Times New Roman" w:cs="Times New Roman"/>
              </w:rPr>
              <w:t>8.53</w:t>
            </w:r>
          </w:p>
        </w:tc>
      </w:tr>
      <w:tr w:rsidR="000B1CCE" w14:paraId="5BD7A2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BAE39BB"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15E9B991"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4280A21A" w14:textId="77777777" w:rsidR="000B1CCE" w:rsidRDefault="00000000">
            <w:pPr>
              <w:snapToGrid w:val="0"/>
              <w:spacing w:before="20" w:after="20"/>
              <w:jc w:val="center"/>
            </w:pPr>
            <w:r>
              <w:rPr>
                <w:rFonts w:ascii="Times New Roman" w:eastAsia="宋体" w:hAnsi="Times New Roman" w:cs="Times New Roman"/>
              </w:rPr>
              <w:t>7.75</w:t>
            </w:r>
          </w:p>
        </w:tc>
      </w:tr>
      <w:tr w:rsidR="000B1CCE" w14:paraId="3C2DFB6C"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A87A706"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411F8086"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70926B5E" w14:textId="77777777" w:rsidR="000B1CCE" w:rsidRDefault="00000000">
            <w:pPr>
              <w:snapToGrid w:val="0"/>
              <w:spacing w:before="20" w:after="20"/>
              <w:jc w:val="center"/>
            </w:pPr>
            <w:r>
              <w:rPr>
                <w:rFonts w:ascii="Times New Roman" w:eastAsia="宋体" w:hAnsi="Times New Roman" w:cs="Times New Roman"/>
              </w:rPr>
              <w:t>4.65</w:t>
            </w:r>
          </w:p>
        </w:tc>
      </w:tr>
      <w:tr w:rsidR="000B1CCE" w14:paraId="20B4F81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1324E4"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387B23AF"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6714B6C8" w14:textId="77777777" w:rsidR="000B1CCE" w:rsidRDefault="00000000">
            <w:pPr>
              <w:snapToGrid w:val="0"/>
              <w:spacing w:before="20" w:after="20"/>
              <w:jc w:val="center"/>
            </w:pPr>
            <w:r>
              <w:rPr>
                <w:rFonts w:ascii="Times New Roman" w:eastAsia="宋体" w:hAnsi="Times New Roman" w:cs="Times New Roman"/>
              </w:rPr>
              <w:t>4.65</w:t>
            </w:r>
          </w:p>
        </w:tc>
      </w:tr>
      <w:tr w:rsidR="000B1CCE" w14:paraId="75A4B7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99D5CBF"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04FBEA8D"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F61CA8F" w14:textId="77777777" w:rsidR="000B1CCE" w:rsidRDefault="00000000">
            <w:pPr>
              <w:snapToGrid w:val="0"/>
              <w:spacing w:before="20" w:after="20"/>
              <w:jc w:val="center"/>
            </w:pPr>
            <w:r>
              <w:rPr>
                <w:rFonts w:ascii="Times New Roman" w:eastAsia="宋体" w:hAnsi="Times New Roman" w:cs="Times New Roman"/>
              </w:rPr>
              <w:t>2.33</w:t>
            </w:r>
          </w:p>
        </w:tc>
      </w:tr>
      <w:tr w:rsidR="000B1CCE" w14:paraId="32D53FC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264421"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16108453"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12B131EE" w14:textId="77777777" w:rsidR="000B1CCE" w:rsidRDefault="00000000">
            <w:pPr>
              <w:snapToGrid w:val="0"/>
              <w:spacing w:before="20" w:after="20"/>
              <w:jc w:val="center"/>
            </w:pPr>
            <w:r>
              <w:rPr>
                <w:rFonts w:ascii="Times New Roman" w:eastAsia="宋体" w:hAnsi="Times New Roman" w:cs="Times New Roman"/>
              </w:rPr>
              <w:t>2.33</w:t>
            </w:r>
          </w:p>
        </w:tc>
      </w:tr>
      <w:tr w:rsidR="000B1CCE" w14:paraId="6D4CCD3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FC26E8"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196D70EB"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1691AAA9" w14:textId="77777777" w:rsidR="000B1CCE" w:rsidRDefault="00000000">
            <w:pPr>
              <w:snapToGrid w:val="0"/>
              <w:spacing w:before="20" w:after="20"/>
              <w:jc w:val="center"/>
            </w:pPr>
            <w:r>
              <w:rPr>
                <w:rFonts w:ascii="Times New Roman" w:eastAsia="宋体" w:hAnsi="Times New Roman" w:cs="Times New Roman"/>
              </w:rPr>
              <w:t>0.78</w:t>
            </w:r>
          </w:p>
        </w:tc>
      </w:tr>
      <w:tr w:rsidR="000B1CCE" w14:paraId="34A6D12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6699D2F"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CBFE4A0"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38B28BB8" w14:textId="77777777" w:rsidR="000B1CCE" w:rsidRDefault="00000000">
            <w:pPr>
              <w:snapToGrid w:val="0"/>
              <w:spacing w:before="20" w:after="20"/>
              <w:jc w:val="center"/>
            </w:pPr>
            <w:r>
              <w:rPr>
                <w:rFonts w:ascii="Times New Roman" w:eastAsia="宋体" w:hAnsi="Times New Roman" w:cs="Times New Roman"/>
              </w:rPr>
              <w:t>0.78</w:t>
            </w:r>
          </w:p>
        </w:tc>
      </w:tr>
      <w:tr w:rsidR="000B1CCE" w14:paraId="506730D0"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7EB2D80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2E165EFC"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2B46A651"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1C88F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2623D5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47D03C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1AA823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3F7850F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05C7A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5805E4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50D9B8E" w14:textId="77777777" w:rsidR="000B1CCE" w:rsidRDefault="00000000">
      <w:pPr>
        <w:keepNext/>
        <w:snapToGrid w:val="0"/>
        <w:spacing w:before="180" w:after="60"/>
        <w:jc w:val="center"/>
      </w:pPr>
      <w:r>
        <w:rPr>
          <w:rFonts w:ascii="Times New Roman" w:eastAsia="黑体" w:hAnsi="Times New Roman" w:cs="Times New Roman"/>
        </w:rPr>
        <w:t>表3-61  教师认知与价值认同前后测配对分析（n＝129）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590BE6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61581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04FAA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40FFF0E"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4B88CA2"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6F806CF"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429F28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497817"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A46E17B"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2CE6650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1DBE293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2340DA62"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0A06B78C"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3EBC3673"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5581A348"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961E243"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B320DC3" w14:textId="77777777" w:rsidR="000B1CCE" w:rsidRDefault="000B1CCE">
            <w:pPr>
              <w:snapToGrid w:val="0"/>
              <w:spacing w:before="20" w:after="20"/>
              <w:jc w:val="center"/>
              <w:rPr>
                <w:b/>
              </w:rPr>
            </w:pPr>
          </w:p>
        </w:tc>
      </w:tr>
      <w:tr w:rsidR="000B1CCE" w14:paraId="28C89DCC"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C451E41"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52A64CC0"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50DB30E0"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03EED406"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7C48AB10"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0AD7908F"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0AD1684A"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1E9A840D" w14:textId="77777777" w:rsidR="000B1CCE" w:rsidRDefault="00000000">
            <w:pPr>
              <w:snapToGrid w:val="0"/>
              <w:spacing w:before="20" w:after="20"/>
              <w:jc w:val="center"/>
            </w:pPr>
            <w:r>
              <w:rPr>
                <w:rFonts w:ascii="Times New Roman" w:eastAsia="宋体" w:hAnsi="Times New Roman" w:cs="Times New Roman"/>
              </w:rPr>
              <w:t>0.74</w:t>
            </w:r>
          </w:p>
        </w:tc>
      </w:tr>
      <w:tr w:rsidR="000B1CCE" w14:paraId="14EAF5A4"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335A61FE"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2D6E20AC"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74E82053"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082D190D"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4526B5CE"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79196E82"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5FB166CA"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33C12D13" w14:textId="77777777" w:rsidR="000B1CCE" w:rsidRDefault="00000000">
            <w:pPr>
              <w:snapToGrid w:val="0"/>
              <w:spacing w:before="20" w:after="20"/>
              <w:jc w:val="center"/>
            </w:pPr>
            <w:r>
              <w:rPr>
                <w:rFonts w:ascii="Times New Roman" w:eastAsia="宋体" w:hAnsi="Times New Roman" w:cs="Times New Roman"/>
              </w:rPr>
              <w:t>0.90</w:t>
            </w:r>
          </w:p>
        </w:tc>
      </w:tr>
    </w:tbl>
    <w:p w14:paraId="14DE4FD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2FAA054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289A7A7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表3-62  教师课堂教学实践前后测配对分析（n＝129）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21632B1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95A28F6"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E24281"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5D1E203C"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7C781AD"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C6A88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3D40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BD4E50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4E8009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478DA42"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5B5A0C10"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88DA5D8"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5D2015C0"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2EF4F20"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1BB5971"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B62FD39"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F993DE4" w14:textId="77777777" w:rsidR="000B1CCE" w:rsidRDefault="000B1CCE">
            <w:pPr>
              <w:snapToGrid w:val="0"/>
              <w:spacing w:before="20" w:after="20"/>
              <w:jc w:val="center"/>
              <w:rPr>
                <w:b/>
              </w:rPr>
            </w:pPr>
          </w:p>
        </w:tc>
      </w:tr>
      <w:tr w:rsidR="000B1CCE" w14:paraId="655452F9"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536A58A5"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1D7A4F5"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38E01DE0"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08E6F02C"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1E987AA3"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5AA590F6"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CB70DBA"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359662AD" w14:textId="77777777" w:rsidR="000B1CCE" w:rsidRDefault="00000000">
            <w:pPr>
              <w:snapToGrid w:val="0"/>
              <w:spacing w:before="20" w:after="20"/>
              <w:jc w:val="center"/>
            </w:pPr>
            <w:r>
              <w:rPr>
                <w:rFonts w:ascii="Times New Roman" w:eastAsia="宋体" w:hAnsi="Times New Roman" w:cs="Times New Roman"/>
              </w:rPr>
              <w:t>0.72</w:t>
            </w:r>
          </w:p>
        </w:tc>
      </w:tr>
      <w:tr w:rsidR="000B1CCE" w14:paraId="43912285"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F000946"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6F70B51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51DF49EE"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2419EE"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A03C3EF"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0D808710"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6CA1F1F"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6318A57A" w14:textId="77777777" w:rsidR="000B1CCE" w:rsidRDefault="00000000">
            <w:pPr>
              <w:snapToGrid w:val="0"/>
              <w:spacing w:before="20" w:after="20"/>
              <w:jc w:val="center"/>
            </w:pPr>
            <w:r>
              <w:rPr>
                <w:rFonts w:ascii="Times New Roman" w:eastAsia="宋体" w:hAnsi="Times New Roman" w:cs="Times New Roman"/>
              </w:rPr>
              <w:t>0.75</w:t>
            </w:r>
          </w:p>
        </w:tc>
      </w:tr>
    </w:tbl>
    <w:p w14:paraId="31E6230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64DBA8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9E1DCF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48E6E8D0" w14:textId="77777777" w:rsidR="000B1CCE" w:rsidRDefault="00000000">
      <w:pPr>
        <w:keepNext/>
        <w:snapToGrid w:val="0"/>
        <w:spacing w:before="180" w:after="60"/>
        <w:jc w:val="center"/>
      </w:pPr>
      <w:r>
        <w:rPr>
          <w:rFonts w:ascii="Times New Roman" w:eastAsia="黑体" w:hAnsi="Times New Roman" w:cs="Times New Roman"/>
        </w:rPr>
        <w:t>表3-63  教师教学自我效能前后测配对分析（n＝129）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09D74D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7E61C8"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47A16E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ACDE001"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7176DC3"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8DAC527"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BCA57FC"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9E512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6F085BB4"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1397D37E"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4299408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0C4D0D8E"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030DAEE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EFB4469"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487C32F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FBCB8E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660F2B98" w14:textId="77777777" w:rsidR="000B1CCE" w:rsidRDefault="000B1CCE">
            <w:pPr>
              <w:snapToGrid w:val="0"/>
              <w:spacing w:before="20" w:after="20"/>
              <w:jc w:val="center"/>
              <w:rPr>
                <w:b/>
              </w:rPr>
            </w:pPr>
          </w:p>
        </w:tc>
      </w:tr>
      <w:tr w:rsidR="000B1CCE" w14:paraId="573B563D"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2EB30167"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24498D62"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34C1AE96"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05537CFF"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6EEF0791"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63024A12"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9E0933E"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77D9148" w14:textId="77777777" w:rsidR="000B1CCE" w:rsidRDefault="00000000">
            <w:pPr>
              <w:snapToGrid w:val="0"/>
              <w:spacing w:before="20" w:after="20"/>
              <w:jc w:val="center"/>
            </w:pPr>
            <w:r>
              <w:rPr>
                <w:rFonts w:ascii="Times New Roman" w:eastAsia="宋体" w:hAnsi="Times New Roman" w:cs="Times New Roman"/>
              </w:rPr>
              <w:t>0.73</w:t>
            </w:r>
          </w:p>
        </w:tc>
      </w:tr>
      <w:tr w:rsidR="000B1CCE" w14:paraId="541C09D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1A684F42"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2EB55C70"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7EA7F6C5"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0CB2EBB7"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09809B"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52978BD4"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ADC35D6"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0D0A02D9" w14:textId="77777777" w:rsidR="000B1CCE" w:rsidRDefault="00000000">
            <w:pPr>
              <w:snapToGrid w:val="0"/>
              <w:spacing w:before="20" w:after="20"/>
              <w:jc w:val="center"/>
            </w:pPr>
            <w:r>
              <w:rPr>
                <w:rFonts w:ascii="Times New Roman" w:eastAsia="宋体" w:hAnsi="Times New Roman" w:cs="Times New Roman"/>
              </w:rPr>
              <w:t>0.77</w:t>
            </w:r>
          </w:p>
        </w:tc>
      </w:tr>
    </w:tbl>
    <w:p w14:paraId="52B229C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17F9019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46BE0ED0" w14:textId="77777777" w:rsidR="000B1CCE" w:rsidRDefault="00000000">
      <w:pPr>
        <w:keepNext/>
        <w:snapToGrid w:val="0"/>
        <w:spacing w:before="180" w:after="60"/>
        <w:jc w:val="center"/>
      </w:pPr>
      <w:r>
        <w:rPr>
          <w:rFonts w:ascii="Times New Roman" w:eastAsia="黑体" w:hAnsi="Times New Roman" w:cs="Times New Roman"/>
        </w:rPr>
        <w:t>表3-64  教师现实阻碍前后测配对分析（n＝129）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80E0364"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4B14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4D5CC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5EC9275"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BB88BE"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79ACA1"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E05A88"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FDD62B"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09D50C8"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2CA4F004"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4E989761"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4EF43A7B"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0A745D26"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2D2633D4"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D9F0842"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90CA750"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057B9204" w14:textId="77777777" w:rsidR="000B1CCE" w:rsidRDefault="000B1CCE">
            <w:pPr>
              <w:snapToGrid w:val="0"/>
              <w:spacing w:before="20" w:after="20"/>
              <w:jc w:val="center"/>
              <w:rPr>
                <w:b/>
              </w:rPr>
            </w:pPr>
          </w:p>
        </w:tc>
      </w:tr>
      <w:tr w:rsidR="000B1CCE" w14:paraId="752801CA"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5E3104BC"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198F98B6"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34E22D9F"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63FD0CBE"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7DDEC902"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66D258D2"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2EA65D50"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3F56848E" w14:textId="77777777" w:rsidR="000B1CCE" w:rsidRDefault="00000000">
            <w:pPr>
              <w:snapToGrid w:val="0"/>
              <w:spacing w:before="20" w:after="20"/>
              <w:jc w:val="center"/>
            </w:pPr>
            <w:r>
              <w:rPr>
                <w:rFonts w:ascii="Times New Roman" w:eastAsia="宋体" w:hAnsi="Times New Roman" w:cs="Times New Roman"/>
              </w:rPr>
              <w:t>0.95</w:t>
            </w:r>
          </w:p>
        </w:tc>
      </w:tr>
      <w:tr w:rsidR="000B1CCE" w14:paraId="3EE53E57"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1AD9AA28"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2B61791B"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556FB99A"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3A303D03"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A15D6D"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348A076C"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E4B987F"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252606F2" w14:textId="77777777" w:rsidR="000B1CCE" w:rsidRDefault="00000000">
            <w:pPr>
              <w:snapToGrid w:val="0"/>
              <w:spacing w:before="20" w:after="20"/>
              <w:jc w:val="center"/>
            </w:pPr>
            <w:r>
              <w:rPr>
                <w:rFonts w:ascii="Times New Roman" w:eastAsia="宋体" w:hAnsi="Times New Roman" w:cs="Times New Roman"/>
              </w:rPr>
              <w:t>0.95</w:t>
            </w:r>
          </w:p>
        </w:tc>
      </w:tr>
    </w:tbl>
    <w:p w14:paraId="7B9573E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2F8D79F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618D6A1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092B37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59F20A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3586E2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12AA0A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204E92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0169F0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表3-65  教师前测开放性回答三级编码表</w:t>
      </w:r>
      <w:r>
        <w:rPr>
          <w:rFonts w:ascii="Times New Roman" w:eastAsia="黑体" w:hAnsi="Times New Roman" w:cs="Times New Roman"/>
        </w:rPr>
      </w:r>
      <w:r>
        <w:rPr>
          <w:rFonts w:ascii="Times New Roman" w:eastAsia="黑体" w:hAnsi="Times New Roman" w:cs="Times New Roman"/>
        </w:rPr>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6CE525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4853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76D7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BEE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3F0D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3AF009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F57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0B45BA9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140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356A71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F92FE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5541C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58C7FD1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480FED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132AA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3357808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3EE9FE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31D557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608421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701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0653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5BC339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6B6EB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123B7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0D75826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434114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14801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5E830A8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6438003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536DEF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3B7CF1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2AADC6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D297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1DEC19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05A05B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73E43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153844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462B00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A33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7B23A1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20FC2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041252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4DE430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3F692F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B2E7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3C6952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2F8184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16D25B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EFF33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10DF51C1"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1529F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19CC11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44D456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210DAC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249F5D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6250146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352AC1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443DEF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170907A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表3-66  教师后测开放性回答三级编码表</w:t>
      </w:r>
      <w:r>
        <w:rPr>
          <w:rFonts w:ascii="Times New Roman" w:eastAsia="黑体" w:hAnsi="Times New Roman" w:cs="Times New Roman"/>
        </w:rPr>
      </w:r>
      <w:r>
        <w:rPr>
          <w:rFonts w:ascii="Times New Roman" w:eastAsia="黑体" w:hAnsi="Times New Roman" w:cs="Times New Roman"/>
        </w:rPr>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063C429E"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76D5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9E3AF1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0030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420ED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5C41523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FC9D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02206AB"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0D44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7B3C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D11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8F5B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354E190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1EABBC5D"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46696A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EAE57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316F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1D4C5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145512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5766F29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3D65EB9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0A0BD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03049A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62B4E5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50E7605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7313CFE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376868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15135E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230DF7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69E513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142539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19C7D583"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A1BD31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787D20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735A4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68AC18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2D2FB1E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698B9BE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256D51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783986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51E24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7188C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271EF43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1EA53DF5"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BE8B0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18B6D9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39BC8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0F93BF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237B8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718D44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4446A26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64D0A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34A177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31798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1F309D8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7276DB7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E93BDF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4ECA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05D6EE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218D32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0CC236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39C5FA39"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4CE5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AA562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05BED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059F6A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4FBDA7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659A80E1"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7B1D2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28F39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5352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2C51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5EBF227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734F31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4027D57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533569A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432439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5FC02A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表3-67  课堂评价工具内部一致性检验结果</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57BECE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14E7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CBD8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45A1C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F5BF2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070FBC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3CA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7B72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683BC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58FD43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0487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BCA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D13A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52AB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430D1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7EE3F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48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736D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E5C08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2BB633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4F796E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07E1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B6D70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09201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C533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0D5B9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8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7B826F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5605F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3EB996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15B15867"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524D3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76F6C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74510B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643664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4F9916C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3F0B7BF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表3-68  删除一级维度后的内部一致性检验</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5C87A72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9FFBB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876E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B721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103680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2470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FEDE6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04AD87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243CAB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69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8C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21A724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10EB0A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9DD9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09F9B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762BF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642CC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0052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B6741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0340B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4BE934BE"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4400D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4848E5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2F863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4C992B1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2B17424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表3-69  各维度与其余四维总分的相关度</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44741B9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55D8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61C616"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F8EF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D034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1D0C39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52D3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458CC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45F3EF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A48F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6AD77D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060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7690E7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300298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6E987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505CBE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743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E0C1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218FDB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26EC3F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23FC9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ECA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9A2C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13F4EE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367C8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F6BBB93"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4419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10E634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6A6A8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130059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33079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4646C2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23ADB0D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5964D4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0C4A9A1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表3-70  课堂评价总分总体描述统计</w:t>
      </w:r>
      <w:r>
        <w:rPr>
          <w:rFonts w:ascii="Times New Roman" w:eastAsia="黑体" w:hAnsi="Times New Roman" w:cs="Times New Roman"/>
        </w:rPr>
      </w:r>
      <w:r>
        <w:rPr>
          <w:rFonts w:ascii="Times New Roman" w:eastAsia="黑体" w:hAnsi="Times New Roman" w:cs="Times New Roman"/>
        </w:rPr>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0CD0D20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62B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AFD6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13EF9C28"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2159E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527CAC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644B2B6C"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A4653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70776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162CA6A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2CDB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18C69A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06989962"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A030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7054F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591AB2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2740FE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3711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6EA2C97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060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76B73C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4963BB90"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6180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1416CA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210AE31A"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121F51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5676A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39B714B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3FA29A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表3-71  课堂评价总分区间分布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2672400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FC22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C8F82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E619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7FBC9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B0F8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0FF4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672CA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37AD3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0A3259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2091F7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4A3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62A291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11A8D7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1566B7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3ACD3B03"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1ADC91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1AD7D1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648434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3EE037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6E5DAE5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1AF722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15F4F2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710C026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表3-72  五个评价维度的描述统计</w:t>
      </w:r>
      <w:r>
        <w:rPr>
          <w:rFonts w:ascii="Times New Roman" w:eastAsia="黑体" w:hAnsi="Times New Roman" w:cs="Times New Roman"/>
        </w:rPr>
      </w:r>
      <w:r>
        <w:rPr>
          <w:rFonts w:ascii="Times New Roman" w:eastAsia="黑体" w:hAnsi="Times New Roman" w:cs="Times New Roman"/>
        </w:rPr>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4016F16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C5A2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E8BA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499D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395385"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45C5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C7AA5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DE5B6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65D7D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BA8B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3815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419D86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33D9C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7DA666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73A4D4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15665D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312F7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599A83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580BCD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826B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286B5D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39E9AB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546DC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2FD5D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D070C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327D37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08D7C0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0E277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BD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8D7B1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75BA80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0ECFC7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54260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52EAC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12E85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6644C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3B1724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1A3F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09103B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ED6EA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25F37B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08D54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7868DF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A5D49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17DAA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5DEE6455"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01E7CE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4DE7F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56C681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186B4B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672A4D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5CFC0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4C710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4004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D8BED1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1C14626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表3-73  五维重复测量整体差异检验</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29CED40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0EEB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7A97A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19E2B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BE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62792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78741444"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7EA95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422EBF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167E58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081612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1C11C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183A755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15B4F94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表3-74  五维两两比较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500AF89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AFA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EF0F3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2874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038ED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EFB6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A422A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17571A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A500C0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6558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D0131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1E005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73176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9FB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A56B6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7B9611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5782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AA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631B18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218C11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D084E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B670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1AF82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3C5F3F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46A068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6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7BD17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C46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8E29E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D9F6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4EC202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3EF9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CEEAD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E76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0C319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7C21D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70F55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95BE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AB029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433944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8F719A7"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26295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4B09E5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55C6DC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4AA002B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779437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0C1416B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79B7BA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1889FCA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表3-75  不同学科课堂评价描述统计</w:t>
      </w:r>
      <w:r>
        <w:rPr>
          <w:rFonts w:ascii="Times New Roman" w:eastAsia="黑体" w:hAnsi="Times New Roman" w:cs="Times New Roman"/>
        </w:rPr>
      </w:r>
      <w:r>
        <w:rPr>
          <w:rFonts w:ascii="Times New Roman" w:eastAsia="黑体" w:hAnsi="Times New Roman" w:cs="Times New Roman"/>
        </w:rPr>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290773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AE1F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3060D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A28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02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EF52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0EBF5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CF49F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556F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E3505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3B6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0AC3A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A3E2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4E56D0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738EE2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B8672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7FE7F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00A2BC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3ED87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2A03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C68B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14CFC8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024261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7A21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11CCD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38FD6B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6D2232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140097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E6F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59A5FF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503ABA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1B8F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54677C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131E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12A0DA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3FE374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56EC3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BCE9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6B572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0AB474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47E2E1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6604C5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00C81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5ACB09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3A43C8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5DA3934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1548C4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23A0E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EF1B3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49914A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5E770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7AD2C8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0356F1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3985D0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6756E6F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0BE82E9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表3-76  英语学科低分记录的敏感性描述</w:t>
      </w:r>
      <w:r>
        <w:rPr>
          <w:rFonts w:ascii="Times New Roman" w:eastAsia="黑体" w:hAnsi="Times New Roman" w:cs="Times New Roman"/>
        </w:rPr>
      </w:r>
      <w:r>
        <w:rPr>
          <w:rFonts w:ascii="Times New Roman" w:eastAsia="黑体" w:hAnsi="Times New Roman" w:cs="Times New Roman"/>
        </w:rPr>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01F1657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50E1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D77DE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05E5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38BC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A2F082"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58D273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CD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00500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1910F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BFB3B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301962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0D5716A3"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1C9A18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5E98E7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AE529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34827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0CD2C8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610C10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26F43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1BAA0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6FB9C7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45389FA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表3-77  不同课例课堂评价得分及离散程度</w:t>
      </w:r>
      <w:r>
        <w:rPr>
          <w:rFonts w:ascii="Times New Roman" w:eastAsia="黑体" w:hAnsi="Times New Roman" w:cs="Times New Roman"/>
        </w:rPr>
      </w:r>
      <w:r>
        <w:rPr>
          <w:rFonts w:ascii="Times New Roman" w:eastAsia="黑体" w:hAnsi="Times New Roman" w:cs="Times New Roman"/>
        </w:rPr>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53BB2A2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529D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8113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DD46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E802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BFAD04"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5D3D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14242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81AE03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E4D1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ED421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B240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FB5E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20181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87BBD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1E1509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4B553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17D6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F983A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E17C3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30BC5E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4593B3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E4D7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0C7A4F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34BFF8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B443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4A00C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0B0E9B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4A7ABB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618706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404B8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143448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58D09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9AD6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621AC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74D82A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23D3C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E970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25F00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1A1D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397BA2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FD5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1524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2C0916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73C0DC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8D194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B2B80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3EF0DD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7E39EA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078C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7AE93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5F4AB2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4FC024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195128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597E9C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694B06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459E87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E838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DCB99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6DD11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9FE1D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54C67C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5D9E3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1AAEF9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1277CF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A41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332C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E8EFC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5E739B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41325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3D99D5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51B11B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58785EDD"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1952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0CC36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3E61B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46A9BE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7903AC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1CFB1F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68E5F1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1CDC37C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75397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CD74A9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表3-78  英语1课例的敏感性描述</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31FB5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55F7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077F0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A0BAA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4AE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3B89B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7EA7B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7F34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451CEE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1E5B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3B042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7BEAED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2FD55934"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036C38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69CEB8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8BB9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D45B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5BA86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26CBF63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79B132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1DF23E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71617A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43ADE30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表3-79  教师开放式评语主题编码频次</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6CFD7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EB32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E143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5B9F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312A6B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48E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0E092B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10D75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E301E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79B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2F7D15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6CA417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611423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FFC7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5D8DB8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20EDE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7F4BAE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4E0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220314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6B3585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0DD55B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7784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2524C6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0EEF4F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0E890E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127A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58E7FC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56E0F0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75B32D1B"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3AEBAA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7E0979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4C9470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75D64E9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39927C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43BC65F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2DA1B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314BD9B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表3-80  五维量化结构与开放文本的对应分析</w:t>
      </w:r>
      <w:r>
        <w:rPr>
          <w:rFonts w:ascii="Times New Roman" w:eastAsia="黑体" w:hAnsi="Times New Roman" w:cs="Times New Roman"/>
        </w:rPr>
      </w:r>
      <w:r>
        <w:rPr>
          <w:rFonts w:ascii="Times New Roman" w:eastAsia="黑体" w:hAnsi="Times New Roman" w:cs="Times New Roman"/>
        </w:rPr>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21A08308"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EBD7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C8BE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49AE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BA2D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8049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6BDE4BD9"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25CF8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5B077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DDC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01C74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55C7C5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1003533A"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A10BE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7F65C8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7ECF1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69B798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4364E0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609B5DC7"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A9C9B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1503B0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49882A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07D7C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7AF9EA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7491F9D8"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3698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42D307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34D6F4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572EC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14F420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6382879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1F2AC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46835C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874F3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79A5FA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6F852F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2197946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4F25EF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7D6C07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34701B2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4BCF2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6478E4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0CD1C54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68A069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表3-81  10节课教师与学生行为结构及教师主要行为时间</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1BAFC59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2C9C5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27761C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EE8F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F36A7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4881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6A9D49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CF7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AFDE5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5961E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1CCE0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6AA34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171CD2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28B3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77A2E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355BB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19CD55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45F0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FCC79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B540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F6A28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76A18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2D57C6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1B6514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100EA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EB1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9E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01BD47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5566E1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6DEE5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72B89A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48E5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4CF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54C2D0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50BCA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F678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526F33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02E8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A294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012D4D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4214D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46CF1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06E626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407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E7E25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1878B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69DA5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7BC1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B264E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66F1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643D5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236C7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13DADD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E7936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588AE2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929C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E8C6C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2C1E88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2A596A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352BF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CC0B992"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6328F2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4E65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04E6E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8CBC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CD39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89BFD4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3350E5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41780B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356FC7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1C3D43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表3-82  10节课学生主要学习行为时间分布</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26CA7D3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510C8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BA0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3733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B026B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B06A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54CFA7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2BD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2A2E0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D9C9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BF234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65CF17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016D55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57BA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98E0A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929DC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F67D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C2FC7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13D8B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02AA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FA4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7905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BC880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075F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C8DF9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541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46F2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8656F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67E3E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43FBE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02ECE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AA63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CC436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6A88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781156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C1D6E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74ACA0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C1B0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7A57F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3287A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2EEED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2902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64A81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341D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794DED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8AC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0AEEEB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AD69C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DBE08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4F21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DB653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BF08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9B37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5580B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7E70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4645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8D644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F0609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5BA49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6B34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25E1394A"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053DF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35569E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570A6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465EE9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422BD0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4C5F80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表3-83  学生主要学习行为的描述统计</w:t>
      </w:r>
      <w:r>
        <w:rPr>
          <w:rFonts w:ascii="Times New Roman" w:eastAsia="黑体" w:hAnsi="Times New Roman" w:cs="Times New Roman"/>
        </w:rPr>
      </w:r>
      <w:r>
        <w:rPr>
          <w:rFonts w:ascii="Times New Roman" w:eastAsia="黑体" w:hAnsi="Times New Roman" w:cs="Times New Roman"/>
        </w:rPr>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756E638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BF9C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FF431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0D6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B0DF3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6FA73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21EDEA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C68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56706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17297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35BC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6C9818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52C46A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41C0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8838B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8C92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0D899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00803D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4EBB77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4824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EB9A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337E2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1F6D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252670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DB682A8"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08F681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73C356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27D2A6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575CD1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1ED6B3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4DBF25F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39208B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085A0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11603F2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3463F8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7A38F40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表3-84  10节课师生问答与学生讨论时间</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2D552BF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F7169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29D1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4F77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A18AC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07407D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557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1896F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08E1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62EAA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3CE13B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8C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BB660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9DEE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BD246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43D16B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BF99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C6F1E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0458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7B98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92A2D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1419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282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8DA98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5293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2A00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328F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8A9F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B961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87AAC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19A9C3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509D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BA33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44620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1594B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55482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D01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6A2FCB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6992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D9EEF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51278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C5A3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512D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D50E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E99E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017365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AE9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CEAC3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67A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41194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753B0910"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43003E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B5E8D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56874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434626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4D7A2F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0F94F7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60F984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表3-85  6节课提问认知层级分布</w:t>
      </w:r>
      <w:r>
        <w:rPr>
          <w:rFonts w:ascii="Times New Roman" w:eastAsia="黑体" w:hAnsi="Times New Roman" w:cs="Times New Roman"/>
        </w:rPr>
      </w:r>
      <w:r>
        <w:rPr>
          <w:rFonts w:ascii="Times New Roman" w:eastAsia="黑体" w:hAnsi="Times New Roman" w:cs="Times New Roman"/>
        </w:rPr>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479CCE07"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680C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5C1EE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290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DDE82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406C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A045A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9DB5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46A7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79AC85A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598C5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0D8BD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5F472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DE111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E767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2A5B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7120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3F2EE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EA5F947"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A90C3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EA79E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F6708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ECA7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86B2A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25737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66F7ED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067F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139C9770"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058FD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FC10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0FFCE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09F64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DD1C7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E57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A3D7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D7F31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73F8E6C"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796A53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F0EFE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4250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4101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102D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FADB7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1661B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3EB315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131B8878"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5C47BE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77136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D50BB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2E6E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95ED6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665D5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BB48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7751E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1D0E9DA4"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224F28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51D2A1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7A5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2809BE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D267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5AD46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287C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ED002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54C2633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4065D9A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表3-86  6节课提问认知层级总体结构</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5D142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E5BA1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5DEFC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C4AA9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656E353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DE61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1941FC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138EB9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6B7DD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FC6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21CDE09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722E0B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81EF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E5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62FFD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0BA8DC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046353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9DB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6BBD4D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584905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567F0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8F50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1A85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6E8953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4A825A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8E6E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36431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80031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49C1CCD"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05D074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2905C1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5CDD6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6409A6E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155FD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3ADAFB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DFAB3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5D462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 xml:space="preserve">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vertAlign w:val="superscript"/>
        </w:rPr>
        <w:footnoteReference w:id="123"/>
      </w:r>
      <w:r>
        <w:rPr>
          <w:rFonts w:ascii="Times New Roman" w:eastAsia="宋体" w:hAnsi="Times New Roman" w:cs="Times New Roman"/>
          <w:kern w:val="0"/>
          <w:sz w:val="24"/>
        </w:rPr>
        <w:t xml:space="preserve">。希沃数据为教师提供了不依赖自我感觉的课堂结构信息，但这些信息只描述行为发生的时间和频次，教师仍需结合学习目标和学生表现解释其意义。</w:t>
      </w:r>
    </w:p>
    <w:p w14:paraId="0FE25A5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79B04DB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表3-87  希沃AI原始反馈文本编码示例</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43E35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A323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A334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1244B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6706E7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C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711314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03F848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31253EB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F4E7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645B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144188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6DEF25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E40B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53AAA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553BB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555666A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73C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67888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92396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0E92AC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C9E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6F516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21C145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698A933D"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2BE2A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11E9E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7EA3B6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043F78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1203A0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303C39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116C49B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02552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18E0EF7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08508D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1559874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26A6F0C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30CAC0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D6EE6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93FDB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12786BC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4F72DA1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D34A7A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0F86FC"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26BA2D9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587E6EE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426342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8AA5BD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4A91DAA9"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46A106C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571177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9D1221"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4ACD722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7992E4E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8ECF0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A7F56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D7DAE42"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434572C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364645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D69F8C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357ACE3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7EB5914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A51775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25B204B"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CF283C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78A12D99"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16924B0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0555DC8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9F93633"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5A5F36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11AA5B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4F8648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6D87C8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0D1C5C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1415D0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23FDDF6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5D716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61A4B3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971E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8595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15D4D3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20C876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4579B5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692670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02BCA35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19D21C71"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2C99C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23BA580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3ED038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551DCB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730D59F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40F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178E1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4577FE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277A9A1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25764AB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0"/>
                    <a:stretch>
                      <a:fillRect/>
                    </a:stretch>
                  </pic:blipFill>
                  <pic:spPr>
                    <a:xfrm>
                      <a:off x="0" y="0"/>
                      <a:ext cx="4229735" cy="2561590"/>
                    </a:xfrm>
                    <a:prstGeom prst="rect">
                      <a:avLst/>
                    </a:prstGeom>
                  </pic:spPr>
                </pic:pic>
              </a:graphicData>
            </a:graphic>
          </wp:inline>
        </w:drawing>
      </w:r>
    </w:p>
    <w:p w14:paraId="461CE03D"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5CD35F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411D4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355B535F"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B0FB224"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1431E6A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96B14E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0E83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3DDFA1B"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05D0C67D"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7BD4EFA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B9A329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59289FE"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51C49A48"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7E5FA128"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35B6760A"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DB36E0"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65901DC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B20C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724576A"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783A6C6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745D7EA9"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41D1121B"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CB06144"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6C41928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4D4593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16EF2E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5869B85F"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AD30BA5"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3D72B1CD"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741BDEDC"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010695D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9E775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C553706"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0C2CA2AC"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27694A85"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0D5CA656"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3665F8CD"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6714FCC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4AFD40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66698A"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BEB9359"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07808A5D"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6948BAC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2631FF1F"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06B39BD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B32918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E0587BD"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45353121"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4AAA62B"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1B577AB"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9BCAFDD"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614118E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36E1F7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2B9A69E"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4739D071"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0FFE5F1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2C9389C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31900D1"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535C07D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964707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D3B615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2A114355"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7350E4B9"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1638D0A"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3266776"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570F9233"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CA6811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6AB397C9"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06D2F5F4"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63255C0"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341084DC"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78C5CB27"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0B68921C"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45B9FF0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0B78CA7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33FC0F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67F6D368"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031935DF"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1"/>
                    <a:stretch>
                      <a:fillRect/>
                    </a:stretch>
                  </pic:blipFill>
                  <pic:spPr>
                    <a:xfrm>
                      <a:off x="0" y="0"/>
                      <a:ext cx="4427855" cy="2171700"/>
                    </a:xfrm>
                    <a:prstGeom prst="rect">
                      <a:avLst/>
                    </a:prstGeom>
                  </pic:spPr>
                </pic:pic>
              </a:graphicData>
            </a:graphic>
          </wp:inline>
        </w:drawing>
      </w:r>
    </w:p>
    <w:p w14:paraId="79344D80" w14:textId="77777777" w:rsidR="000B1CCE" w:rsidRDefault="00000000">
      <w:pPr>
        <w:spacing w:before="40" w:after="160"/>
        <w:jc w:val="left"/>
      </w:pPr>
      <w:r>
        <w:rPr>
          <w:rFonts w:ascii="Times New Roman" w:eastAsia="华文楷体" w:hAnsi="Times New Roman" w:cs="Times New Roman"/>
          <w:sz w:val="18"/>
        </w:rPr>
        <w:t>高阶思维各维度沿用学生问卷的分析、评价、创造三个测量维度，与模型2.0的维度一致。</w:t>
      </w:r>
    </w:p>
    <w:p w14:paraId="668E2F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77B2A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1AB828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260238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E474C3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50443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63BD717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75B78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1D2F2D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35E158C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11744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4B542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08CAF6C2"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268B6310"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D692E24"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71C07B9"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612C96"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FF82B04"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1E971EF5"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30D2FA9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4C643048"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3A9D215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3914984A"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662323A0"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6D1A9BAC" w14:textId="77777777" w:rsidR="000B1CCE" w:rsidRDefault="00000000">
            <w:pPr>
              <w:spacing w:before="20" w:after="20"/>
              <w:jc w:val="center"/>
            </w:pPr>
            <w:r>
              <w:rPr>
                <w:rFonts w:ascii="Times New Roman" w:eastAsia="宋体" w:hAnsi="Times New Roman" w:cs="Times New Roman"/>
              </w:rPr>
              <w:t>0.940</w:t>
            </w:r>
          </w:p>
        </w:tc>
      </w:tr>
      <w:tr w:rsidR="000B1CCE" w14:paraId="338DB16D"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28E34181"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3154A783"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7AB2888"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1C3E9804"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285A842E" w14:textId="77777777" w:rsidR="000B1CCE" w:rsidRDefault="00000000">
            <w:pPr>
              <w:spacing w:before="20" w:after="20"/>
              <w:jc w:val="center"/>
            </w:pPr>
            <w:r>
              <w:rPr>
                <w:rFonts w:ascii="Times New Roman" w:eastAsia="宋体" w:hAnsi="Times New Roman" w:cs="Times New Roman"/>
              </w:rPr>
              <w:t>0.852</w:t>
            </w:r>
          </w:p>
        </w:tc>
      </w:tr>
      <w:tr w:rsidR="000B1CCE" w14:paraId="2D0C2F9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5DDC7ED5"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6EFAA238"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02E2D51"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268D305A"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1184C1D1" w14:textId="77777777" w:rsidR="000B1CCE" w:rsidRDefault="00000000">
            <w:pPr>
              <w:spacing w:before="20" w:after="20"/>
              <w:jc w:val="center"/>
            </w:pPr>
            <w:r>
              <w:rPr>
                <w:rFonts w:ascii="Times New Roman" w:eastAsia="宋体" w:hAnsi="Times New Roman" w:cs="Times New Roman"/>
              </w:rPr>
              <w:t>0.852</w:t>
            </w:r>
          </w:p>
        </w:tc>
      </w:tr>
      <w:tr w:rsidR="000B1CCE" w14:paraId="7FBD2F7D"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478A8454"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8036781"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5A6834D"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007E6BC"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4A2B71E5" w14:textId="77777777" w:rsidR="000B1CCE" w:rsidRDefault="00000000">
            <w:pPr>
              <w:spacing w:before="20" w:after="20"/>
              <w:jc w:val="center"/>
            </w:pPr>
            <w:r>
              <w:rPr>
                <w:rFonts w:ascii="Times New Roman" w:eastAsia="宋体" w:hAnsi="Times New Roman" w:cs="Times New Roman"/>
              </w:rPr>
              <w:t>0.852</w:t>
            </w:r>
          </w:p>
        </w:tc>
      </w:tr>
    </w:tbl>
    <w:p w14:paraId="17D3B8F6"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306B74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25512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34FB62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2AEE063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8720065"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2"/>
                    <a:stretch>
                      <a:fillRect/>
                    </a:stretch>
                  </pic:blipFill>
                  <pic:spPr>
                    <a:xfrm>
                      <a:off x="0" y="0"/>
                      <a:ext cx="4352925" cy="2272665"/>
                    </a:xfrm>
                    <a:prstGeom prst="rect">
                      <a:avLst/>
                    </a:prstGeom>
                  </pic:spPr>
                </pic:pic>
              </a:graphicData>
            </a:graphic>
          </wp:inline>
        </w:drawing>
      </w:r>
    </w:p>
    <w:p w14:paraId="1885D8F1"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61E05C8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7749C1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639499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56E2958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4D8F5A39"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3"/>
                    <a:stretch>
                      <a:fillRect/>
                    </a:stretch>
                  </pic:blipFill>
                  <pic:spPr>
                    <a:xfrm>
                      <a:off x="0" y="0"/>
                      <a:ext cx="4498975" cy="2347595"/>
                    </a:xfrm>
                    <a:prstGeom prst="rect">
                      <a:avLst/>
                    </a:prstGeom>
                  </pic:spPr>
                </pic:pic>
              </a:graphicData>
            </a:graphic>
          </wp:inline>
        </w:drawing>
      </w:r>
    </w:p>
    <w:p w14:paraId="0F85120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7F12524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7CEBCB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7CE5403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01DE70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4D9A4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31988C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44575B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667019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vertAlign w:val="superscript"/>
        </w:rPr>
        <w:footnoteReference w:id="124"/>
      </w:r>
      <w:r>
        <w:rPr>
          <w:rFonts w:ascii="Times New Roman" w:eastAsia="宋体" w:hAnsi="Times New Roman" w:cs="Times New Roman"/>
          <w:kern w:val="0"/>
          <w:sz w:val="24"/>
        </w:rPr>
        <w:t xml:space="preserve">。</w:t>
      </w:r>
    </w:p>
    <w:p w14:paraId="758A61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58C670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4FC8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50DD26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4F17E4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296EF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535E6A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6832CA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4B6B3796"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F85EC69"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FCB7F51"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CE013FA" w14:textId="77777777" w:rsidR="000B1CCE" w:rsidRDefault="00000000">
            <w:pPr>
              <w:spacing w:before="20" w:after="20"/>
              <w:jc w:val="center"/>
            </w:pPr>
            <w:r>
              <w:rPr>
                <w:rFonts w:ascii="Times New Roman" w:eastAsia="宋体" w:hAnsi="Times New Roman" w:cs="Times New Roman"/>
                <w:b/>
              </w:rPr>
              <w:t>主要证据</w:t>
            </w:r>
          </w:p>
        </w:tc>
      </w:tr>
      <w:tr w:rsidR="000B1CCE" w14:paraId="7140E74C"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B404032"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1AEB9BAD"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5BC009B2"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7A19E1CD"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1F6558E"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23D07AC"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3A5C1838"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7C0E5FB3"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4DF85DEC"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4C380884"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1CAB8B5E"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04B916FA"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4E7A4BF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44C118D3"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EE2252D"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4BB33050"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34514F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2E618E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B1EAC7"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1788CD3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76360A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1238083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0A9F36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18F7489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61A898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1BF529A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 xml:space="preserve">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vertAlign w:val="superscript"/>
        </w:rPr>
        <w:footnoteReference w:id="125"/>
      </w:r>
      <w:r>
        <w:rPr>
          <w:rFonts w:ascii="Times New Roman" w:eastAsia="宋体" w:hAnsi="Times New Roman" w:cs="Times New Roman"/>
          <w:kern w:val="0"/>
          <w:sz w:val="24"/>
        </w:rPr>
        <w:t xml:space="preserve">。</w:t>
      </w:r>
    </w:p>
    <w:p w14:paraId="274C47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34577D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1B860493"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 陈丽莎, 翁绮睿, 彭正梅. 成为自己的教师：“可见的学习”视野下的学生自评能力研究[J]. 教育发展研究, 2023, 43(22): 38-54.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 陈丽莎, 伍绍杨. 唤醒家庭的力量[J]. 上海教育, 2025(26): 50-51.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 陈添. 认识你的领导力：以可见的学习重塑教育变革[J]. 上海教育, 2025(26): 48-49.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 高嘉诚, 梁锦芳. “可见的学习”视域下学生自评力培养的实践[J]. 上海教育, 2025(26): 52-53.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 高妍, 缪秋英, 邓莉. DIIE模式：一种教师可以共享的教学语言[J]. 上海教育, 2025(26): 40-41.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 何光友, 沈勍, 伍绍杨. 可见的学习视角下的项目化设计[J]. 上海教育, 2025(26): 44-45.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 黄忠敬, 王倩, 陈唤春, 等. 交往能力：中国青少年社会与情感能力测评分报告之五[J]. 华东师范大学学报（教育科学版）, 2021, 39(9): 93-108. DOI:10.16382/j.cnki.1000-5560.2021.09.006.</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 教育部. 义务教育课程方案（2022年版）[S]. 北京: 北京师范大学出版社, 2022.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[9] 教育部办公厅. 基础教育课程教学改革深化行动方案（教材厅函〔2023〕3号）[EB/OL]. [2026-10-19]. https://www.gov.cn/zhengce/zhengceku/202306/content_6884785.htm.</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[10] 教育部基础教育教学指导委员会. 中小学生成式人工智能使用指南（2025年版）[EB/OL]. (2025-05-12)[2026-10-19]. https://www.chinanews.com.cn/cj/2025/05-12/10414191.shtml.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[11] 李茂森, 祝蕾蕾. 中小学课堂教学反馈的现实困境与改进路径：基于哈蒂“可见的学习”的视角[J]. 教育发展研究, 2022, 42(20): 77-84.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[12] 林心悦. 卓越教师的三个形象与十个心智框架[J]. 上海教育, 2025(26): 46-47.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[13] 马淑风, 杨向东. 什么才是高阶思维？——以“新旧知识关系建立”为核心的高阶思维概念框架[J]. 华东师范大学学报（教育科学版）, 2022, 40(11): 58-68. DOI:10.16382/j.cnki.1000-5560.2022.11.005.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[14] 马梓越, 沈勍, 伍绍杨. 可见的学习与学科教学应用[J]. 上海教育, 2025(26): 42-43.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[15] 彭正梅. 寻求教学的“圣杯”：论哈蒂《可见的学习》及教育学的实证倾向[J]. 教育发展研究, 2015, 35(6): 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[16] 彭正梅, 施芳婷, 伍绍杨. 卓越教师的10个心智框架：《可见的学习》与《学记》的比较[J]. 湖南师范大学教育科学学报, 2022, 21(5): 23-31.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[17] 彭正梅, 伍绍杨. 可见的学习：从理论探索到实践创新[J]. 上海教育, 2025(26): 26-28.</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[18] 彭正梅, 伍绍杨, 邓莉. 如何培养高阶能力：哈蒂“可见的学习”的视角[J]. 教育研究, 2019, 40(5): 76-85.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[19] 邱惠芬. “可见的学习”视域下初中化学学科实践学习分析框架的建构[J]. 化学教学, 2024(2): 27-33.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[20] 上海市教育委员会. 上海市初中学业水平考试实施办法（沪教委规〔2019〕2号）[Z]. 2019.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[21] 上海市教育委员会. 上海市初中学生综合素质评价实施办法（沪教委规〔2019〕3号）[Z]. 2019.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[22] 上海市教育委员会. 上海市普通高中课程实施方案[Z]. 2021.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[23] 上海市教育委员会. 关于实施项目化学习推动义务教育育人方式改革的指导意见（沪教委基〔2023〕24号）[EB/OL]. (2023-09-01)[2026-10-19]. https://edu.sh.gov.cn/xxgk2_zdgz_jcjy_01/20230901/d22c1043024d4d0e9d32b85fd3392186.html.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[24] 沈勍. 基于“可见的学习”，探索学生高阶能力培养[J]. 上海教育, 2025(26): 54-55.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[25] 沈勍, 伍绍杨. 高阶能力的培养之道[J]. 上海教育, 2025(26): 36-37.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[26] 施芳婷. 重新评估学校成功学习的条件[J]. 上海教育, 2025(26): 29-31.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[27] 石修银. 基于“可见的学习”理论的语文教学设计、过程及评价[J]. 课程·教材·教法, 2021, 41(8): 83-89.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[28] 温英贝, 伍绍杨. 有效反馈的艺术[J]. 上海教育, 2025(26): 38-39.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[29] 伍绍杨. 可见的学习：未完成的故事[J]. 基础教育, 2015, 12(5): 107-112.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[30] 伍绍杨. 可见的学习的全球迁移[J]. 上海教育, 2025(26): 32-33.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[31] 伍绍杨, 彭正梅. 迈向更有效的反馈：哈蒂“可见的学习”的模式[J]. 开放教育研究, 2021, 27(4): 27-40.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[32] 伍绍杨, 彭正梅. 学习科学证明了什么：哈蒂“可见的学习”的视角[J]. 教育发展研究, 2025, 45(8): 39-50.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[33] 伍绍杨, 彭正梅. 教育知识的全球迁移与重构：以“可见的学习”为例[J]. 比较教育研究, 2026, 48(3): 92-101.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[34] 伍绍杨, 施芳婷, 彭正梅. 哪些因素对学业成就的影响最大：基于对“哈蒂排名”和PISA-TALIS的分析[J]. 外国教育研究, 2023, 50(7): 58-82.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[35] 杨振峰. 素养立意的课程建设与教学变革[EB/OL]. (2025-01-14)[2026-10-19]. https://www.eol.cn/news/xueshu/hui/202501/t20250114_2651182.shtml.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[36] 袁振国, 黄忠敬, 王纮, 等. 中国青少年社会与情感能力发展水平报告——基于第二轮SSES测评数据[J]. 华东师范大学学报（教育科学版）, 2024, 42(5): 1-32. DOI:10.16382/j.cnki.1000-5560.2024.05.001.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[37] 张诗琪. 学习的九个基本原则[J]. 上海教育, 2025(26): 34-35.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[38] 中共中央, 国务院. 深化新时代教育评价改革总体方案[EB/OL]. (2020-10-13)[2026-10-19]. https://www.gov.cn/zhengce/2020-10/13/content_5551032.htm.</w:t>
      </w:r>
    </w:p>
    <w:p w14:paraId="3E5FA7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[39] ABRAMI P C, BERNARD R M, BOROKHOVSKI E, et al. Strategies for teaching students to think critically: A meta-analysis[J]. Review of Educational Research, 2015, 85(2): 275-314.</w:t>
      </w:r>
    </w:p>
    <w:p w14:paraId="76A55D2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[40] ANDERSON L W, KRATHWOHL D R. A taxonomy for learning, teaching, and assessing: A revision of Bloom's taxonomy of educational objectives[M]. New York: Longman, 2001.</w:t>
      </w:r>
    </w:p>
    <w:p w14:paraId="40F27E8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[41] BERGERON L, ROGERS L. Teaching the Theory of Knowledge course in IB World Schools[R]. La Crosse: University of Wisconsin-La Crosse, 2015.</w:t>
      </w:r>
    </w:p>
    <w:p w14:paraId="31EBC14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[42] BERGERON P J, RIVARD L. How to engage in pseudoscience with real data: A criticism of John Hattie's arguments in Visible Learning from the perspective of a statistician[J]. McGill Journal of Education, 2017, 52(1): 237-246.</w:t>
      </w:r>
    </w:p>
    <w:p w14:paraId="3C6387C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[43] BIGGS J. What the student does: Teaching for enhanced learning[J]. Higher Education Research &amp; Development, 1999, 18(1): 57-75. DOI:10.1080/0729436990180105.</w:t>
      </w:r>
    </w:p>
    <w:p w14:paraId="515CD1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[44] BOUCKAERT M. The assessment of students' creative and critical thinking skills in higher education across OECD countries: A review of policies and related practices[R]. Paris: OECD Publishing, 2023. DOI:10.1787/35dbd439-en.</w:t>
      </w:r>
    </w:p>
    <w:p w14:paraId="70D2B8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[45] BROWN C, GREANY T. The evidence-informed school system in England: Where should school leaders be focusing their efforts?[J]. Leadership and Policy in Schools, 2018, 17(1): 115-137. DOI:10.1080/15700763.2016.1270330.</w:t>
      </w:r>
    </w:p>
    <w:p w14:paraId="5EEA628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[46] CASEL. CASEL's SEL framework: What are the core competence areas and where are they promoted?[R]. Chicago: Collaborative for Academic, Social, and Emotional Learning, 2020.</w:t>
      </w:r>
    </w:p>
    <w:p w14:paraId="60D265E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[47] CHEN S, CHEUNG A C K. Effect of generative artificial intelligence on university students learning outcomes: A systematic review and meta-analysis[J]. Educational Research Review, 2025, 49: 100737. DOI:10.1016/j.edurev.2025.100737.</w:t>
      </w:r>
    </w:p>
    <w:p w14:paraId="029C23B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[48] COHEN L, MANION L, MORRISON K. Research methods in education[M]. 7th ed. London: Routledge, 2011.</w:t>
      </w:r>
    </w:p>
    <w:p w14:paraId="3B13D4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[49] COLE D R, ULLMAN J, GANNON S, et al. Critical thinking skills in the International Baccalaureate's 'Theory of Knowledge' subject: Findings from an Australian study[J]. Australian Journal of Education, 2015, 59(3): 247-264.</w:t>
      </w:r>
    </w:p>
    <w:p w14:paraId="02D8108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[50] COWEN N, CARTWRIGHT N, VIRK B, et al. Making the most of the evidence: Evidence-based policy in the classroom[R]. Durham: Durham University, 2015.</w:t>
      </w:r>
    </w:p>
    <w:p w14:paraId="35FEB0C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[51] CRESWELL J W, CRESWELL J D. Research design: Qualitative, quantitative, and mixed methods approaches[M]. 6th ed. Thousand Oaks: SAGE, 2022.</w:t>
      </w:r>
      <w:proofErr w:type="gramStart"/>
      <w:proofErr w:type="gramEnd"/>
    </w:p>
    <w:p w14:paraId="06D1BD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[52] DE JONG T, LAZONDER A W, CHINN C A, et al. Let's talk evidence – The case for combining inquiry-based and direct instruction[J]. Educational Research Review, 2023, 39: 100536. DOI:10.1016/j.edurev.2023.100536.</w:t>
      </w:r>
      <w:proofErr w:type="spellStart"/>
      <w:proofErr w:type="spellEnd"/>
      <w:proofErr w:type="spellStart"/>
      <w:proofErr w:type="spellEnd"/>
      <w:proofErr w:type="spellStart"/>
      <w:proofErr w:type="spellEnd"/>
    </w:p>
    <w:p w14:paraId="3765B95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[53] DU Y, YUAN Y. Epistemic dependence in AI-mediated learning[J/OL]. AI &amp; Society, 2026. DOI:10.1007/s00146-026-03294-1.</w:t>
      </w:r>
    </w:p>
    <w:p w14:paraId="5482FF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[54] DURLAK J A, WEISSBERG R P, DYMNICKI A B, et al. The impact of enhancing students' social and emotional learning: A meta-analysis of school-based universal interventions[J]. Child Development, 2011, 82(1): 405-432.</w:t>
      </w:r>
    </w:p>
    <w:p w14:paraId="408C643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[55] EACOTT S. Ranting, raving and complaining: Reflections on working against orthodoxy[J]. International Journal of Leadership in Education, 2019, 22(6): 774-782.</w:t>
      </w:r>
      <w:proofErr w:type="spellEnd"/>
    </w:p>
    <w:p w14:paraId="64EC5C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[56] EDOVALD T, NEVILL C. Working out what works: The case of the Education Endowment Foundation in England[J]. ECNU Review of Education, 2021, 4(1): 46-64.</w:t>
      </w:r>
    </w:p>
    <w:p w14:paraId="5AA59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[57] FREDENS K. Synlig læring og læringens anatomi[J]. Paideia, 2015(9): 70-75.</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8E78A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[58] GOLOVCHIN M A. What kind of teacher does the 'school of the future' need? Possibility of using John Hattie's approach in Russian education[J]. Economic and Social Changes: Facts, Trends, Forecast, 2019, 12(5): 229-242.</w:t>
      </w:r>
      <w:proofErr w:type="spellEnd"/>
    </w:p>
    <w:p w14:paraId="5AB7F87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[59] GÜNGÖR F, ALTUNBAŞAK İ, AYDIN A T, et al. A second-order meta-analysis on the effects of cooperative learning on students' academic achievement, higher-order thinking, and affective behaviors[J]. Current Psychology, 2026, 45: 552. DOI:10.1007/s12144-025-08943-0.</w:t>
      </w:r>
      <w:proofErr w:type="spellStart"/>
      <w:proofErr w:type="spellEnd"/>
    </w:p>
    <w:p w14:paraId="5EC4880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[60] GUO H, ZHOU Z, MA F. Effect of training programs on the creativity of university students: A multi-level meta-analysis[J]. Thinking Skills and Creativity, 2025, 56: 101779. DOI:10.1016/j.tsc.2025.101779.</w:t>
      </w:r>
    </w:p>
    <w:p w14:paraId="34A2A23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[61] HATTIE J. What is the nature of evidence that makes a difference to learning?[C]//Using data to support learning: Proceedings of the ACER Research Conference 2005. Melbourne: Australian Council for Educational Research, 2005: 11-21.</w:t>
      </w:r>
    </w:p>
    <w:p w14:paraId="5E3540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[62] HATTIE J. The applicability of Visible Learning to higher education[J]. Scholarship of Teaching and Learning in Psychology, 2015, 1(1): 79-91.</w:t>
      </w:r>
    </w:p>
    <w:p w14:paraId="3BF6E91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[63] HATTIE J, TIMPERLEY H. The power of feedback[J]. Review of Educational Research, 2007, 77(1): 81-112.</w:t>
      </w:r>
    </w:p>
    <w:p w14:paraId="0A58619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[64] HIGGINS S. Meta-synthesis and comparative meta-analysis of education research findings: Some risks and benefits[J]. Review of Education, 2016, 4(1): 31-53.</w:t>
      </w:r>
    </w:p>
    <w:p w14:paraId="7BA374C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[65] HUGHES C. Theory of Knowledge aims, objectives and assessment criteria: An analysis of critical thinking descriptors[J]. Journal of Research in International Education, 2014, 13(1): 30-45. DOI:10.1177/1475240914528084.</w:t>
      </w:r>
      <w:proofErr w:type="gramStart"/>
      <w:proofErr w:type="gramEnd"/>
    </w:p>
    <w:p w14:paraId="48C2E6B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[66] JORNITZ S, KLINGE D. "Bildung" as a forgotten aspect of algorithmic technologies[M]//PARREIRA DO AMARAL M, THOMPSON C. Geopolitical transformations in higher education. Cham: Springer, 2022: 231-249.</w:t>
      </w:r>
      <w:proofErr w:type="spellStart"/>
      <w:proofErr w:type="spellEnd"/>
    </w:p>
    <w:p w14:paraId="781A6C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[67] KELLY P, BECK A, HOFBAUER S. Comparing school leaders' experiences of research use in England, Scotland and Germany[J]. Review of Education, 2025, 13(1): e70058. DOI:10.1002/rev3.70058.</w:t>
      </w:r>
    </w:p>
    <w:p w14:paraId="28CF982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[68] KNUDSEN H. John Hattie: I'm a statistician, I'm not a theoretician[J]. Nordic Journal of Studies in Educational Policy, 2017, 3(3): 253-261.</w:t>
      </w:r>
    </w:p>
    <w:p w14:paraId="3F0CF4A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[69] KUHN D, CHENEY R, WEINSTOCK M. The development of epistemological understanding[J]. Cognitive Development, 2000, 15(3): 309-328.</w:t>
      </w:r>
    </w:p>
    <w:p w14:paraId="6F124E0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[70] LEI H, DING Y, CHIU M M. The effect of graphic organizers on cultivating higher-order thinking: Evidence from a meta-analysis[J]. Educational Research Review, 2026, 52: 100822. DOI:10.1016/j.edurev.2026.100822.</w:t>
      </w:r>
    </w:p>
    <w:p w14:paraId="2C487EE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[71] LI C, CUI H, HAGEDORN L S. The cognitive impact of ChatGPT in higher education: A systematic review of critical and creative thinking outcomes[J]. Computers and Education: Artificial Intelligence, 2026, 10: 100571. DOI:10.1016/j.caeai.2026.100571.</w:t>
      </w:r>
    </w:p>
    <w:p w14:paraId="7439DA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[72] LIU J, MBOWE A E, TAHRI D, et al. Meta-analysis on the influence of AI agents on K-12 student cognitive performance[J]. Computers in Human Behavior Reports, 2026, 21: 100973. DOI:10.1016/j.chbr.2026.100973.</w:t>
      </w:r>
      <w:proofErr w:type="spellStart"/>
      <w:proofErr w:type="spellEnd"/>
    </w:p>
    <w:p w14:paraId="6A807E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[73] MCDONNELL L M, WEATHERFORD M S. Evidence use and the Common Core State Standards movement: From problem definition to policy adoption[J]. American Journal of Education, 2013, 120(1): 1-25. DOI:10.1086/673163.</w:t>
      </w:r>
    </w:p>
    <w:p w14:paraId="5E8597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[74] NIELSEN K, KLITMØLLER J. Blind spots in visible learning: A critique of John Hattie as an educational theorist[J]. Nordic Psychology, 2021.</w:t>
      </w:r>
    </w:p>
    <w:p w14:paraId="4610689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[75] NORDAHL T. Visible Learning som grunnlag for evidens og forbedringsarbeid i utdanningssystemet[J]. Paideia, 2015(9): 61-69.</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88C0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[76] OECD. Beyond academic learning: First results from the Survey of Social and Emotional Skills[R]. Paris: OECD Publishing, 2021.</w:t>
      </w:r>
    </w:p>
    <w:p w14:paraId="5F3B59E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[77] PARK J H, MYSZKOWSKI N, NIU W. Exploring the intersection of creativity and critical thinking among students: A meta-analysis[J]. Thinking Skills and Creativity, 2026, 60: 102119. DOI:10.1016/j.tsc.2025.102119.</w:t>
      </w:r>
    </w:p>
    <w:p w14:paraId="02F3F35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[78] QVORTRUP L. Baggrund for og diskussioner af Visible Learning med særligt henblik på lærings- og vidensbegrebet[J]. Paideia, 2015(9): 22-33.</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3CA377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[79] RICKINSON M, WALSH L, GLEESON J, et al. Using research well in educational practice[M]//RÉVAI N. Who cares about using education research in policy and practice? Strengthening research engagement. Paris: OECD Publishing, 2022: 182-199. DOI:10.1787/d7ff793d-en.</w:t>
      </w:r>
      <w:proofErr w:type="spellStart"/>
      <w:proofErr w:type="spellEnd"/>
      <w:proofErr w:type="gramStart"/>
      <w:proofErr w:type="gramEnd"/>
    </w:p>
    <w:p w14:paraId="5FBE2C7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[80] RUNCO M A, MAMMADOV S, SUI D, et al. Second-order meta-analysis of the creativity research[J/OL]. Creativity Research Journal, 2026. DOI:10.1080/10400419.2026.2644245.</w:t>
      </w:r>
    </w:p>
    <w:p w14:paraId="1DBDB5F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[81] SNOOK I, O'NEILL J, CLARK J, et al. Invisible learnings? A commentary on John Hattie's book: Visible learning: A synthesis of over 800 meta-analyses relating to achievement[J]. New Zealand Journal of Educational Studies, 2009, 44(1): 93-106.</w:t>
      </w:r>
    </w:p>
    <w:p w14:paraId="11FA968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[82] STEINER-KHAMSI G, MARTENS K, YDESEN C. Governance by numbers 2.0: Policy brokerage as an instrument of global governance in the era of information overload[J]. Comparative Education, 2024, 60(4): 537-554.</w:t>
      </w:r>
    </w:p>
    <w:p w14:paraId="556E868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[83] TERHART E. Has John Hattie really found the holy grail of research on teaching? An extended review of Visible Learning[J]. Journal of Curriculum Studies, 2011, 43(3): 425-438.</w:t>
      </w:r>
      <w:proofErr w:type="spellEnd"/>
    </w:p>
    <w:p w14:paraId="0C2C953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[84] ÜNAL E, KAYA M, UZUN A M, et al. A second-order meta-analysis on the effects of artificial intelligence applications on student outcomes[J]. Journal of Educational Computing Research, 2026, 64(5): 1360-1389. DOI:10.1177/07356331261424767.</w:t>
      </w:r>
    </w:p>
    <w:p w14:paraId="2564DEC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[85] WECKER C, VOGEL F, HETMANEK A. Visionär und imposant – aber auch belastbar? Eine Kritik der Methodik von Hatties Visible Learning[J]. Zeitschrift für Erziehungswissenschaft, 2016, 20: 21-40. DOI:10.1007/s11618-016-0696-0.</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C27D6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[86] WU J Y, LEE Y H, CHAI C S, et al. Strengthening human epistemic agency in the symbiotic learning partnership with generative artificial intelligence[J]. Educational Researcher, 2025, 54(6): 358-368. DOI:10.3102/0013189X251333628.</w:t>
      </w:r>
    </w:p>
    <w:p w14:paraId="2552032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[87] ZEMPLÉN G Á. Conflicting agendas: Critical thinking versus science education in the International Baccalaureate Theory of Knowledge course[J]. Science &amp; Education, 2007, 16: 167-196.</w:t>
      </w:r>
    </w:p>
    <w:p w14:paraId="5650D3F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[88] ZHAO Y, YUE Y, SUN Z, et al. Does generative artificial intelligence improve students' higher-order thinking? A meta-analysis based on 29 experiments and quasi-experiments[J]. Journal of Intelligence, 2025, 13(12): 160. DOI:10.3390/jintelligence13120160.</w:t>
      </w:r>
    </w:p>
    <w:sectPr w:rsidR="000B1CCE">
      <w:footnotePr>
        <w:numFmt w:val="decimalEnclosedCircle"/>
        <w:numRestart w:val="eachPage"/>
      </w:footnotePr>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教育部. 义务教育课程方案（2022年版）[S]. 北京: 北京师范大学出版社, 2022.</w:t>
      </w:r>
    </w:p>
  </w:footnote>
  <w:footnote w:id="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教育部办公厅. 基础教育课程教学改革深化行动方案（教材厅函〔2023〕3号）[EB/OL]. [2026-10-19]. https://www.gov.cn/zhengce/zhengceku/202306/content_6884785.htm.</w:t>
      </w:r>
    </w:p>
  </w:footnote>
  <w:footnote w:id="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中共中央, 国务院. 深化新时代教育评价改革总体方案[EB/OL]. (2020-10-13)[2026-10-19]. https://www.gov.cn/zhengce/2020-10/13/content_5551032.htm.</w:t>
      </w:r>
    </w:p>
  </w:footnote>
  <w:footnote w:id="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上海市教育委员会. 上海市普通高中课程实施方案[Z]. 2021.</w:t>
      </w:r>
    </w:p>
  </w:footnote>
  <w:footnote w:id="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杨振峰. 素养立意的课程建设与教学变革[EB/OL]. (2025-01-14)[2026-10-19]. https://www.eol.cn/news/xueshu/hui/202501/t20250114_2651182.shtml.</w:t>
      </w:r>
    </w:p>
  </w:footnote>
  <w:footnote w:id="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上海市教育委员会. 关于实施项目化学习推动义务教育育人方式改革的指导意见（沪教委基〔2023〕24号）[EB/OL]. (2023-09-01)[2026-10-19]. https://edu.sh.gov.cn/xxgk2_zdgz_jcjy_01/20230901/d22c1043024d4d0e9d32b85fd3392186.html.</w:t>
      </w:r>
    </w:p>
  </w:footnote>
  <w:footnote w:id="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上海市教育委员会. 上海市初中学业水平考试实施办法（沪教委规〔2019〕2号）[Z]. 2019.</w:t>
      </w:r>
    </w:p>
  </w:footnote>
  <w:footnote w:id="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上海市教育委员会. 上海市初中学生综合素质评价实施办法（沪教委规〔2019〕3号）[Z]. 2019.</w:t>
      </w:r>
    </w:p>
  </w:footnote>
  <w:footnote w:id="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教育部基础教育教学指导委员会. 中小学生成式人工智能使用指南（2025年版）[EB/OL]. (2025-05-12)[2026-10-19]. https://www.chinanews.com.cn/cj/2025/05-12/10414191.shtml.</w:t>
      </w:r>
    </w:p>
  </w:footnote>
  <w:footnote w:id="1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1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CHEN S, CHEUNG A C K. Effect of generative artificial intelligence on university students learning outcomes: A systematic review and meta-analysis[J]. Educational Research Review, 2025, 49: 100737. DOI:10.1016/j.edurev.2025.100737.</w:t>
      </w:r>
    </w:p>
  </w:footnote>
  <w:footnote w:id="1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LI C, CUI H, HAGEDORN L S. The cognitive impact of ChatGPT in higher education: A systematic review of critical and creative thinking outcomes[J]. Computers and Education: Artificial Intelligence, 2026, 10: 100571. DOI:10.1016/j.caeai.2026.100571.; WU J Y, LEE Y H, CHAI C S, et al. Strengthening human epistemic agency in the symbiotic learning partnership with generative artificial intelligence[J]. Educational Researcher, 2025, 54(6): 358-368. DOI:10.3102/0013189X251333628.</w:t>
      </w:r>
    </w:p>
  </w:footnote>
  <w:footnote w:id="1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ABRAMI P C, BERNARD R M, BOROKHOVSKI E, et al. Strategies for teaching students to think critically: A meta-analysis[J]. Review of Educational Research, 2015, 85(2): 275-314.</w:t>
      </w:r>
    </w:p>
  </w:footnote>
  <w:footnote w:id="1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1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LEI H, DING Y, CHIU M M. The effect of graphic organizers on cultivating higher-order thinking: Evidence from a meta-analysis[J]. Educational Research Review, 2026, 52: 100822. DOI:10.1016/j.edurev.2026.100822.</w:t>
      </w:r>
    </w:p>
  </w:footnote>
  <w:footnote w:id="1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The applicability of Visible Learning to higher education[J]. Scholarship of Teaching and Learning in Psychology, 2015, 1(1): 79-91.</w:t>
      </w:r>
    </w:p>
  </w:footnote>
  <w:footnote w:id="1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ANDERSON L W, KRATHWOHL D R. A taxonomy for learning, teaching, and assessing: A revision of Bloom's taxonomy of educational objectives[M]. New York: Longman, 2001.</w:t>
      </w:r>
    </w:p>
  </w:footnote>
  <w:footnote w:id="1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RESNICK L B. Education and learning to think[M]. Washington, DC: National Academy Press, 1987. 转引自: ÜNAL E, KAYA M, UZUN A M, et al. A second-order meta-analysis on the effects of artificial intelligence applications on student outcomes[J]. Journal of Educational Computing Research, 2026, 64(5): 1360-1389. DOI:10.1177/07356331261424767.</w:t>
      </w:r>
    </w:p>
  </w:footnote>
  <w:footnote w:id="1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FACIONE P A. Critical thinking: A statement of expert consensus for purposes of educational assessment and instruction[R]. Millbrae: California Academic Press, 1990. 转引自: HUGHES C. Theory of Knowledge aims, objectives and assessment criteria: An analysis of critical thinking descriptors[J]. Journal of Research in International Education, 2014, 13(1): 30-45. DOI:10.1177/1475240914528084.</w:t>
      </w:r>
    </w:p>
  </w:footnote>
  <w:footnote w:id="2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RUNCO M A, MAMMADOV S, SUI D, et al. Second-order meta-analysis of the creativity research[J/OL]. Creativity Research Journal, 2026. DOI:10.1080/10400419.2026.2644245.</w:t>
      </w:r>
    </w:p>
  </w:footnote>
  <w:footnote w:id="2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GUO H, ZHOU Z, MA F. Effect of training programs on the creativity of university students: A multi-level meta-analysis[J]. Thinking Skills and Creativity, 2025, 56: 101779. DOI:10.1016/j.tsc.2025.101779.</w:t>
      </w:r>
    </w:p>
  </w:footnote>
  <w:footnote w:id="2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马淑风, 杨向东. 什么才是高阶思维？——以“新旧知识关系建立”为核心的高阶思维概念框架[J]. 华东师范大学学报（教育科学版）, 2022, 40(11): 58-68. DOI:10.16382/j.cnki.1000-5560.2022.11.005.</w:t>
      </w:r>
    </w:p>
  </w:footnote>
  <w:footnote w:id="2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PARK J H, MYSZKOWSKI N, NIU W. Exploring the intersection of creativity and critical thinking among students: A meta-analysis[J]. Thinking Skills and Creativity, 2026, 60: 102119. DOI:10.1016/j.tsc.2025.102119.</w:t>
      </w:r>
    </w:p>
  </w:footnote>
  <w:footnote w:id="2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OECD. Beyond academic learning: First results from the Survey of Social and Emotional Skills[R]. Paris: OECD Publishing, 2021.</w:t>
      </w:r>
    </w:p>
  </w:footnote>
  <w:footnote w:id="2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CASEL. CASEL's SEL framework: What are the core competence areas and where are they promoted?[R]. Chicago: Collaborative for Academic, Social, and Emotional Learning, 2020.</w:t>
      </w:r>
    </w:p>
  </w:footnote>
  <w:footnote w:id="2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DURLAK J A, WEISSBERG R P, DYMNICKI A B, et al. The impact of enhancing students' social and emotional learning: A meta-analysis of school-based universal interventions[J]. Child Development, 2011, 82(1): 405-432.</w:t>
      </w:r>
    </w:p>
  </w:footnote>
  <w:footnote w:id="2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袁振国, 黄忠敬, 王纮, 等. 中国青少年社会与情感能力发展水平报告——基于第二轮SSES测评数据[J]. 华东师范大学学报（教育科学版）, 2024, 42(5): 1-32. DOI:10.16382/j.cnki.1000-5560.2024.05.001.</w:t>
      </w:r>
    </w:p>
  </w:footnote>
  <w:footnote w:id="2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黄忠敬, 王倩, 陈唤春, 等. 交往能力：中国青少年社会与情感能力测评分报告之五[J]. 华东师范大学学报（教育科学版）, 2021, 39(9): 93-108. DOI:10.16382/j.cnki.1000-5560.2021.09.006.</w:t>
      </w:r>
    </w:p>
  </w:footnote>
  <w:footnote w:id="2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STEINER-KHAMSI G, MARTENS K, YDESEN C. Governance by numbers 2.0: Policy brokerage as an instrument of global governance in the era of information overload[J]. Comparative Education, 2024, 60(4): 537-554.</w:t>
      </w:r>
    </w:p>
  </w:footnote>
  <w:footnote w:id="3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ABRAMI P C, BERNARD R M, BOROKHOVSKI E, et al. Strategies for teaching students to think critically: A meta-analysis[J]. Review of Educational Research, 2015, 85(2): 275-314.</w:t>
      </w:r>
    </w:p>
  </w:footnote>
  <w:footnote w:id="3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3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LEI H, DING Y, CHIU M M. The effect of graphic organizers on cultivating higher-order thinking: Evidence from a meta-analysis[J]. Educational Research Review, 2026, 52: 100822. DOI:10.1016/j.edurev.2026.100822.</w:t>
      </w:r>
    </w:p>
  </w:footnote>
  <w:footnote w:id="3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DE JONG T, LAZONDER A W, CHINN C A, et al. Let's talk evidence – The case for combining inquiry-based and direct instruction[J]. Educational Research Review, 2023, 39: 100536. DOI:10.1016/j.edurev.2023.100536.</w:t>
      </w:r>
    </w:p>
  </w:footnote>
  <w:footnote w:id="3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DE JONG T, LAZONDER A W, CHINN C A, et al. Let's talk evidence – The case for combining inquiry-based and direct instruction[J]. Educational Research Review, 2023, 39: 100536. DOI:10.1016/j.edurev.2023.100536.</w:t>
      </w:r>
    </w:p>
  </w:footnote>
  <w:footnote w:id="3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BIGGS J. What the student does: Teaching for enhanced learning[J]. Higher Education Research &amp; Development, 1999, 18(1): 57-75. DOI:10.1080/0729436990180105.</w:t>
      </w:r>
    </w:p>
  </w:footnote>
  <w:footnote w:id="3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HUGHES C. Theory of Knowledge aims, objectives and assessment criteria: An analysis of critical thinking descriptors[J]. Journal of Research in International Education, 2014, 13(1): 30-45. DOI:10.1177/1475240914528084.</w:t>
      </w:r>
    </w:p>
  </w:footnote>
  <w:footnote w:id="3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3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上海市教育委员会. 关于实施项目化学习推动义务教育育人方式改革的指导意见（沪教委基〔2023〕24号）[EB/OL]. (2023-09-01)[2026-10-19]. https://edu.sh.gov.cn/xxgk2_zdgz_jcjy_01/20230901/d22c1043024d4d0e9d32b85fd3392186.html.</w:t>
      </w:r>
    </w:p>
  </w:footnote>
  <w:footnote w:id="3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ZEMPLÉN G Á. Conflicting agendas: Critical thinking versus science education in the International Baccalaureate Theory of Knowledge course[J]. Science &amp; Education, 2007, 16: 167-196.</w:t>
      </w:r>
    </w:p>
  </w:footnote>
  <w:footnote w:id="4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BERGERON L, ROGERS L. Teaching the Theory of Knowledge course in IB World Schools[R]. La Crosse: University of Wisconsin-La Crosse, 2015.</w:t>
      </w:r>
    </w:p>
  </w:footnote>
  <w:footnote w:id="4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 w:id="4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BIGGS J. What the student does: Teaching for enhanced learning[J]. Higher Education Research &amp; Development, 1999, 18(1): 57-75. DOI:10.1080/0729436990180105.</w:t>
      </w:r>
    </w:p>
  </w:footnote>
  <w:footnote w:id="4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4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PARK J H, MYSZKOWSKI N, NIU W. Exploring the intersection of creativity and critical thinking among students: A meta-analysis[J]. Thinking Skills and Creativity, 2026, 60: 102119. DOI:10.1016/j.tsc.2025.102119.</w:t>
      </w:r>
    </w:p>
  </w:footnote>
  <w:footnote w:id="4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JORNITZ S, KLINGE D. "Bildung" as a forgotten aspect of algorithmic technologies[M]//PARREIRA DO AMARAL M, THOMPSON C. Geopolitical transformations in higher education. Cham: Springer, 2022: 231-249.</w:t>
      </w:r>
    </w:p>
  </w:footnote>
  <w:footnote w:id="4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4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LI C, CUI H, HAGEDORN L S. The cognitive impact of ChatGPT in higher education: A systematic review of critical and creative thinking outcomes[J]. Computers and Education: Artificial Intelligence, 2026, 10: 100571. DOI:10.1016/j.caeai.2026.100571.</w:t>
      </w:r>
    </w:p>
  </w:footnote>
  <w:footnote w:id="4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WU J Y, LEE Y H, CHAI C S, et al. Strengthening human epistemic agency in the symbiotic learning partnership with generative artificial intelligence[J]. Educational Researcher, 2025, 54(6): 358-368. DOI:10.3102/0013189X251333628.</w:t>
      </w:r>
    </w:p>
  </w:footnote>
  <w:footnote w:id="4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LIU J, MBOWE A E, TAHRI D, et al. Meta-analysis on the influence of AI agents on K-12 student cognitive performance[J]. Computers in Human Behavior Reports, 2026, 21: 100973. DOI:10.1016/j.chbr.2026.100973.</w:t>
      </w:r>
    </w:p>
  </w:footnote>
  <w:footnote w:id="5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DU Y, YUAN Y. Epistemic dependence in AI-mediated learning[J/OL]. AI &amp; Society, 2026. DOI:10.1007/s00146-026-03294-1.</w:t>
      </w:r>
    </w:p>
  </w:footnote>
  <w:footnote w:id="5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HIGGINS S. Meta-synthesis and comparative meta-analysis of education research findings: Some risks and benefits[J]. Review of Education, 2016, 4(1): 31-53.</w:t>
      </w:r>
    </w:p>
  </w:footnote>
  <w:footnote w:id="5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What is the nature of evidence that makes a difference to learning?[C]//Using data to support learning: Proceedings of the ACER Research Conference 2005. Melbourne: Australian Council for Educational Research, 2005: 11-21.</w:t>
      </w:r>
    </w:p>
  </w:footnote>
  <w:footnote w:id="5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彭正梅. 寻求教学的“圣杯”：论哈蒂《可见的学习》及教育学的实证倾向[J]. 教育发展研究, 2015, 35(6): 1-9.</w:t>
      </w:r>
    </w:p>
  </w:footnote>
  <w:footnote w:id="5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施芳婷. 重新评估学校成功学习的条件[J]. 上海教育, 2025(26): 29-31.</w:t>
      </w:r>
    </w:p>
  </w:footnote>
  <w:footnote w:id="5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施芳婷, 彭正梅. 哪些因素对学业成就的影响最大：基于对“哈蒂排名”和PISA-TALIS的分析[J]. 外国教育研究, 2023, 50(7): 58-82.</w:t>
      </w:r>
    </w:p>
  </w:footnote>
  <w:footnote w:id="5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彭正梅, 伍绍杨. 可见的学习：从理论探索到实践创新[J]. 上海教育, 2025(26): 26-28.</w:t>
      </w:r>
    </w:p>
  </w:footnote>
  <w:footnote w:id="5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张诗琪. 学习的九个基本原则[J]. 上海教育, 2025(26): 34-35.</w:t>
      </w:r>
    </w:p>
  </w:footnote>
  <w:footnote w:id="5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彭正梅. 学习科学证明了什么：哈蒂“可见的学习”的视角[J]. 教育发展研究, 2025, 45(8): 39-50.</w:t>
      </w:r>
    </w:p>
  </w:footnote>
  <w:footnote w:id="5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What is the nature of evidence that makes a difference to learning?[C]//Using data to support learning: Proceedings of the ACER Research Conference 2005. Melbourne: Australian Council for Educational Research, 2005: 14-17.</w:t>
      </w:r>
    </w:p>
  </w:footnote>
  <w:footnote w:id="6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MCDONNELL L M, WEATHERFORD M S. Evidence use and the Common Core State Standards movement: From problem definition to policy adoption[J]. American Journal of Education, 2013, 120(1): 1-25. DOI:10.1086/673163.</w:t>
      </w:r>
    </w:p>
  </w:footnote>
  <w:footnote w:id="6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TIMPERLEY H. The power of feedback[J]. Review of Educational Research, 2007, 77(1): 81-112.</w:t>
      </w:r>
    </w:p>
  </w:footnote>
  <w:footnote w:id="6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FREDENS K. Synlig læring og læringens anatomi[J]. Paideia, 2015(9): 70-75.</w:t>
      </w:r>
    </w:p>
  </w:footnote>
  <w:footnote w:id="6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KNUDSEN H. John Hattie: I'm a statistician, I'm not a theoretician[J]. Nordic Journal of Studies in Educational Policy, 2017, 3(3): 253-261.</w:t>
      </w:r>
    </w:p>
  </w:footnote>
  <w:footnote w:id="6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CARLESS D, BOUD D. The development of student feedback literacy: Enabling uptake of feedback[J]. Assessment &amp; Evaluation in Higher Education, 2018, 43(8): 1315-1325. 转引自: DU Y, YUAN Y. Epistemic dependence in AI-mediated learning[J/OL]. AI &amp; Society, 2026. DOI:10.1007/s00146-026-03294-1.</w:t>
      </w:r>
    </w:p>
  </w:footnote>
  <w:footnote w:id="6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彭正梅. 迈向更有效的反馈：哈蒂“可见的学习”的模式[J]. 开放教育研究, 2021, 27(4): 27-40.</w:t>
      </w:r>
    </w:p>
  </w:footnote>
  <w:footnote w:id="6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李茂森, 祝蕾蕾. 中小学课堂教学反馈的现实困境与改进路径：基于哈蒂“可见的学习”的视角[J]. 教育发展研究, 2022, 42(20): 77-84.</w:t>
      </w:r>
    </w:p>
  </w:footnote>
  <w:footnote w:id="6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温英贝, 伍绍杨. 有效反馈的艺术[J]. 上海教育, 2025(26): 38-39.</w:t>
      </w:r>
    </w:p>
  </w:footnote>
  <w:footnote w:id="6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陈丽莎, 翁绮睿, 彭正梅. 成为自己的教师：“可见的学习”视野下的学生自评能力研究[J]. 教育发展研究, 2023, 43(22): 38-54.</w:t>
      </w:r>
    </w:p>
  </w:footnote>
  <w:footnote w:id="6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高嘉诚, 梁锦芳. “可见的学习”视域下学生自评力培养的实践[J]. 上海教育, 2025(26): 52-53.</w:t>
      </w:r>
    </w:p>
  </w:footnote>
  <w:footnote w:id="7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The applicability of Visible Learning to higher education[J]. Scholarship of Teaching and Learning in Psychology, 2015, 1(1): 79-91.</w:t>
      </w:r>
    </w:p>
  </w:footnote>
  <w:footnote w:id="7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彭正梅, 施芳婷, 伍绍杨. 卓越教师的10个心智框架：《可见的学习》与《学记》的比较[J]. 湖南师范大学教育科学学报, 2022, 21(5): 23-31.</w:t>
      </w:r>
    </w:p>
  </w:footnote>
  <w:footnote w:id="7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林心悦. 卓越教师的三个形象与十个心智框架[J]. 上海教育, 2025(26): 46-47.</w:t>
      </w:r>
    </w:p>
  </w:footnote>
  <w:footnote w:id="7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高妍, 缪秋英, 邓莉. DIIE模式：一种教师可以共享的教学语言[J]. 上海教育, 2025(26): 40-41.</w:t>
      </w:r>
    </w:p>
  </w:footnote>
  <w:footnote w:id="7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NORDAHL T. Visible Learning som grunnlag for evidens og forbedringsarbeid i utdanningssystemet[J]. Paideia, 2015(9): 61-69.</w:t>
      </w:r>
    </w:p>
  </w:footnote>
  <w:footnote w:id="7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BROWN C, GREANY T. The evidence-informed school system in England: Where should school leaders be focusing their efforts?[J]. Leadership and Policy in Schools, 2018, 17(1): 115-137. DOI:10.1080/15700763.2016.1270330.</w:t>
      </w:r>
    </w:p>
  </w:footnote>
  <w:footnote w:id="7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RICKINSON M, WALSH L, GLEESON J, et al. Using research well in educational practice[M]//RÉVAI N. Who cares about using education research in policy and practice? Strengthening research engagement. Paris: OECD Publishing, 2022: 182-199. DOI:10.1787/d7ff793d-en.</w:t>
      </w:r>
    </w:p>
  </w:footnote>
  <w:footnote w:id="7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EDOVALD T, NEVILL C. Working out what works: The case of the Education Endowment Foundation in England[J]. ECNU Review of Education, 2021, 4(1): 46-64.</w:t>
      </w:r>
    </w:p>
  </w:footnote>
  <w:footnote w:id="7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BROWN C, GREANY T. The evidence-informed school system in England: Where should school leaders be focusing their efforts?[J]. Leadership and Policy in Schools, 2018, 17(1): 115-137. DOI:10.1080/15700763.2016.1270330.</w:t>
      </w:r>
    </w:p>
  </w:footnote>
  <w:footnote w:id="7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陈添. 认识你的领导力：以可见的学习重塑教育变革[J]. 上海教育, 2025(26): 48-49.</w:t>
      </w:r>
    </w:p>
  </w:footnote>
  <w:footnote w:id="8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陈丽莎, 伍绍杨. 唤醒家庭的力量[J]. 上海教育, 2025(26): 50-51.</w:t>
      </w:r>
    </w:p>
  </w:footnote>
  <w:footnote w:id="8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石修银. 基于“可见的学习”理论的语文教学设计、过程及评价[J]. 课程·教材·教法, 2021, 41(8): 83-89.</w:t>
      </w:r>
    </w:p>
  </w:footnote>
  <w:footnote w:id="8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邱惠芬. “可见的学习”视域下初中化学学科实践学习分析框架的建构[J]. 化学教学, 2024(2): 27-33.</w:t>
      </w:r>
    </w:p>
  </w:footnote>
  <w:footnote w:id="8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马梓越, 沈勍, 伍绍杨. 可见的学习与学科教学应用[J]. 上海教育, 2025(26): 42-43.</w:t>
      </w:r>
    </w:p>
  </w:footnote>
  <w:footnote w:id="8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何光友, 沈勍, 伍绍杨. 可见的学习视角下的项目化设计[J]. 上海教育, 2025(26): 44-45.</w:t>
      </w:r>
    </w:p>
  </w:footnote>
  <w:footnote w:id="8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沈勍. 基于“可见的学习”，探索学生高阶能力培养[J]. 上海教育, 2025(26): 54-55.</w:t>
      </w:r>
    </w:p>
  </w:footnote>
  <w:footnote w:id="8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SNOOK I, O'NEILL J, CLARK J, et al. Invisible learnings? A commentary on John Hattie's book: Visible learning: A synthesis of over 800 meta-analyses relating to achievement[J]. New Zealand Journal of Educational Studies, 2009, 44(1): 93-106.</w:t>
      </w:r>
    </w:p>
  </w:footnote>
  <w:footnote w:id="8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WECKER C, VOGEL F, HETMANEK A. Visionär und imposant – aber auch belastbar? Eine Kritik der Methodik von Hatties Visible Learning[J]. Zeitschrift für Erziehungswissenschaft, 2016, 20: 21-40. DOI:10.1007/s11618-016-0696-0.</w:t>
      </w:r>
    </w:p>
  </w:footnote>
  <w:footnote w:id="8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BERGERON P J, RIVARD L. How to engage in pseudoscience with real data: A criticism of John Hattie's arguments in Visible Learning from the perspective of a statistician[J]. McGill Journal of Education, 2017, 52(1): 237-246.</w:t>
      </w:r>
    </w:p>
  </w:footnote>
  <w:footnote w:id="8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TERHART E. Has John Hattie really found the holy grail of research on teaching? An extended review of Visible Learning[J]. Journal of Curriculum Studies, 2011, 43(3): 425-438.</w:t>
      </w:r>
    </w:p>
  </w:footnote>
  <w:footnote w:id="9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NIELSEN K, KLITMØLLER J. Blind spots in visible learning: A critique of John Hattie as an educational theorist[J]. Nordic Psychology, 2021.</w:t>
      </w:r>
    </w:p>
  </w:footnote>
  <w:footnote w:id="9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QVORTRUP L. Baggrund for og diskussioner af Visible Learning med særligt henblik på lærings- og vidensbegrebet[J]. Paideia, 2015(9): 22-33.</w:t>
      </w:r>
    </w:p>
  </w:footnote>
  <w:footnote w:id="9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EACOTT S. Ranting, raving and complaining: Reflections on working against orthodoxy[J]. International Journal of Leadership in Education, 2019, 22(6): 774-782.</w:t>
      </w:r>
    </w:p>
  </w:footnote>
  <w:footnote w:id="9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GOLOVCHIN M A. What kind of teacher does the 'school of the future' need? Possibility of using John Hattie's approach in Russian education[J]. Economic and Social Changes: Facts, Trends, Forecast, 2019, 12(5): 229-242.</w:t>
      </w:r>
    </w:p>
  </w:footnote>
  <w:footnote w:id="9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KELLY P, BECK A, HOFBAUER S. Comparing school leaders' experiences of research use in England, Scotland and Germany[J]. Review of Education, 2025, 13(1): e70058. DOI:10.1002/rev3.70058.</w:t>
      </w:r>
    </w:p>
  </w:footnote>
  <w:footnote w:id="9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可见的学习：未完成的故事[J]. 基础教育, 2015, 12(5): 107-112.</w:t>
      </w:r>
    </w:p>
  </w:footnote>
  <w:footnote w:id="9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彭正梅. 寻求教学的“圣杯”：论哈蒂《可见的学习》及教育学的实证倾向[J]. 教育发展研究, 2015, 35(6): 1-9.</w:t>
      </w:r>
    </w:p>
  </w:footnote>
  <w:footnote w:id="9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彭正梅. 教育知识的全球迁移与重构：以“可见的学习”为例[J]. 比较教育研究, 2026, 48(3): 92-101.</w:t>
      </w:r>
    </w:p>
  </w:footnote>
  <w:footnote w:id="9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可见的学习的全球迁移[J]. 上海教育, 2025(26): 32-33.</w:t>
      </w:r>
    </w:p>
  </w:footnote>
  <w:footnote w:id="9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彭正梅, 伍绍杨, 邓莉. 如何培养高阶能力：哈蒂“可见的学习”的视角[J]. 教育研究, 2019, 40(5): 76-85.</w:t>
      </w:r>
    </w:p>
  </w:footnote>
  <w:footnote w:id="10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沈勍, 伍绍杨. 高阶能力的培养之道[J]. 上海教育, 2025(26): 36-37.</w:t>
      </w:r>
    </w:p>
  </w:footnote>
  <w:footnote w:id="10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RICKINSON M, WALSH L, GLEESON J, et al. Using research well in educational practice[M]//RÉVAI N. Who cares about using education research in policy and practice? Strengthening research engagement. Paris: OECD Publishing, 2022: 182-199. DOI:10.1787/d7ff793d-en.</w:t>
      </w:r>
    </w:p>
  </w:footnote>
  <w:footnote w:id="10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KELLY P, BECK A, HOFBAUER S. Comparing school leaders' experiences of research use in England, Scotland and Germany[J]. Review of Education, 2025, 13(1): e70058. DOI:10.1002/rev3.70058.</w:t>
      </w:r>
    </w:p>
  </w:footnote>
  <w:footnote w:id="10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NIELSEN K, KLITMØLLER J. Blind spots in visible learning: A critique of John Hattie as an educational theorist[J]. Nordic Psychology, 2021.; WECKER C, VOGEL F, HETMANEK A. Visionär und imposant – aber auch belastbar? Eine Kritik der Methodik von Hatties Visible Learning[J]. Zeitschrift für Erziehungswissenschaft, 2016, 20: 21-40. DOI:10.1007/s11618-016-0696-0.</w:t>
      </w:r>
    </w:p>
  </w:footnote>
  <w:footnote w:id="10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CHEN S, CHEUNG A C K. Effect of generative artificial intelligence on university students learning outcomes: A systematic review and meta-analysis[J]. Educational Research Review, 2025, 49: 100737. DOI:10.1016/j.edurev.2025.100737.; LIU J, MBOWE A E, TAHRI D, et al. Meta-analysis on the influence of AI agents on K-12 student cognitive performance[J]. Computers in Human Behavior Reports, 2026, 21: 100973. DOI:10.1016/j.chbr.2026.100973.</w:t>
      </w:r>
    </w:p>
  </w:footnote>
  <w:footnote w:id="10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COHEN L, MANION L, MORRISON K. Research methods in education[M]. 7th ed. London: Routledge, 2011.</w:t>
      </w:r>
    </w:p>
  </w:footnote>
  <w:footnote w:id="10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CRESWELL J W, CRESWELL J D. Research design: Qualitative, quantitative, and mixed methods approaches[M]. 6th ed. Thousand Oaks: SAGE, 2022.</w:t>
      </w:r>
    </w:p>
  </w:footnote>
  <w:footnote w:id="10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COWEN N, CARTWRIGHT N, VIRK B, et al. Making the most of the evidence: Evidence-based policy in the classroom[R]. Durham: Durham University, 2015.</w:t>
      </w:r>
    </w:p>
  </w:footnote>
  <w:footnote w:id="10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JORNITZ S, KLINGE D. "Bildung" as a forgotten aspect of algorithmic technologies[M]//PARREIRA DO AMARAL M, THOMPSON C. Geopolitical transformations in higher education. Cham: Springer, 2022: 231-249.</w:t>
      </w:r>
    </w:p>
  </w:footnote>
  <w:footnote w:id="10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COHEN L, MANION L, MORRISON K. Research methods in education[M]. 7th ed. London: Routledge, 2011.</w:t>
      </w:r>
    </w:p>
  </w:footnote>
  <w:footnote w:id="11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ANDERSON L W, KRATHWOHL D R. A taxonomy for learning, teaching, and assessing: A revision of Bloom's taxonomy of educational objectives[M]. New York: Longman, 2001.</w:t>
      </w:r>
    </w:p>
  </w:footnote>
  <w:footnote w:id="11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马淑风, 杨向东. 什么才是高阶思维？——以“新旧知识关系建立”为核心的高阶思维概念框架[J]. 华东师范大学学报（教育科学版）, 2022, 40(11): 58-68. DOI:10.16382/j.cnki.1000-5560.2022.11.005.</w:t>
      </w:r>
    </w:p>
  </w:footnote>
  <w:footnote w:id="11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OECD. Beyond academic learning: First results from the Survey of Social and Emotional Skills[R]. Paris: OECD Publishing, 2021.</w:t>
      </w:r>
    </w:p>
  </w:footnote>
  <w:footnote w:id="11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黄忠敬, 王倩, 陈唤春, 等. 交往能力：中国青少年社会与情感能力测评分报告之五[J]. 华东师范大学学报（教育科学版）, 2021, 39(9): 93-108. DOI:10.16382/j.cnki.1000-5560.2021.09.006.; 袁振国, 黄忠敬, 王纮, 等. 中国青少年社会与情感能力发展水平报告——基于第二轮SSES测评数据[J]. 华东师范大学学报（教育科学版）, 2024, 42(5): 1-32. DOI:10.16382/j.cnki.1000-5560.2024.05.001.</w:t>
      </w:r>
    </w:p>
  </w:footnote>
  <w:footnote w:id="11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BERGERON L, ROGERS L. Teaching the Theory of Knowledge course in IB World Schools[R]. La Crosse: University of Wisconsin-La Crosse, 2015.</w:t>
      </w:r>
    </w:p>
  </w:footnote>
  <w:footnote w:id="11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TIMPERLEY H. The power of feedback[J]. Review of Educational Research, 2007, 77(1): 81-112.</w:t>
      </w:r>
    </w:p>
  </w:footnote>
  <w:footnote w:id="11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ÜNAL E, KAYA M, UZUN A M, et al. A second-order meta-analysis on the effects of artificial intelligence applications on student outcomes[J]. Journal of Educational Computing Research, 2026, 64(5): 1360-1389. DOI:10.1177/07356331261424767.</w:t>
      </w:r>
    </w:p>
  </w:footnote>
  <w:footnote w:id="11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GUO H, ZHOU Z, MA F. Effect of training programs on the creativity of university students: A multi-level meta-analysis[J]. Thinking Skills and Creativity, 2025, 56: 101779. DOI:10.1016/j.tsc.2025.101779.</w:t>
      </w:r>
    </w:p>
  </w:footnote>
  <w:footnote w:id="11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COWEN N, CARTWRIGHT N, VIRK B, et al. Making the most of the evidence: Evidence-based policy in the classroom[R]. Durham: Durham University, 2015.</w:t>
      </w:r>
    </w:p>
  </w:footnote>
  <w:footnote w:id="11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邱惠芬. “可见的学习”视域下初中化学学科实践学习分析框架的建构[J]. 化学教学, 2024(2): 27-33.</w:t>
      </w:r>
    </w:p>
  </w:footnote>
  <w:footnote w:id="12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MCDONNELL L M, WEATHERFORD M S. Evidence use and the Common Core State Standards movement: From problem definition to policy adoption[J]. American Journal of Education, 2013, 120(1): 1-25. DOI:10.1086/673163.</w:t>
      </w:r>
    </w:p>
  </w:footnote>
  <w:footnote w:id="12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ZEMPLÉN G Á. Conflicting agendas: Critical thinking versus science education in the International Baccalaureate Theory of Knowledge course[J]. Science &amp; Education, 2007, 16: 167-196.</w:t>
      </w:r>
    </w:p>
  </w:footnote>
  <w:footnote w:id="12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 w:id="12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KNUDSEN H. John Hattie: I'm a statistician, I'm not a theoretician[J]. Nordic Journal of Studies in Educational Policy, 2017, 3(3): 253-261.</w:t>
      </w:r>
    </w:p>
  </w:footnote>
  <w:footnote w:id="12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FREDENS K. Synlig læring og læringens anatomi[J]. Paideia, 2015(9): 70-75.</w:t>
      </w:r>
    </w:p>
  </w:footnote>
  <w:footnote w:id="12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CRESWELL J W, CRESWELL J D. Research design: Qualitative, quantitative, and mixed methods approaches[M]. 6th ed. Thousand Oaks: SAGE,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footnotePr>
    <w:numFmt w:val="decimalEnclosedCircle"/>
    <w:numRestart w:val="eachPage"/>
    <w:footnote w:id="-1"/>
    <w:footnote w:id="0"/>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3A23DB"/>
    <w:rsid w:val="004C0E21"/>
    <w:rsid w:val="006E72A5"/>
    <w:rsid w:val="00CD5D2E"/>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47D56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jpg"/><Relationship Id="rId34" Type="http://schemas.openxmlformats.org/officeDocument/2006/relationships/image" Target="media/image28.jpg"/><Relationship Id="rId35" Type="http://schemas.openxmlformats.org/officeDocument/2006/relationships/image" Target="media/image29.jpg"/><Relationship Id="rId36" Type="http://schemas.openxmlformats.org/officeDocument/2006/relationships/image" Target="media/image30.jpg"/><Relationship Id="rId37" Type="http://schemas.openxmlformats.org/officeDocument/2006/relationships/image" Target="media/image31.jpg"/><Relationship Id="rId38" Type="http://schemas.openxmlformats.org/officeDocument/2006/relationships/image" Target="media/image32.jp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138</Pages>
  <Words>18573</Words>
  <Characters>105871</Characters>
  <Application>Microsoft Office Word</Application>
  <DocSecurity>0</DocSecurity>
  <Lines>882</Lines>
  <Paragraphs>248</Paragraphs>
  <ScaleCrop>false</ScaleCrop>
  <Company/>
  <LinksUpToDate>false</LinksUpToDate>
  <CharactersWithSpaces>124196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4</cp:revision>
  <dcterms:created xsi:type="dcterms:W3CDTF">2026-10-11T12:17:00Z</dcterms:created>
  <dcterms:modified xsi:type="dcterms:W3CDTF">2026-10-11T15:14:00Z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