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064F9E" w14:textId="77777777" w:rsidR="000B1CCE" w:rsidRPr="003A23DB" w:rsidRDefault="00000000">
      <w:pPr>
        <w:spacing w:before="120" w:after="120" w:line="360" w:lineRule="auto"/>
        <w:jc w:val="center"/>
        <w:rPr>
          <w:b/>
          <w:bCs/>
          <w:sz w:val="28"/>
          <w:szCs w:val="36"/>
        </w:rPr>
      </w:pPr>
      <w:r w:rsidRPr="003A23DB">
        <w:rPr>
          <w:rFonts w:ascii="Times New Roman" w:eastAsia="黑体" w:hAnsi="Times New Roman" w:cs="Times New Roman"/>
          <w:b/>
          <w:bCs/>
          <w:sz w:val="32"/>
          <w:szCs w:val="36"/>
        </w:rPr>
        <w:t>“</w:t>
      </w:r>
      <w:r w:rsidRPr="003A23DB">
        <w:rPr>
          <w:rFonts w:ascii="Times New Roman" w:eastAsia="黑体" w:hAnsi="Times New Roman" w:cs="Times New Roman"/>
          <w:b/>
          <w:bCs/>
          <w:sz w:val="32"/>
          <w:szCs w:val="36"/>
        </w:rPr>
        <w:t>可见的学习</w:t>
      </w:r>
      <w:r w:rsidRPr="003A23DB">
        <w:rPr>
          <w:rFonts w:ascii="Times New Roman" w:eastAsia="黑体" w:hAnsi="Times New Roman" w:cs="Times New Roman"/>
          <w:b/>
          <w:bCs/>
          <w:sz w:val="32"/>
          <w:szCs w:val="36"/>
        </w:rPr>
        <w:t>”</w:t>
      </w:r>
      <w:r w:rsidRPr="003A23DB">
        <w:rPr>
          <w:rFonts w:ascii="Times New Roman" w:eastAsia="黑体" w:hAnsi="Times New Roman" w:cs="Times New Roman"/>
          <w:b/>
          <w:bCs/>
          <w:sz w:val="32"/>
          <w:szCs w:val="36"/>
        </w:rPr>
        <w:t>视域下中学生高阶能力培育的学校探索</w:t>
      </w:r>
    </w:p>
    <w:p w14:paraId="12293E36" w14:textId="77777777" w:rsidR="000B1CCE" w:rsidRDefault="00000000" w:rsidP="006E72A5">
      <w:pPr>
        <w:adjustRightInd w:val="0"/>
        <w:snapToGrid w:val="0"/>
        <w:spacing w:line="360" w:lineRule="auto"/>
        <w:ind w:firstLineChars="200" w:firstLine="490"/>
        <w:rPr>
          <w:rFonts w:ascii="宋体" w:eastAsia="宋体" w:hAnsi="宋体" w:cs="宋体"/>
          <w:color w:val="000000"/>
          <w:kern w:val="0"/>
          <w:sz w:val="24"/>
        </w:rPr>
      </w:pPr>
      <w:r>
        <w:rPr>
          <w:rFonts w:ascii="Times New Roman" w:eastAsia="华文楷体" w:hAnsi="Times New Roman" w:cs="Times New Roman"/>
          <w:b/>
          <w:bCs/>
          <w:sz w:val="24"/>
          <w:szCs w:val="32"/>
        </w:rPr>
        <w:t>摘要：</w:t>
      </w:r>
      <w:r w:rsidRPr="006E72A5">
        <w:rPr>
          <w:rFonts w:ascii="宋体" w:eastAsia="宋体" w:hAnsi="宋体" w:cs="宋体"/>
          <w:color w:val="000000"/>
          <w:kern w:val="0"/>
          <w:sz w:val="24"/>
        </w:rPr>
        <w:t>核心素养导向的课程改革，要求学校把高阶能力培育从理念落实到日常课堂。本研究以可见的学习为视角，探讨学校怎样让高阶能力在真实学习中发生，并让教师和学生都能看见这一过程。研究把中学生高阶能力分为相互关联的两个方面，高阶思维包括分析、评价和创造，高阶社会情感包括责任担当、情绪调节、合作共情和包容创新。研究立足学校的真实教学情境，综合运用文献研究、问卷调查、访谈、课堂观察、行动研究和案例研究等方法，依次开展现状诊断、模型建构、多场域实践和成效评价。课题组根据前测结果和课堂证据，建构并多轮修订了高阶能力培育模型。在这一模型中，学生沿目标引领、任务驱动、探究展学、反馈迭代和反思迁移五个环节学习，教师通过诊断发现、干预设计、实施推进和评估改进四个步骤调节教学，两者协同运行。模型在学科课堂和科创项目中持续实践，课题组借助学生作品、课堂评价、AI课堂行为数据和问卷等多源证据诊断和改进教学。</w:t>
      </w:r>
    </w:p>
    <w:p w14:paraId="534460FA" w14:textId="77777777" w:rsidR="000B1CCE" w:rsidRDefault="00000000" w:rsidP="006E72A5">
      <w:pPr>
        <w:adjustRightInd w:val="0"/>
        <w:snapToGrid w:val="0"/>
        <w:spacing w:line="360" w:lineRule="auto"/>
        <w:ind w:firstLineChars="200" w:firstLine="480"/>
        <w:rPr>
          <w:rFonts w:ascii="宋体" w:eastAsia="宋体" w:hAnsi="宋体" w:cs="宋体"/>
          <w:color w:val="000000"/>
          <w:kern w:val="0"/>
          <w:sz w:val="24"/>
        </w:rPr>
      </w:pPr>
      <w:r w:rsidRPr="006E72A5">
        <w:rPr>
          <w:rFonts w:ascii="宋体" w:eastAsia="宋体" w:hAnsi="宋体" w:cs="宋体"/>
          <w:color w:val="000000"/>
          <w:kern w:val="0"/>
          <w:sz w:val="24"/>
        </w:rPr>
        <w:t>研究发现，培育高阶能力需要把能力目标融入真实任务和持续的学习过程，并依靠学习证据和及时反馈，帮助学生从理解知识走向分析判断、创新生成和迁移应用。1346对学生的前后测配对结果显示，高阶思维总体均分由3.934提高到4.030，分析、评价、创造三个维度均有小幅但显著的提升；高阶社会情感总体均分由4.032提高到4.400，四个维度均显著提高，提升幅度更大。教师问卷各维度的前后变化未达到统计显著，但课堂实践和教学自我效能呈积极趋势。课堂观察、教师反思和开放性回答也显示，教师越来越多地依据学生的学习证据诊断和调整教学。研究表明，可见的学习能够帮助学校把高阶能力从抽象目标转化为学生可经历、可观察、可反馈、可改进的学习过程。本研究形成的学习模型、教学模型、评价工具和典型案例，可为学校系统推进高阶能力培育和改进课堂教学提供参考。</w:t>
      </w:r>
    </w:p>
    <w:p w14:paraId="01493BFA" w14:textId="77777777" w:rsidR="000B1CCE" w:rsidRDefault="00000000">
      <w:pPr>
        <w:spacing w:after="120" w:line="360" w:lineRule="auto"/>
        <w:rPr>
          <w:sz w:val="24"/>
          <w:szCs w:val="32"/>
        </w:rPr>
      </w:pPr>
      <w:r>
        <w:rPr>
          <w:rFonts w:ascii="Times New Roman" w:eastAsia="华文楷体" w:hAnsi="Times New Roman" w:cs="Times New Roman"/>
          <w:b/>
          <w:bCs/>
          <w:sz w:val="24"/>
          <w:szCs w:val="32"/>
        </w:rPr>
        <w:t>关键词：</w:t>
      </w:r>
      <w:r>
        <w:rPr>
          <w:rFonts w:ascii="Times New Roman" w:eastAsia="华文楷体" w:hAnsi="Times New Roman" w:cs="Times New Roman"/>
          <w:sz w:val="24"/>
          <w:szCs w:val="32"/>
        </w:rPr>
        <w:t>可见的学习，高阶能力，高阶思维能力，高阶社会情感能力</w:t>
      </w:r>
    </w:p>
    <w:p w14:paraId="718EA189" w14:textId="77777777" w:rsidR="000B1CCE" w:rsidRDefault="000B1CCE">
      <w:pPr>
        <w:rPr>
          <w:sz w:val="24"/>
          <w:szCs w:val="32"/>
        </w:rPr>
      </w:pPr>
    </w:p>
    <w:p w14:paraId="07D7FC0F" w14:textId="77777777" w:rsidR="000B1CCE" w:rsidRDefault="000B1CCE">
      <w:pPr>
        <w:rPr>
          <w:sz w:val="24"/>
          <w:szCs w:val="32"/>
        </w:rPr>
      </w:pPr>
    </w:p>
    <w:p w14:paraId="03ED9110" w14:textId="77777777" w:rsidR="000B1CCE" w:rsidRDefault="000B1CCE">
      <w:pPr>
        <w:rPr>
          <w:sz w:val="24"/>
          <w:szCs w:val="32"/>
        </w:rPr>
      </w:pPr>
    </w:p>
    <w:p w14:paraId="4BE2BC79" w14:textId="77777777" w:rsidR="000B1CCE" w:rsidRDefault="000B1CCE">
      <w:pPr>
        <w:rPr>
          <w:sz w:val="24"/>
          <w:szCs w:val="32"/>
        </w:rPr>
      </w:pPr>
    </w:p>
    <w:p w14:paraId="5465477F" w14:textId="77777777" w:rsidR="000B1CCE" w:rsidRDefault="000B1CCE">
      <w:pPr>
        <w:rPr>
          <w:sz w:val="24"/>
          <w:szCs w:val="32"/>
        </w:rPr>
      </w:pPr>
    </w:p>
    <w:p w14:paraId="4C74AF4C" w14:textId="77777777" w:rsidR="000B1CCE" w:rsidRDefault="000B1CCE">
      <w:pPr>
        <w:rPr>
          <w:sz w:val="24"/>
          <w:szCs w:val="32"/>
        </w:rPr>
      </w:pPr>
    </w:p>
    <w:p w14:paraId="3375E07C" w14:textId="77777777" w:rsidR="000B1CCE" w:rsidRDefault="000B1CCE">
      <w:pPr>
        <w:rPr>
          <w:sz w:val="24"/>
          <w:szCs w:val="32"/>
        </w:rPr>
      </w:pPr>
    </w:p>
    <w:p w14:paraId="4C31C1C6" w14:textId="77777777" w:rsidR="000B1CCE" w:rsidRDefault="000B1CCE">
      <w:pPr>
        <w:rPr>
          <w:sz w:val="24"/>
          <w:szCs w:val="32"/>
        </w:rPr>
      </w:pPr>
    </w:p>
    <w:p w14:paraId="2BE3A2C5" w14:textId="77777777" w:rsidR="000B1CCE" w:rsidRDefault="000B1CCE">
      <w:pPr>
        <w:rPr>
          <w:sz w:val="24"/>
          <w:szCs w:val="32"/>
        </w:rPr>
      </w:pPr>
    </w:p>
    <w:p w14:paraId="56E8313D" w14:textId="77777777" w:rsidR="000B1CCE" w:rsidRDefault="000B1CCE">
      <w:pPr>
        <w:rPr>
          <w:sz w:val="24"/>
          <w:szCs w:val="32"/>
        </w:rPr>
      </w:pPr>
    </w:p>
    <w:p w14:paraId="24B5CA8D" w14:textId="77777777" w:rsidR="000B1CCE" w:rsidRDefault="000B1CCE">
      <w:pPr>
        <w:rPr>
          <w:sz w:val="24"/>
          <w:szCs w:val="32"/>
        </w:rPr>
      </w:pPr>
    </w:p>
    <w:p w14:paraId="6D285172" w14:textId="77777777" w:rsidR="000B1CCE" w:rsidRDefault="000B1CCE">
      <w:pPr>
        <w:rPr>
          <w:sz w:val="24"/>
          <w:szCs w:val="32"/>
        </w:rPr>
      </w:pPr>
    </w:p>
    <w:p w14:paraId="3EC97488"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背景与意义</w:t>
      </w:r>
    </w:p>
    <w:p w14:paraId="51885175"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研究背景</w:t>
      </w:r>
    </w:p>
    <w:p w14:paraId="75A9DD5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国家课程改革要求学生在真实情境中综合运用知识解决问题</w:t>
      </w:r>
    </w:p>
    <w:p w14:paraId="109DBC7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近年来，我国基础教育课程改革的方向日益明确，即由以知识传授为主转向以核心素养为导向，使学生能够在真实情境中综合运用知识分析和解决问题。</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年发布的《义务教育课程方案（</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年版）》要求各门课程把本课程应着力培养的核心素养具体化，设立跨学科主题学习活动，加强学科之间的关联，原则上各门课程用不少于</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的课时设计跨学科主题学习（教育部，</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）。这一要求意味着，学生不仅要掌握分科知识，还要学会在复杂问题面前调动不同学科的知识。</w:t>
      </w:r>
    </w:p>
    <w:p w14:paraId="0E53AA9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教育部办公厅，</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）。《深化新时代教育评价改革总体方案》此前也提出改进结果评价、强化过程评价、探索增值评价、健全综合评价（中共中央、国务院，</w:t>
      </w:r>
      <w:r>
        <w:rPr>
          <w:rFonts w:ascii="Times New Roman" w:eastAsia="宋体" w:hAnsi="Times New Roman" w:cs="Times New Roman"/>
          <w:color w:val="000000"/>
          <w:kern w:val="0"/>
          <w:sz w:val="24"/>
        </w:rPr>
        <w:t>2020</w:t>
      </w:r>
      <w:r>
        <w:rPr>
          <w:rFonts w:ascii="Times New Roman" w:eastAsia="宋体" w:hAnsi="Times New Roman" w:cs="Times New Roman"/>
          <w:color w:val="000000"/>
          <w:kern w:val="0"/>
          <w:sz w:val="24"/>
        </w:rPr>
        <w:t>）。</w:t>
      </w:r>
    </w:p>
    <w:p w14:paraId="3AC47E1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回答的问题。</w:t>
      </w:r>
    </w:p>
    <w:p w14:paraId="1F26B97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上海基础教育改革为高阶能力培育提供了制度环境和实践要求</w:t>
      </w:r>
    </w:p>
    <w:p w14:paraId="2BA4B92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上海在推进新课程新教材实施方面起步较早。上海市教育委员会印发了普通</w:t>
      </w:r>
      <w:r>
        <w:rPr>
          <w:rFonts w:ascii="Times New Roman" w:eastAsia="宋体" w:hAnsi="Times New Roman" w:cs="Times New Roman"/>
          <w:color w:val="000000"/>
          <w:kern w:val="0"/>
          <w:sz w:val="24"/>
        </w:rPr>
        <w:lastRenderedPageBreak/>
        <w:t>高中和义务教育阶段的课程实施方案（上海市教育委员会，</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），研制新课程新教材实施研究与实践项目指南，通过项目招标推动各区和学校开展行动研究，并在市、区两级建立了</w:t>
      </w:r>
      <w:r>
        <w:rPr>
          <w:rFonts w:ascii="Times New Roman" w:eastAsia="宋体" w:hAnsi="Times New Roman" w:cs="Times New Roman"/>
          <w:color w:val="000000"/>
          <w:kern w:val="0"/>
          <w:sz w:val="24"/>
        </w:rPr>
        <w:t>520</w:t>
      </w:r>
      <w:r>
        <w:rPr>
          <w:rFonts w:ascii="Times New Roman" w:eastAsia="宋体" w:hAnsi="Times New Roman" w:cs="Times New Roman"/>
          <w:color w:val="000000"/>
          <w:kern w:val="0"/>
          <w:sz w:val="24"/>
        </w:rPr>
        <w:t>多个监测点；科创教育方面，已研发近</w:t>
      </w:r>
      <w:r>
        <w:rPr>
          <w:rFonts w:ascii="Times New Roman" w:eastAsia="宋体" w:hAnsi="Times New Roman" w:cs="Times New Roman"/>
          <w:color w:val="000000"/>
          <w:kern w:val="0"/>
          <w:sz w:val="24"/>
        </w:rPr>
        <w:t>40</w:t>
      </w:r>
      <w:r>
        <w:rPr>
          <w:rFonts w:ascii="Times New Roman" w:eastAsia="宋体" w:hAnsi="Times New Roman" w:cs="Times New Roman"/>
          <w:color w:val="000000"/>
          <w:kern w:val="0"/>
          <w:sz w:val="24"/>
        </w:rPr>
        <w:t>门小学、初中、高中贯通的科创课程，在</w:t>
      </w:r>
      <w:r>
        <w:rPr>
          <w:rFonts w:ascii="Times New Roman" w:eastAsia="宋体" w:hAnsi="Times New Roman" w:cs="Times New Roman"/>
          <w:color w:val="000000"/>
          <w:kern w:val="0"/>
          <w:sz w:val="24"/>
        </w:rPr>
        <w:t>200</w:t>
      </w:r>
      <w:r>
        <w:rPr>
          <w:rFonts w:ascii="Times New Roman" w:eastAsia="宋体" w:hAnsi="Times New Roman" w:cs="Times New Roman"/>
          <w:color w:val="000000"/>
          <w:kern w:val="0"/>
          <w:sz w:val="24"/>
        </w:rPr>
        <w:t>余所中小学实施（杨振峰，</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）。上海的课程改革已经从文件层面进入学校日常教学和持续研究的层面。</w:t>
      </w:r>
    </w:p>
    <w:p w14:paraId="6960FC1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年，上海市教育委员会印发关于实施项目化学习推动义务教育育人方式改革的指导意见，提出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年全面启动项目化学习，</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年力争覆盖义务教育阶段所有学校，</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w:t>
      </w:r>
    </w:p>
    <w:p w14:paraId="48B3EB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本课题的研究周期为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11</w:t>
      </w:r>
      <w:r>
        <w:rPr>
          <w:rFonts w:ascii="Times New Roman" w:eastAsia="宋体" w:hAnsi="Times New Roman" w:cs="Times New Roman"/>
          <w:color w:val="000000"/>
          <w:kern w:val="0"/>
          <w:sz w:val="24"/>
        </w:rPr>
        <w:t>月至</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3951071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上海的考试评价改革同样引导学校关注学生综合运用知识的能力。初中学业水平考试的综合测试包括物理试题、化学试题和满分</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分的跨学科案例分析题（上海市教育委员会，</w:t>
      </w:r>
      <w:r>
        <w:rPr>
          <w:rFonts w:ascii="Times New Roman" w:eastAsia="宋体" w:hAnsi="Times New Roman" w:cs="Times New Roman"/>
          <w:color w:val="000000"/>
          <w:kern w:val="0"/>
          <w:sz w:val="24"/>
        </w:rPr>
        <w:t>2019a</w:t>
      </w:r>
      <w:r>
        <w:rPr>
          <w:rFonts w:ascii="Times New Roman" w:eastAsia="宋体" w:hAnsi="Times New Roman" w:cs="Times New Roman"/>
          <w:color w:val="000000"/>
          <w:kern w:val="0"/>
          <w:sz w:val="24"/>
        </w:rPr>
        <w:t>）；初中学生综合素质评价设有创新精神与实践能力板块，重点记录学生参加探究学习、科技活动等方面的过程和成果（上海市教育委员会，</w:t>
      </w:r>
      <w:r>
        <w:rPr>
          <w:rFonts w:ascii="Times New Roman" w:eastAsia="宋体" w:hAnsi="Times New Roman" w:cs="Times New Roman"/>
          <w:color w:val="000000"/>
          <w:kern w:val="0"/>
          <w:sz w:val="24"/>
        </w:rPr>
        <w:t>2019b</w:t>
      </w:r>
      <w:r>
        <w:rPr>
          <w:rFonts w:ascii="Times New Roman" w:eastAsia="宋体" w:hAnsi="Times New Roman" w:cs="Times New Roman"/>
          <w:color w:val="000000"/>
          <w:kern w:val="0"/>
          <w:sz w:val="24"/>
        </w:rPr>
        <w:t>）。对一所上海初高中学校而言，学生能否在真实、复杂的问题中分析判断、提出方案并与人合作，已经成为课程、教学和评价共同关注的内容，学校需要找到在日常课堂和科创活动中系统培养这些能力的办法。</w:t>
      </w:r>
    </w:p>
    <w:p w14:paraId="748ADC7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人工智能的普及使独立思考和判断变得更加重要</w:t>
      </w:r>
    </w:p>
    <w:p w14:paraId="0E38C7E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人工智能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年发布的《中小学生成式人工智能使用指南（</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年版）》明确禁止学生直接复制人工智能生成的内容作为作业或考试答</w:t>
      </w:r>
      <w:r>
        <w:rPr>
          <w:rFonts w:ascii="Times New Roman" w:eastAsia="宋体" w:hAnsi="Times New Roman" w:cs="Times New Roman"/>
          <w:color w:val="000000"/>
          <w:kern w:val="0"/>
          <w:sz w:val="24"/>
        </w:rPr>
        <w:lastRenderedPageBreak/>
        <w:t>案，并要求教师引导学生审视生成文本中的逻辑漏洞、价值倾向和文化偏见，培养学生对技术输出内容的质疑精神与甄别能力（教育部基础教育教学指导委员会，</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w:t>
      </w:r>
    </w:p>
    <w:p w14:paraId="3358C5F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研究证据也表明，技术本身不会自动提升学生的思维水平。综合</w:t>
      </w:r>
      <w:r>
        <w:rPr>
          <w:rFonts w:ascii="Times New Roman" w:eastAsia="宋体" w:hAnsi="Times New Roman" w:cs="Times New Roman"/>
          <w:color w:val="000000"/>
          <w:kern w:val="0"/>
          <w:sz w:val="24"/>
        </w:rPr>
        <w:t>29</w:t>
      </w:r>
      <w:r>
        <w:rPr>
          <w:rFonts w:ascii="Times New Roman" w:eastAsia="宋体" w:hAnsi="Times New Roman" w:cs="Times New Roman"/>
          <w:color w:val="000000"/>
          <w:kern w:val="0"/>
          <w:sz w:val="24"/>
        </w:rPr>
        <w:t>项实验和准实验研究的元分析发现，生成式人工智能总体上能够中等程度地促进学生的高阶思维，但获益在学生之间差异很大，自我调节能力较强的学生提升明显，自我调节能力较弱的学生往往直接照搬答案，提升有限（</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w:t>
      </w:r>
      <w:r>
        <w:rPr>
          <w:rFonts w:ascii="Times New Roman" w:eastAsia="宋体" w:hAnsi="Times New Roman" w:cs="Times New Roman"/>
          <w:color w:val="000000"/>
          <w:kern w:val="0"/>
          <w:sz w:val="24"/>
        </w:rPr>
        <w:t>Chen &amp; Cheung, 2025</w:t>
      </w:r>
      <w:r>
        <w:rPr>
          <w:rFonts w:ascii="Times New Roman" w:eastAsia="宋体" w:hAnsi="Times New Roman" w:cs="Times New Roman"/>
          <w:color w:val="000000"/>
          <w:kern w:val="0"/>
          <w:sz w:val="24"/>
        </w:rPr>
        <w:t>）。技术越普及，学校越需要通过任务设计、追问引导和反馈，帮助学生在使用技术时保持独立判断（</w:t>
      </w:r>
      <w:r>
        <w:rPr>
          <w:rFonts w:ascii="Times New Roman" w:eastAsia="宋体" w:hAnsi="Times New Roman" w:cs="Times New Roman"/>
          <w:color w:val="000000"/>
          <w:kern w:val="0"/>
          <w:sz w:val="24"/>
        </w:rPr>
        <w:t>Li et al., 2026; Wu et al., 2025</w:t>
      </w:r>
      <w:r>
        <w:rPr>
          <w:rFonts w:ascii="Times New Roman" w:eastAsia="宋体" w:hAnsi="Times New Roman" w:cs="Times New Roman"/>
          <w:color w:val="000000"/>
          <w:kern w:val="0"/>
          <w:sz w:val="24"/>
        </w:rPr>
        <w:t>）。</w:t>
      </w:r>
    </w:p>
    <w:p w14:paraId="6FAED27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课堂中高阶学习是否真正发生难以仅凭活动和考试结果判断</w:t>
      </w:r>
    </w:p>
    <w:p w14:paraId="20CE161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和教师普遍认同高阶能力培养的重要性，课堂中也越来越重视问题设计、合作学习、探究活动和学生参与。然而，课堂活动的增加与高阶学习的发生之间仍有距离。学生参加讨论、完成任务，只能说明学习行为已经发生，不能直接说明学生在分析问题、比较观点、形成判断，或者与同伴共同建构了新的理解。</w:t>
      </w:r>
    </w:p>
    <w:p w14:paraId="1D328D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）。合作学习之所以能够促进高阶思维，在于学生需要向同伴解释概念、回应质疑并整合不同意见（</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）；如果小组任务没有分工、不要求说明理由，也没有反思环节，讨论就容易沦为简单的信息交换，甚至只是少数学生发言、多数学生旁听。</w:t>
      </w:r>
    </w:p>
    <w:p w14:paraId="3764BDF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）。如果只看考试结果，可能会低</w:t>
      </w:r>
      <w:r>
        <w:rPr>
          <w:rFonts w:ascii="Times New Roman" w:eastAsia="宋体" w:hAnsi="Times New Roman" w:cs="Times New Roman"/>
          <w:color w:val="000000"/>
          <w:kern w:val="0"/>
          <w:sz w:val="24"/>
        </w:rPr>
        <w:lastRenderedPageBreak/>
        <w:t>估学生在学习过程中已经发生的变化，也难以判断教学究竟在哪个环节起了作用。</w:t>
      </w:r>
    </w:p>
    <w:p w14:paraId="2ED856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理论正是针对这一问题提出的。该理论主张教师明确告知学生成功的学习表现是什么样子，让学生清楚学习要到达哪里、当前处在什么位置以及下一步如何改进，并依据学生在课堂上留下的真实表现认识自身教学的影响（</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）。如何把这一主张转化为能够识别和支持高阶能力的具体课堂做法，是当前课堂教学改革需要解决的现实问题。</w:t>
      </w:r>
    </w:p>
    <w:p w14:paraId="3C6E744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学校已有实践需要由零散探索走向系统推进</w:t>
      </w:r>
    </w:p>
    <w:p w14:paraId="746ECA2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594D89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对本校而言，推进高阶能力培育不仅需要好的课例，还需要不同学科的教师在培养什么能力、能力发展分为几个层次、依据什么判断学生进步等问题上形成共同的语言。</w:t>
      </w:r>
    </w:p>
    <w:p w14:paraId="0E9F718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15D2EC9C"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lastRenderedPageBreak/>
        <w:t>文献综述</w:t>
      </w:r>
    </w:p>
    <w:p w14:paraId="57CBE8B9"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关于高阶能力的研究</w:t>
      </w:r>
    </w:p>
    <w:p w14:paraId="44ABE90F"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文献检索与总体情况</w:t>
      </w:r>
    </w:p>
    <w:p w14:paraId="1218B4D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w:t>
      </w:r>
      <w:r>
        <w:rPr>
          <w:rFonts w:ascii="Times New Roman" w:eastAsia="宋体" w:hAnsi="Times New Roman" w:cs="Times New Roman"/>
          <w:color w:val="000000"/>
          <w:kern w:val="0"/>
          <w:sz w:val="24"/>
        </w:rPr>
        <w:t>CNKI</w:t>
      </w:r>
      <w:r>
        <w:rPr>
          <w:rFonts w:ascii="Times New Roman" w:eastAsia="宋体" w:hAnsi="Times New Roman" w:cs="Times New Roman"/>
          <w:color w:val="000000"/>
          <w:kern w:val="0"/>
          <w:sz w:val="24"/>
        </w:rPr>
        <w:t>）以高阶能力为主题进行检索，共获得相关文献</w:t>
      </w:r>
      <w:r>
        <w:rPr>
          <w:rFonts w:ascii="Times New Roman" w:eastAsia="宋体" w:hAnsi="Times New Roman" w:cs="Times New Roman"/>
          <w:color w:val="000000"/>
          <w:kern w:val="0"/>
          <w:sz w:val="24"/>
        </w:rPr>
        <w:t>470</w:t>
      </w:r>
      <w:r>
        <w:rPr>
          <w:rFonts w:ascii="Times New Roman" w:eastAsia="宋体" w:hAnsi="Times New Roman" w:cs="Times New Roman"/>
          <w:color w:val="000000"/>
          <w:kern w:val="0"/>
          <w:sz w:val="24"/>
        </w:rPr>
        <w:t>篇，经筛选剔除与研究主题关联度较低或内容明显不相干的文献后，保留</w:t>
      </w:r>
      <w:r>
        <w:rPr>
          <w:rFonts w:ascii="Times New Roman" w:eastAsia="宋体" w:hAnsi="Times New Roman" w:cs="Times New Roman"/>
          <w:color w:val="000000"/>
          <w:kern w:val="0"/>
          <w:sz w:val="24"/>
        </w:rPr>
        <w:t>108</w:t>
      </w:r>
      <w:r>
        <w:rPr>
          <w:rFonts w:ascii="Times New Roman" w:eastAsia="宋体" w:hAnsi="Times New Roman" w:cs="Times New Roman"/>
          <w:color w:val="000000"/>
          <w:kern w:val="0"/>
          <w:sz w:val="24"/>
        </w:rPr>
        <w:t>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58DEBED9"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744C78C0"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1-1  </w:t>
      </w:r>
      <w:r>
        <w:rPr>
          <w:rFonts w:ascii="Times New Roman" w:eastAsia="黑体" w:hAnsi="Times New Roman" w:cs="Times New Roman"/>
          <w:bCs/>
          <w:szCs w:val="21"/>
        </w:rPr>
        <w:t>高阶能力（主题）发文量变化趋势图</w:t>
      </w:r>
    </w:p>
    <w:p w14:paraId="34C1497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中国知网计量可视化分析的结果显示，国内关于高阶能力的研究总体呈波动上升趋势。</w:t>
      </w:r>
      <w:r>
        <w:rPr>
          <w:rFonts w:ascii="Times New Roman" w:eastAsia="宋体" w:hAnsi="Times New Roman" w:cs="Times New Roman"/>
          <w:color w:val="000000"/>
          <w:kern w:val="0"/>
          <w:sz w:val="24"/>
        </w:rPr>
        <w:t>2004—2017</w:t>
      </w:r>
      <w:r>
        <w:rPr>
          <w:rFonts w:ascii="Times New Roman" w:eastAsia="宋体" w:hAnsi="Times New Roman" w:cs="Times New Roman"/>
          <w:color w:val="000000"/>
          <w:kern w:val="0"/>
          <w:sz w:val="24"/>
        </w:rPr>
        <w:t>年相关研究数量较少，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年以后逐渐增加，</w:t>
      </w:r>
      <w:r>
        <w:rPr>
          <w:rFonts w:ascii="Times New Roman" w:eastAsia="宋体" w:hAnsi="Times New Roman" w:cs="Times New Roman"/>
          <w:color w:val="000000"/>
          <w:kern w:val="0"/>
          <w:sz w:val="24"/>
        </w:rPr>
        <w:t>2020—2021</w:t>
      </w:r>
      <w:r>
        <w:rPr>
          <w:rFonts w:ascii="Times New Roman" w:eastAsia="宋体" w:hAnsi="Times New Roman" w:cs="Times New Roman"/>
          <w:color w:val="000000"/>
          <w:kern w:val="0"/>
          <w:sz w:val="24"/>
        </w:rPr>
        <w:t>年出现较明显增长，</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年以来再次升温，</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年目前检索到</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篇，年度数据尚不完整。</w:t>
      </w:r>
    </w:p>
    <w:p w14:paraId="762D6E9E"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主要研究主题</w:t>
      </w:r>
    </w:p>
    <w:p w14:paraId="47F9894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）高阶能力的内涵与结构</w:t>
      </w:r>
    </w:p>
    <w:p w14:paraId="4B152A0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w:t>
      </w:r>
      <w:r>
        <w:rPr>
          <w:rFonts w:ascii="Times New Roman" w:eastAsia="宋体" w:hAnsi="Times New Roman" w:cs="Times New Roman"/>
          <w:color w:val="000000"/>
          <w:kern w:val="0"/>
          <w:sz w:val="24"/>
        </w:rPr>
        <w:t>Anderson &amp; Krathwohl, 2001</w:t>
      </w:r>
      <w:r>
        <w:rPr>
          <w:rFonts w:ascii="Times New Roman" w:eastAsia="宋体" w:hAnsi="Times New Roman" w:cs="Times New Roman"/>
          <w:color w:val="000000"/>
          <w:kern w:val="0"/>
          <w:sz w:val="24"/>
        </w:rPr>
        <w:t>）。分析、评价和创造通常被视为较高层次的认知活动，构成高阶思维最常见的操作性含义。</w:t>
      </w:r>
    </w:p>
    <w:p w14:paraId="05F983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层级划分并不能完整刻画高阶思维的性质。</w:t>
      </w:r>
      <w:r>
        <w:rPr>
          <w:rFonts w:ascii="Times New Roman" w:eastAsia="宋体" w:hAnsi="Times New Roman" w:cs="Times New Roman"/>
          <w:color w:val="000000"/>
          <w:kern w:val="0"/>
          <w:sz w:val="24"/>
        </w:rPr>
        <w:t>Resnick</w:t>
      </w:r>
      <w:r>
        <w:rPr>
          <w:rFonts w:ascii="Times New Roman" w:eastAsia="宋体" w:hAnsi="Times New Roman" w:cs="Times New Roman"/>
          <w:color w:val="000000"/>
          <w:kern w:val="0"/>
          <w:sz w:val="24"/>
        </w:rPr>
        <w:t>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w:t>
      </w:r>
      <w:proofErr w:type="spellStart"/>
      <w:r>
        <w:rPr>
          <w:rFonts w:ascii="Times New Roman" w:eastAsia="宋体" w:hAnsi="Times New Roman" w:cs="Times New Roman"/>
          <w:color w:val="000000"/>
          <w:kern w:val="0"/>
          <w:sz w:val="24"/>
        </w:rPr>
        <w:t>Resnick</w:t>
      </w:r>
      <w:proofErr w:type="spellEnd"/>
      <w:r>
        <w:rPr>
          <w:rFonts w:ascii="Times New Roman" w:eastAsia="宋体" w:hAnsi="Times New Roman" w:cs="Times New Roman"/>
          <w:color w:val="000000"/>
          <w:kern w:val="0"/>
          <w:sz w:val="24"/>
        </w:rPr>
        <w:t>, 1987, as cited in Ünal et al., 2026</w:t>
      </w:r>
      <w:r>
        <w:rPr>
          <w:rFonts w:ascii="Times New Roman" w:eastAsia="宋体" w:hAnsi="Times New Roman" w:cs="Times New Roman"/>
          <w:color w:val="000000"/>
          <w:kern w:val="0"/>
          <w:sz w:val="24"/>
        </w:rPr>
        <w:t>）。这一取向把高阶思维从静态的目标层级拓展为在劣构情境中展开的动态加工过程。</w:t>
      </w:r>
    </w:p>
    <w:p w14:paraId="5029C67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上述成分中，批判性思维与创造力受到的关注最多。批判性思维被界定为以理由为依据、有目的并能够自我调节的反思性判断，既包括解释、分析、评价、推论、说明和自我调节等技能，也包括求真、开放和公正等思维倾向（</w:t>
      </w:r>
      <w:proofErr w:type="spellStart"/>
      <w:r>
        <w:rPr>
          <w:rFonts w:ascii="Times New Roman" w:eastAsia="宋体" w:hAnsi="Times New Roman" w:cs="Times New Roman"/>
          <w:color w:val="000000"/>
          <w:kern w:val="0"/>
          <w:sz w:val="24"/>
        </w:rPr>
        <w:t>Facione</w:t>
      </w:r>
      <w:proofErr w:type="spellEnd"/>
      <w:r>
        <w:rPr>
          <w:rFonts w:ascii="Times New Roman" w:eastAsia="宋体" w:hAnsi="Times New Roman" w:cs="Times New Roman"/>
          <w:color w:val="000000"/>
          <w:kern w:val="0"/>
          <w:sz w:val="24"/>
        </w:rPr>
        <w:t>, 1990, as cited in Hughes, 2014</w:t>
      </w:r>
      <w:r>
        <w:rPr>
          <w:rFonts w:ascii="Times New Roman" w:eastAsia="宋体" w:hAnsi="Times New Roman" w:cs="Times New Roman"/>
          <w:color w:val="000000"/>
          <w:kern w:val="0"/>
          <w:sz w:val="24"/>
        </w:rPr>
        <w:t>）。创造力被界定为在特定情境中生成兼具新颖性和适切性的观念、方案或产品的能力（</w:t>
      </w:r>
      <w:r>
        <w:rPr>
          <w:rFonts w:ascii="Times New Roman" w:eastAsia="宋体" w:hAnsi="Times New Roman" w:cs="Times New Roman"/>
          <w:color w:val="000000"/>
          <w:kern w:val="0"/>
          <w:sz w:val="24"/>
        </w:rPr>
        <w:t>Runco et al., 2026</w:t>
      </w:r>
      <w:r>
        <w:rPr>
          <w:rFonts w:ascii="Times New Roman" w:eastAsia="宋体" w:hAnsi="Times New Roman" w:cs="Times New Roman"/>
          <w:color w:val="000000"/>
          <w:kern w:val="0"/>
          <w:sz w:val="24"/>
        </w:rPr>
        <w:t>），针对大学生的多层元分析表明，创造力能够通过系统训练得到显著提升（</w:t>
      </w:r>
      <w:r>
        <w:rPr>
          <w:rFonts w:ascii="Times New Roman" w:eastAsia="宋体" w:hAnsi="Times New Roman" w:cs="Times New Roman"/>
          <w:color w:val="000000"/>
          <w:kern w:val="0"/>
          <w:sz w:val="24"/>
        </w:rPr>
        <w:t>Guo et al., 2025</w:t>
      </w:r>
      <w:r>
        <w:rPr>
          <w:rFonts w:ascii="Times New Roman" w:eastAsia="宋体" w:hAnsi="Times New Roman" w:cs="Times New Roman"/>
          <w:color w:val="000000"/>
          <w:kern w:val="0"/>
          <w:sz w:val="24"/>
        </w:rPr>
        <w:t>）。国内研究进一步指出，高阶思维的核心在于新旧知识关系的建立，其概念框架包括问题情境分析、新旧知识关系建立、多维信息综合、创新性知识生成以及对思维过程的监控与调节五个成分（马淑风，杨向东，</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w:t>
      </w:r>
    </w:p>
    <w:p w14:paraId="6DAE8AE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与创造力之间并非彼此独立。元分析显示，学生样本中二者呈中等程度的正相关，研究者认为两者都涉及评价、判断和自我调节等认知与元认知过程，要求灵活且目标导向的推理，元认知因而构成二者相互关联的共同基础，也为联合培养提供了理论可能（</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）。这一发现提示，高阶思维的各个成分在真实任务中往往同时被调用，将分析、评价和创造置于同一学习过程中加以培养，比孤立训练某一成分更符合高阶思维的实际运作方式。</w:t>
      </w:r>
    </w:p>
    <w:p w14:paraId="5C13C66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社会情感能力逐渐被纳入高阶能力的讨论范围。经济合作与发展组织（</w:t>
      </w:r>
      <w:proofErr w:type="spellStart"/>
      <w:r>
        <w:rPr>
          <w:rFonts w:ascii="Times New Roman" w:eastAsia="宋体" w:hAnsi="Times New Roman" w:cs="Times New Roman"/>
          <w:color w:val="000000"/>
          <w:kern w:val="0"/>
          <w:sz w:val="24"/>
        </w:rPr>
        <w:t>Organisation</w:t>
      </w:r>
      <w:proofErr w:type="spellEnd"/>
      <w:r>
        <w:rPr>
          <w:rFonts w:ascii="Times New Roman" w:eastAsia="宋体" w:hAnsi="Times New Roman" w:cs="Times New Roman"/>
          <w:color w:val="000000"/>
          <w:kern w:val="0"/>
          <w:sz w:val="24"/>
        </w:rPr>
        <w:t xml:space="preserve"> for Economic Co-operation and Development, OECD</w:t>
      </w:r>
      <w:r>
        <w:rPr>
          <w:rFonts w:ascii="Times New Roman" w:eastAsia="宋体" w:hAnsi="Times New Roman" w:cs="Times New Roman"/>
          <w:color w:val="000000"/>
          <w:kern w:val="0"/>
          <w:sz w:val="24"/>
        </w:rPr>
        <w:t>）开展的社会与情感能力调查（</w:t>
      </w:r>
      <w:r>
        <w:rPr>
          <w:rFonts w:ascii="Times New Roman" w:eastAsia="宋体" w:hAnsi="Times New Roman" w:cs="Times New Roman"/>
          <w:color w:val="000000"/>
          <w:kern w:val="0"/>
          <w:sz w:val="24"/>
        </w:rPr>
        <w:t>Survey on Social and Emotional Skills, SSES</w:t>
      </w:r>
      <w:r>
        <w:rPr>
          <w:rFonts w:ascii="Times New Roman" w:eastAsia="宋体" w:hAnsi="Times New Roman" w:cs="Times New Roman"/>
          <w:color w:val="000000"/>
          <w:kern w:val="0"/>
          <w:sz w:val="24"/>
        </w:rPr>
        <w:t>）从任务能力、情绪调节、协作能力、开放能力和交往能力五个领域考察青少年的社会情感发展（</w:t>
      </w:r>
      <w:r>
        <w:rPr>
          <w:rFonts w:ascii="Times New Roman" w:eastAsia="宋体" w:hAnsi="Times New Roman" w:cs="Times New Roman"/>
          <w:color w:val="000000"/>
          <w:kern w:val="0"/>
          <w:sz w:val="24"/>
        </w:rPr>
        <w:t>OECD, 2021</w:t>
      </w:r>
      <w:r>
        <w:rPr>
          <w:rFonts w:ascii="Times New Roman" w:eastAsia="宋体" w:hAnsi="Times New Roman" w:cs="Times New Roman"/>
          <w:color w:val="000000"/>
          <w:kern w:val="0"/>
          <w:sz w:val="24"/>
        </w:rPr>
        <w:t>）；学术、社会与情感学习协作组织（</w:t>
      </w:r>
      <w:r>
        <w:rPr>
          <w:rFonts w:ascii="Times New Roman" w:eastAsia="宋体" w:hAnsi="Times New Roman" w:cs="Times New Roman"/>
          <w:color w:val="000000"/>
          <w:kern w:val="0"/>
          <w:sz w:val="24"/>
        </w:rPr>
        <w:t>Collaborative for Academic, Social, and Emotional Learning, CASEL</w:t>
      </w:r>
      <w:r>
        <w:rPr>
          <w:rFonts w:ascii="Times New Roman" w:eastAsia="宋体" w:hAnsi="Times New Roman" w:cs="Times New Roman"/>
          <w:color w:val="000000"/>
          <w:kern w:val="0"/>
          <w:sz w:val="24"/>
        </w:rPr>
        <w:t>）提出自我意识、自我管理、社会意识、人际关系技能和负责任决策五个领域（</w:t>
      </w:r>
      <w:r>
        <w:rPr>
          <w:rFonts w:ascii="Times New Roman" w:eastAsia="宋体" w:hAnsi="Times New Roman" w:cs="Times New Roman"/>
          <w:color w:val="000000"/>
          <w:kern w:val="0"/>
          <w:sz w:val="24"/>
        </w:rPr>
        <w:t>CASEL, 2020</w:t>
      </w:r>
      <w:r>
        <w:rPr>
          <w:rFonts w:ascii="Times New Roman" w:eastAsia="宋体" w:hAnsi="Times New Roman" w:cs="Times New Roman"/>
          <w:color w:val="000000"/>
          <w:kern w:val="0"/>
          <w:sz w:val="24"/>
        </w:rPr>
        <w:t>）。元分析表明，系统实施的校本社会情感学习能够改善学生的社会情感技能、日常行为和学业成绩（</w:t>
      </w:r>
      <w:r>
        <w:rPr>
          <w:rFonts w:ascii="Times New Roman" w:eastAsia="宋体" w:hAnsi="Times New Roman" w:cs="Times New Roman"/>
          <w:color w:val="000000"/>
          <w:kern w:val="0"/>
          <w:sz w:val="24"/>
        </w:rPr>
        <w:t>Durlak et al., 2011</w:t>
      </w:r>
      <w:r>
        <w:rPr>
          <w:rFonts w:ascii="Times New Roman" w:eastAsia="宋体" w:hAnsi="Times New Roman" w:cs="Times New Roman"/>
          <w:color w:val="000000"/>
          <w:kern w:val="0"/>
          <w:sz w:val="24"/>
        </w:rPr>
        <w:t>）。</w:t>
      </w:r>
    </w:p>
    <w:p w14:paraId="7DAFAC2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国内学者参与</w:t>
      </w:r>
      <w:r>
        <w:rPr>
          <w:rFonts w:ascii="Times New Roman" w:eastAsia="宋体" w:hAnsi="Times New Roman" w:cs="Times New Roman"/>
          <w:color w:val="000000"/>
          <w:kern w:val="0"/>
          <w:sz w:val="24"/>
        </w:rPr>
        <w:t>SSES</w:t>
      </w:r>
      <w:r>
        <w:rPr>
          <w:rFonts w:ascii="Times New Roman" w:eastAsia="宋体" w:hAnsi="Times New Roman" w:cs="Times New Roman"/>
          <w:color w:val="000000"/>
          <w:kern w:val="0"/>
          <w:sz w:val="24"/>
        </w:rPr>
        <w:t>测评，提供了与本课题关系密切的本土证据。基于济南市</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岁和</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岁学生的第二轮测评数据显示，</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岁组在全部</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项社会与情感能力上的得分均高于</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岁组女生在责任感、共情和包容度上得分高于男生，情绪控制和抗压力与学业焦虑关系最为密切，成就动机、毅力和好奇心与语文、数学和艺术成绩相关（袁振国等，</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）。基于苏州市数据的研究发现，交往能力与其他社会与情感能力之间存在中等程度的相关，并受同伴关系、家庭背景、教师和学校因素的影响（黄忠敬等，</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上述结果表明，社会情感能力在中学阶段并不随年龄增长自然提高，学校层面的有意识培养具有必要性。也有研究提醒，将深受文化影响的共情、情绪等品质转化为统一分数进行跨情境比较，存在标准化和简化的风险（</w:t>
      </w:r>
      <w:r>
        <w:rPr>
          <w:rFonts w:ascii="Times New Roman" w:eastAsia="宋体" w:hAnsi="Times New Roman" w:cs="Times New Roman"/>
          <w:color w:val="000000"/>
          <w:kern w:val="0"/>
          <w:sz w:val="24"/>
        </w:rPr>
        <w:t>Steiner-Khamsi et al., 2024</w:t>
      </w:r>
      <w:r>
        <w:rPr>
          <w:rFonts w:ascii="Times New Roman" w:eastAsia="宋体" w:hAnsi="Times New Roman" w:cs="Times New Roman"/>
          <w:color w:val="000000"/>
          <w:kern w:val="0"/>
          <w:sz w:val="24"/>
        </w:rPr>
        <w:t>）。</w:t>
      </w:r>
    </w:p>
    <w:p w14:paraId="576BE6E6"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总体而言，高阶能力的内涵经历了由认知层级划分到思维过程刻画、再到认知与社会情感综合发展的演变。</w:t>
      </w:r>
      <w:r>
        <w:rPr>
          <w:rFonts w:ascii="Times New Roman" w:eastAsia="宋体" w:hAnsi="Times New Roman" w:cs="Times New Roman"/>
          <w:color w:val="000000"/>
          <w:kern w:val="0"/>
          <w:sz w:val="24"/>
        </w:rPr>
        <w:t>学生在完成复杂任务时既需要分析、评价和创造，也需要承担责任、调节情绪、与人合作并保持开放，这为本课题从高阶思维能力与高阶社会情感能力两个方面界定中学生高阶能力提供了依据。</w:t>
      </w:r>
    </w:p>
    <w:p w14:paraId="6185EF2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）高阶能力的发展条件</w:t>
      </w:r>
    </w:p>
    <w:p w14:paraId="6A339C3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现有证据较为一致地表明，高阶能力不会随知识难度的提高而自然形成，其发展依赖特定的教学条件。</w:t>
      </w:r>
    </w:p>
    <w:p w14:paraId="58FC613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w:t>
      </w:r>
    </w:p>
    <w:p w14:paraId="652A4B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其次，高阶思维的发展依赖思维过程的外化与社会性检验。合作学习对高阶思维的促进作用高于其对学业成绩和情感态度的作用，其机制在于学习者必须阐明推理依据、处理同伴之间的认知冲突并协商达成共识（</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）。图形组织器对高阶思维同样具有显著的促进作用，其中思维导图的效果最强，概念图由于结构复杂、绘制负担较重，效果相对较弱（</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w:t>
      </w:r>
    </w:p>
    <w:p w14:paraId="2291FE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w:t>
      </w:r>
      <w:r>
        <w:rPr>
          <w:rFonts w:ascii="Times New Roman" w:eastAsia="宋体" w:hAnsi="Times New Roman" w:cs="Times New Roman"/>
          <w:color w:val="000000"/>
          <w:kern w:val="0"/>
          <w:sz w:val="24"/>
        </w:rPr>
        <w:lastRenderedPageBreak/>
        <w:t>识薄弱的学生从指导中获益更多，而学生尚未掌握必要基础知识时直接开展开放探究，容易引入无关信息并保留推理错误（</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w:t>
      </w:r>
    </w:p>
    <w:p w14:paraId="55E2D3D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指导的设计还需要避免过载。同时向学习者提供多种相互重叠的外部支架，并不会产生叠加效应，反而可能分散注意力、增加无关认知负荷而相互抵消（</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从学习者一方看，学生采取深层还是表层的学习取向，取决于教学与评价所释放的信号以及课堂条件。课程宣称重视理解而考试只奖励复述时，学生会理性地选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79E6898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1C37858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）高阶能力的学科依存性与情境性</w:t>
      </w:r>
    </w:p>
    <w:p w14:paraId="190AFC7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w:t>
      </w:r>
      <w:r>
        <w:rPr>
          <w:rFonts w:ascii="Times New Roman" w:eastAsia="宋体" w:hAnsi="Times New Roman" w:cs="Times New Roman"/>
          <w:color w:val="000000"/>
          <w:kern w:val="0"/>
          <w:sz w:val="24"/>
        </w:rPr>
        <w:t>Hughes, 2014</w:t>
      </w:r>
      <w:r>
        <w:rPr>
          <w:rFonts w:ascii="Times New Roman" w:eastAsia="宋体" w:hAnsi="Times New Roman" w:cs="Times New Roman"/>
          <w:color w:val="000000"/>
          <w:kern w:val="0"/>
          <w:sz w:val="24"/>
        </w:rPr>
        <w:t>）。</w:t>
      </w:r>
    </w:p>
    <w:p w14:paraId="55851CD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w:t>
      </w:r>
    </w:p>
    <w:p w14:paraId="6EAFCD8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上海的项目化学习政策体现了同样的思路。学科项目化学习指向本学科的核心素养，跨学科项目化学习则将自然和社会中真实而复杂的问题转化为项目，指向两个及以上学科的核心素养（上海市教育委员会，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）。对本课题而言，高阶能力培育既需要跨学科共享的能力目标，又需要在语文、数学、物理、英语等</w:t>
      </w:r>
      <w:r>
        <w:rPr>
          <w:rFonts w:ascii="Times New Roman" w:eastAsia="宋体" w:hAnsi="Times New Roman" w:cs="Times New Roman"/>
          <w:color w:val="000000"/>
          <w:kern w:val="0"/>
          <w:sz w:val="24"/>
        </w:rPr>
        <w:lastRenderedPageBreak/>
        <w:t>学科以及科创项目中形成各自的实践方式，不宜以统一流程机械套用于所有课堂。</w:t>
      </w:r>
    </w:p>
    <w:p w14:paraId="696D809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w:t>
      </w:r>
      <w:r>
        <w:rPr>
          <w:rFonts w:ascii="Times New Roman" w:eastAsia="华文楷体" w:hAnsi="Times New Roman" w:cs="Times New Roman"/>
          <w:kern w:val="0"/>
          <w:sz w:val="24"/>
        </w:rPr>
        <w:t>）高阶能力的评价</w:t>
      </w:r>
    </w:p>
    <w:p w14:paraId="28EA65E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评价设计需要区分术语使用、一般认知发展和真实的批判性判断（</w:t>
      </w:r>
      <w:r>
        <w:rPr>
          <w:rFonts w:ascii="Times New Roman" w:eastAsia="宋体" w:hAnsi="Times New Roman" w:cs="Times New Roman"/>
          <w:color w:val="000000"/>
          <w:kern w:val="0"/>
          <w:sz w:val="24"/>
        </w:rPr>
        <w:t>Zemplén, 2007</w:t>
      </w:r>
      <w:r>
        <w:rPr>
          <w:rFonts w:ascii="Times New Roman" w:eastAsia="宋体" w:hAnsi="Times New Roman" w:cs="Times New Roman"/>
          <w:color w:val="000000"/>
          <w:kern w:val="0"/>
          <w:sz w:val="24"/>
        </w:rPr>
        <w:t>）。第二个难题是教师缺乏判断依据，对国际文凭学校教师的调查显示，评估学生批判性思维的进步是教师认为最困难的工作，探究性思维缺乏标准答案，而学生又习惯于索要确定的分数（</w:t>
      </w:r>
      <w:r>
        <w:rPr>
          <w:rFonts w:ascii="Times New Roman" w:eastAsia="宋体" w:hAnsi="Times New Roman" w:cs="Times New Roman"/>
          <w:color w:val="000000"/>
          <w:kern w:val="0"/>
          <w:sz w:val="24"/>
        </w:rPr>
        <w:t>Bergeron &amp; Rogers, 2015</w:t>
      </w:r>
      <w:r>
        <w:rPr>
          <w:rFonts w:ascii="Times New Roman" w:eastAsia="宋体" w:hAnsi="Times New Roman" w:cs="Times New Roman"/>
          <w:color w:val="000000"/>
          <w:kern w:val="0"/>
          <w:sz w:val="24"/>
        </w:rPr>
        <w:t>）。</w:t>
      </w:r>
    </w:p>
    <w:p w14:paraId="4353912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形成性评价为应对上述难题提供了思路。过早给出终结性分数会促使学生追求唯一正确答案而回避智识风险，低利害的多轮练习与修订以及描述性反馈，更有利于学生提出新颖假设并审慎修正论证（</w:t>
      </w:r>
      <w:r>
        <w:rPr>
          <w:rFonts w:ascii="Times New Roman" w:eastAsia="宋体" w:hAnsi="Times New Roman" w:cs="Times New Roman"/>
          <w:color w:val="000000"/>
          <w:kern w:val="0"/>
          <w:sz w:val="24"/>
        </w:rPr>
        <w:t>Bouckaert, 2023</w:t>
      </w:r>
      <w:r>
        <w:rPr>
          <w:rFonts w:ascii="Times New Roman" w:eastAsia="宋体" w:hAnsi="Times New Roman" w:cs="Times New Roman"/>
          <w:color w:val="000000"/>
          <w:kern w:val="0"/>
          <w:sz w:val="24"/>
        </w:rPr>
        <w:t>）。学习结果结构分类（</w:t>
      </w:r>
      <w:r>
        <w:rPr>
          <w:rFonts w:ascii="Times New Roman" w:eastAsia="宋体" w:hAnsi="Times New Roman" w:cs="Times New Roman"/>
          <w:color w:val="000000"/>
          <w:kern w:val="0"/>
          <w:sz w:val="24"/>
        </w:rPr>
        <w:t>Structure of the Observed Learning Outcome, SOLO</w:t>
      </w:r>
      <w:r>
        <w:rPr>
          <w:rFonts w:ascii="Times New Roman" w:eastAsia="宋体" w:hAnsi="Times New Roman" w:cs="Times New Roman"/>
          <w:color w:val="000000"/>
          <w:kern w:val="0"/>
          <w:sz w:val="24"/>
        </w:rPr>
        <w:t>）依据学生回答的结构复杂程度，将理解水平划分为前结构、单点结构、多点结构、关联结构和拓展抽象五个层次，后两个层次对应整合多方面信息并迁移至新问题的能力，为观察思维质量提供了表现性参照（</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77F551C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结合课程实施情况加以解释（</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）。这意味着，高阶能力评价既要关注技能表现，也要关注思维倾向，并把测评结果放回具体的教学情境中理解。</w:t>
      </w:r>
    </w:p>
    <w:p w14:paraId="194EFE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评价还需警惕单一证据的局限。元分析显示，创造力与批判性思维均采用自陈量表测量时，二者的相关明显高于均采用任务表现测量时，表明共享测量方法会放大构念之间的观察相关（</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）。学习分析技术扩大了可观察的范围，但仪表盘以颜色、进度条等形式给出的直观判断，可能先于并替代教师对学生学习的专业解释（</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因此，高阶能力评价需要综合问卷、作品、课堂表现和教师判断等多种证据，并明确每类证据所能支持的推</w:t>
      </w:r>
      <w:r>
        <w:rPr>
          <w:rFonts w:ascii="Times New Roman" w:eastAsia="宋体" w:hAnsi="Times New Roman" w:cs="Times New Roman"/>
          <w:b/>
          <w:color w:val="000000"/>
          <w:kern w:val="0"/>
          <w:sz w:val="24"/>
        </w:rPr>
        <w:lastRenderedPageBreak/>
        <w:t>断范围。</w:t>
      </w:r>
    </w:p>
    <w:p w14:paraId="0681CD3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w:t>
      </w:r>
      <w:r>
        <w:rPr>
          <w:rFonts w:ascii="Times New Roman" w:eastAsia="华文楷体" w:hAnsi="Times New Roman" w:cs="Times New Roman"/>
          <w:kern w:val="0"/>
          <w:sz w:val="24"/>
        </w:rPr>
        <w:t>）数智技术对高阶能力发展的影响</w:t>
      </w:r>
    </w:p>
    <w:p w14:paraId="3CA9B79A"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生成式人工智能进入教育领域后，其究竟促进还是替代学生思考成为新的研究问题，现有证据表明答案取决于使用方式。</w:t>
      </w:r>
      <w:r>
        <w:rPr>
          <w:rFonts w:ascii="Times New Roman" w:eastAsia="宋体" w:hAnsi="Times New Roman" w:cs="Times New Roman"/>
          <w:color w:val="000000"/>
          <w:kern w:val="0"/>
          <w:sz w:val="24"/>
        </w:rPr>
        <w:t>元分析发现，生成式人工智能对问题解决和批判性思维的促进作用较为明显，对创造力的促进作用相对较小，研究者认为这与模型倾向于输出常规答案、学生直接采用后难以产生新颖构想有关；干预周期呈倒</w:t>
      </w:r>
      <w:r>
        <w:rPr>
          <w:rFonts w:ascii="Times New Roman" w:eastAsia="宋体" w:hAnsi="Times New Roman" w:cs="Times New Roman"/>
          <w:color w:val="000000"/>
          <w:kern w:val="0"/>
          <w:sz w:val="24"/>
        </w:rPr>
        <w:t>U</w:t>
      </w:r>
      <w:r>
        <w:rPr>
          <w:rFonts w:ascii="Times New Roman" w:eastAsia="宋体" w:hAnsi="Times New Roman" w:cs="Times New Roman"/>
          <w:color w:val="000000"/>
          <w:kern w:val="0"/>
          <w:sz w:val="24"/>
        </w:rPr>
        <w:t>型，</w:t>
      </w:r>
      <w:r>
        <w:rPr>
          <w:rFonts w:ascii="Times New Roman" w:eastAsia="宋体" w:hAnsi="Times New Roman" w:cs="Times New Roman"/>
          <w:color w:val="000000"/>
          <w:kern w:val="0"/>
          <w:sz w:val="24"/>
        </w:rPr>
        <w:t>8</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周效果最佳，周期过短学生尚处适应阶段，周期过长则容易产生依赖和倦怠（</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w:t>
      </w:r>
    </w:p>
    <w:p w14:paraId="55F570E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针对高等教育中</w:t>
      </w:r>
      <w:r>
        <w:rPr>
          <w:rFonts w:ascii="Times New Roman" w:eastAsia="宋体" w:hAnsi="Times New Roman" w:cs="Times New Roman"/>
          <w:color w:val="000000"/>
          <w:kern w:val="0"/>
          <w:sz w:val="24"/>
        </w:rPr>
        <w:t>ChatGPT</w:t>
      </w:r>
      <w:r>
        <w:rPr>
          <w:rFonts w:ascii="Times New Roman" w:eastAsia="宋体" w:hAnsi="Times New Roman" w:cs="Times New Roman"/>
          <w:color w:val="000000"/>
          <w:kern w:val="0"/>
          <w:sz w:val="24"/>
        </w:rPr>
        <w:t>使用的系统综述，分析了</w:t>
      </w:r>
      <w:r>
        <w:rPr>
          <w:rFonts w:ascii="Times New Roman" w:eastAsia="宋体" w:hAnsi="Times New Roman" w:cs="Times New Roman"/>
          <w:color w:val="000000"/>
          <w:kern w:val="0"/>
          <w:sz w:val="24"/>
        </w:rPr>
        <w:t>34</w:t>
      </w:r>
      <w:r>
        <w:rPr>
          <w:rFonts w:ascii="Times New Roman" w:eastAsia="宋体" w:hAnsi="Times New Roman" w:cs="Times New Roman"/>
          <w:color w:val="000000"/>
          <w:kern w:val="0"/>
          <w:sz w:val="24"/>
        </w:rPr>
        <w:t>项同时考察批判性思维和创造性思维的研究。其中约</w:t>
      </w:r>
      <w:r>
        <w:rPr>
          <w:rFonts w:ascii="Times New Roman" w:eastAsia="宋体" w:hAnsi="Times New Roman" w:cs="Times New Roman"/>
          <w:color w:val="000000"/>
          <w:kern w:val="0"/>
          <w:sz w:val="24"/>
        </w:rPr>
        <w:t>53%</w:t>
      </w:r>
      <w:r>
        <w:rPr>
          <w:rFonts w:ascii="Times New Roman" w:eastAsia="宋体" w:hAnsi="Times New Roman" w:cs="Times New Roman"/>
          <w:color w:val="000000"/>
          <w:kern w:val="0"/>
          <w:sz w:val="24"/>
        </w:rPr>
        <w:t>的研究发现两类思维同步提升，约</w:t>
      </w:r>
      <w:r>
        <w:rPr>
          <w:rFonts w:ascii="Times New Roman" w:eastAsia="宋体" w:hAnsi="Times New Roman" w:cs="Times New Roman"/>
          <w:color w:val="000000"/>
          <w:kern w:val="0"/>
          <w:sz w:val="24"/>
        </w:rPr>
        <w:t>24%</w:t>
      </w:r>
      <w:r>
        <w:rPr>
          <w:rFonts w:ascii="Times New Roman" w:eastAsia="宋体" w:hAnsi="Times New Roman" w:cs="Times New Roman"/>
          <w:color w:val="000000"/>
          <w:kern w:val="0"/>
          <w:sz w:val="24"/>
        </w:rPr>
        <w:t>的研究发现学生的构想数量增加而辨别信息、严谨论证的能力减弱，约</w:t>
      </w:r>
      <w:r>
        <w:rPr>
          <w:rFonts w:ascii="Times New Roman" w:eastAsia="宋体" w:hAnsi="Times New Roman" w:cs="Times New Roman"/>
          <w:color w:val="000000"/>
          <w:kern w:val="0"/>
          <w:sz w:val="24"/>
        </w:rPr>
        <w:t>12%</w:t>
      </w:r>
      <w:r>
        <w:rPr>
          <w:rFonts w:ascii="Times New Roman" w:eastAsia="宋体" w:hAnsi="Times New Roman" w:cs="Times New Roman"/>
          <w:color w:val="000000"/>
          <w:kern w:val="0"/>
          <w:sz w:val="24"/>
        </w:rPr>
        <w:t>的研究发现两类思维同时下降，差异主要取决于教学中是否嵌入了依据评价量规检查人工智能输出、对答案持续追问和同伴互审等反思环节（</w:t>
      </w:r>
      <w:r>
        <w:rPr>
          <w:rFonts w:ascii="Times New Roman" w:eastAsia="宋体" w:hAnsi="Times New Roman" w:cs="Times New Roman"/>
          <w:color w:val="000000"/>
          <w:kern w:val="0"/>
          <w:sz w:val="24"/>
        </w:rPr>
        <w:t>Li et al., 2026</w:t>
      </w:r>
      <w:r>
        <w:rPr>
          <w:rFonts w:ascii="Times New Roman" w:eastAsia="宋体" w:hAnsi="Times New Roman" w:cs="Times New Roman"/>
          <w:color w:val="000000"/>
          <w:kern w:val="0"/>
          <w:sz w:val="24"/>
        </w:rPr>
        <w:t>）。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t>
      </w:r>
      <w:r>
        <w:rPr>
          <w:rFonts w:ascii="Times New Roman" w:eastAsia="宋体" w:hAnsi="Times New Roman" w:cs="Times New Roman"/>
          <w:color w:val="000000"/>
          <w:kern w:val="0"/>
          <w:sz w:val="24"/>
        </w:rPr>
        <w:t>Wu et al., 2025</w:t>
      </w:r>
      <w:r>
        <w:rPr>
          <w:rFonts w:ascii="Times New Roman" w:eastAsia="宋体" w:hAnsi="Times New Roman" w:cs="Times New Roman"/>
          <w:color w:val="000000"/>
          <w:kern w:val="0"/>
          <w:sz w:val="24"/>
        </w:rPr>
        <w:t>）。</w:t>
      </w:r>
    </w:p>
    <w:p w14:paraId="43F82AB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面向基础教育的证据相对有限。关于人工智能学习助手对中小学生认知表现影响的元分析发现，其对高阶思维的平均效应为正，但未达到统计显著，研究间异质性很高，效果高度依赖探究性教学设计和反思性任务（</w:t>
      </w:r>
      <w:r>
        <w:rPr>
          <w:rFonts w:ascii="Times New Roman" w:eastAsia="宋体" w:hAnsi="Times New Roman" w:cs="Times New Roman"/>
          <w:color w:val="000000"/>
          <w:kern w:val="0"/>
          <w:sz w:val="24"/>
        </w:rPr>
        <w:t>Liu et al., 2026</w:t>
      </w:r>
      <w:r>
        <w:rPr>
          <w:rFonts w:ascii="Times New Roman" w:eastAsia="宋体" w:hAnsi="Times New Roman" w:cs="Times New Roman"/>
          <w:color w:val="000000"/>
          <w:kern w:val="0"/>
          <w:sz w:val="24"/>
        </w:rPr>
        <w:t>）。反馈研究建议，要求学生将人工智能生成的反馈与同伴意见、教师指导和优秀范例进行比较，并说明采纳或拒绝每条建议的理由，可以使技术反馈成为学生判断的素材而非替代（</w:t>
      </w:r>
      <w:r>
        <w:rPr>
          <w:rFonts w:ascii="Times New Roman" w:eastAsia="宋体" w:hAnsi="Times New Roman" w:cs="Times New Roman"/>
          <w:color w:val="000000"/>
          <w:kern w:val="0"/>
          <w:sz w:val="24"/>
        </w:rPr>
        <w:t>Du &amp; Yuan, 2026</w:t>
      </w:r>
      <w:r>
        <w:rPr>
          <w:rFonts w:ascii="Times New Roman" w:eastAsia="宋体" w:hAnsi="Times New Roman" w:cs="Times New Roman"/>
          <w:color w:val="000000"/>
          <w:kern w:val="0"/>
          <w:sz w:val="24"/>
        </w:rPr>
        <w:t>）。数智技术并未降低高阶能力的重要性，反而对学习设计以及判断学生是否真正进行思考提出了更高要求。</w:t>
      </w:r>
    </w:p>
    <w:p w14:paraId="228BE3E2"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关于可见的学习的研究</w:t>
      </w:r>
    </w:p>
    <w:p w14:paraId="6BB2256C"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文献检索与总体情况</w:t>
      </w:r>
    </w:p>
    <w:p w14:paraId="2C5295A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课题组在中国知网以可见的学习为关键词进行检索，并统计了相关文献的年度发文情况。国内相关研究总体呈波动上升趋势，早期成果较少，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年以后发文量逐步增加，</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年以来增长较为明显，</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年的数据尚在统计之中。</w:t>
      </w:r>
    </w:p>
    <w:p w14:paraId="7743CD0E"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7F1E846C"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1-2  </w:t>
      </w:r>
      <w:r>
        <w:rPr>
          <w:rFonts w:ascii="Times New Roman" w:eastAsia="黑体" w:hAnsi="Times New Roman" w:cs="Times New Roman"/>
          <w:bCs/>
          <w:szCs w:val="21"/>
        </w:rPr>
        <w:t>可见的学习（主题）发文量变化趋势图</w:t>
      </w:r>
    </w:p>
    <w:p w14:paraId="50CB2A7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研究内容看，相关研究由关注不同教学因素对学业成绩的影响，逐渐扩展到可见的理论含义、学习意图与成功标准、反馈与形成性评价、教师角色与学校文化等方面，同时也出现了对该理论证据基础的系统批评。以下从理论主张、运行机制、教师与学校层面的要求以及学术争议四个方面进行综述。</w:t>
      </w:r>
    </w:p>
    <w:p w14:paraId="1D298548"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主要研究主题</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）可见的学习的基本主张</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可见的学习是新西兰学者</w:t>
      </w:r>
      <w:r>
        <w:rPr>
          <w:rFonts w:ascii="Times New Roman" w:eastAsia="宋体" w:hAnsi="Times New Roman" w:cs="Times New Roman"/>
          <w:color w:val="000000"/>
          <w:kern w:val="0"/>
          <w:sz w:val="24"/>
        </w:rPr>
        <w:t>John Hattie</w:t>
      </w:r>
      <w:r>
        <w:rPr>
          <w:rFonts w:ascii="Times New Roman" w:eastAsia="宋体" w:hAnsi="Times New Roman" w:cs="Times New Roman"/>
          <w:color w:val="000000"/>
          <w:kern w:val="0"/>
          <w:sz w:val="24"/>
        </w:rPr>
        <w:t>基于大规模教育证据综合提出的理论框架。其统计基础可以追溯到</w:t>
      </w:r>
      <w:r>
        <w:rPr>
          <w:rFonts w:ascii="Times New Roman" w:eastAsia="宋体" w:hAnsi="Times New Roman" w:cs="Times New Roman"/>
          <w:color w:val="000000"/>
          <w:kern w:val="0"/>
          <w:sz w:val="24"/>
        </w:rPr>
        <w:t>1992</w:t>
      </w:r>
      <w:r>
        <w:rPr>
          <w:rFonts w:ascii="Times New Roman" w:eastAsia="宋体" w:hAnsi="Times New Roman" w:cs="Times New Roman"/>
          <w:color w:val="000000"/>
          <w:kern w:val="0"/>
          <w:sz w:val="24"/>
        </w:rPr>
        <w:t>年对</w:t>
      </w:r>
      <w:r>
        <w:rPr>
          <w:rFonts w:ascii="Times New Roman" w:eastAsia="宋体" w:hAnsi="Times New Roman" w:cs="Times New Roman"/>
          <w:color w:val="000000"/>
          <w:kern w:val="0"/>
          <w:sz w:val="24"/>
        </w:rPr>
        <w:t>134</w:t>
      </w:r>
      <w:r>
        <w:rPr>
          <w:rFonts w:ascii="Times New Roman" w:eastAsia="宋体" w:hAnsi="Times New Roman" w:cs="Times New Roman"/>
          <w:color w:val="000000"/>
          <w:kern w:val="0"/>
          <w:sz w:val="24"/>
        </w:rPr>
        <w:t>项元分析、两万余个效应量的综合，该综合确立了约</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个标准差的平均效应作为比较不同教育干预相对效果的参照（</w:t>
      </w:r>
      <w:r>
        <w:rPr>
          <w:rFonts w:ascii="Times New Roman" w:eastAsia="宋体" w:hAnsi="Times New Roman" w:cs="Times New Roman"/>
          <w:color w:val="000000"/>
          <w:kern w:val="0"/>
          <w:sz w:val="24"/>
        </w:rPr>
        <w:t>Higgins, 2016</w:t>
      </w:r>
      <w:r>
        <w:rPr>
          <w:rFonts w:ascii="Times New Roman" w:eastAsia="宋体" w:hAnsi="Times New Roman" w:cs="Times New Roman"/>
          <w:color w:val="000000"/>
          <w:kern w:val="0"/>
          <w:sz w:val="24"/>
        </w:rPr>
        <w:t>）。由于几乎所有教学干预都能带来一定进步，这一框架主张判断一项干预是否值得推广，应看其能否带来高于平均水平的增益。</w:t>
      </w:r>
    </w:p>
    <w:p w14:paraId="69C9B20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在成就差异的来源上，这一框架认为学生自身因素约占一半，教师约占</w:t>
      </w:r>
      <w:r>
        <w:rPr>
          <w:rFonts w:ascii="Times New Roman" w:eastAsia="宋体" w:hAnsi="Times New Roman" w:cs="Times New Roman"/>
          <w:color w:val="000000"/>
          <w:kern w:val="0"/>
          <w:sz w:val="24"/>
        </w:rPr>
        <w:t>30%</w:t>
      </w:r>
      <w:r>
        <w:rPr>
          <w:rFonts w:ascii="Times New Roman" w:eastAsia="宋体" w:hAnsi="Times New Roman" w:cs="Times New Roman"/>
          <w:color w:val="000000"/>
          <w:kern w:val="0"/>
          <w:sz w:val="24"/>
        </w:rPr>
        <w:t>，家庭、学校和同伴各占</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w:t>
      </w:r>
      <w:r>
        <w:rPr>
          <w:rFonts w:ascii="Times New Roman" w:eastAsia="宋体" w:hAnsi="Times New Roman" w:cs="Times New Roman"/>
          <w:color w:val="000000"/>
          <w:kern w:val="0"/>
          <w:sz w:val="24"/>
        </w:rPr>
        <w:t xml:space="preserve">Assessment Tools for Teaching and Learning, </w:t>
      </w:r>
      <w:proofErr w:type="spellStart"/>
      <w:r>
        <w:rPr>
          <w:rFonts w:ascii="Times New Roman" w:eastAsia="宋体" w:hAnsi="Times New Roman" w:cs="Times New Roman"/>
          <w:color w:val="000000"/>
          <w:kern w:val="0"/>
          <w:sz w:val="24"/>
        </w:rPr>
        <w:t>asTTle</w:t>
      </w:r>
      <w:proofErr w:type="spellEnd"/>
      <w:r>
        <w:rPr>
          <w:rFonts w:ascii="Times New Roman" w:eastAsia="宋体" w:hAnsi="Times New Roman" w:cs="Times New Roman"/>
          <w:color w:val="000000"/>
          <w:kern w:val="0"/>
          <w:sz w:val="24"/>
        </w:rPr>
        <w:t>）以课程锚定的诊断性测评为教师提供学生所处进阶位置的信息，使评价结果能够及时转化为调整教学的依据（</w:t>
      </w:r>
      <w:r>
        <w:rPr>
          <w:rFonts w:ascii="Times New Roman" w:eastAsia="宋体" w:hAnsi="Times New Roman" w:cs="Times New Roman"/>
          <w:color w:val="000000"/>
          <w:kern w:val="0"/>
          <w:sz w:val="24"/>
        </w:rPr>
        <w:t>Hattie, 2005</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可见的学习的核心含义正在于此，即教师能够看见自身教学对学生学习的影响，学生能够看见自己的学习进展并逐步成为自身学习的主导者。</w:t>
      </w:r>
    </w:p>
    <w:p w14:paraId="79BF6C4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lastRenderedPageBreak/>
        <w:t>2</w:t>
      </w:r>
      <w:r>
        <w:rPr>
          <w:rFonts w:ascii="Times New Roman" w:eastAsia="华文楷体" w:hAnsi="Times New Roman" w:cs="Times New Roman"/>
          <w:kern w:val="0"/>
          <w:sz w:val="24"/>
        </w:rPr>
        <w:t>）可见的学习的运行机制</w:t>
      </w:r>
    </w:p>
    <w:p w14:paraId="3FA94F9C"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可见的学习在课堂中主要通过学习意图、成功标准、学业进阶和反馈四个相互关联的要素运行。</w:t>
      </w:r>
      <w:r>
        <w:rPr>
          <w:rFonts w:ascii="Times New Roman" w:eastAsia="宋体" w:hAnsi="Times New Roman" w:cs="Times New Roman"/>
          <w:color w:val="000000"/>
          <w:kern w:val="0"/>
          <w:sz w:val="24"/>
        </w:rPr>
        <w:t>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周的标准要求学生准确描述</w:t>
      </w:r>
      <w:r>
        <w:rPr>
          <w:rFonts w:ascii="Times New Roman" w:eastAsia="宋体" w:hAnsi="Times New Roman" w:cs="Times New Roman"/>
          <w:color w:val="000000"/>
          <w:kern w:val="0"/>
          <w:sz w:val="24"/>
        </w:rPr>
        <w:t>1820</w:t>
      </w:r>
      <w:r>
        <w:rPr>
          <w:rFonts w:ascii="Times New Roman" w:eastAsia="宋体" w:hAnsi="Times New Roman" w:cs="Times New Roman"/>
          <w:color w:val="000000"/>
          <w:kern w:val="0"/>
          <w:sz w:val="24"/>
        </w:rPr>
        <w:t>年至</w:t>
      </w:r>
      <w:r>
        <w:rPr>
          <w:rFonts w:ascii="Times New Roman" w:eastAsia="宋体" w:hAnsi="Times New Roman" w:cs="Times New Roman"/>
          <w:color w:val="000000"/>
          <w:kern w:val="0"/>
          <w:sz w:val="24"/>
        </w:rPr>
        <w:t>1920</w:t>
      </w:r>
      <w:r>
        <w:rPr>
          <w:rFonts w:ascii="Times New Roman" w:eastAsia="宋体" w:hAnsi="Times New Roman" w:cs="Times New Roman"/>
          <w:color w:val="000000"/>
          <w:kern w:val="0"/>
          <w:sz w:val="24"/>
        </w:rPr>
        <w:t>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w:t>
      </w:r>
      <w:r>
        <w:rPr>
          <w:rFonts w:ascii="Times New Roman" w:eastAsia="宋体" w:hAnsi="Times New Roman" w:cs="Times New Roman"/>
          <w:color w:val="000000"/>
          <w:kern w:val="0"/>
          <w:sz w:val="24"/>
        </w:rPr>
        <w:t>Hattie, 2005, pp. 14–17</w:t>
      </w:r>
      <w:r>
        <w:rPr>
          <w:rFonts w:ascii="Times New Roman" w:eastAsia="宋体" w:hAnsi="Times New Roman" w:cs="Times New Roman"/>
          <w:color w:val="000000"/>
          <w:kern w:val="0"/>
          <w:sz w:val="24"/>
        </w:rPr>
        <w:t>）。</w:t>
      </w:r>
    </w:p>
    <w:p w14:paraId="5D5FE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业进阶描述学生在特定领域由朴素理解走向专家水平的阶梯式发展序列。美国共同核心州立标准的研制经验表明，学业进阶的证据基础并不均衡，小学低段拥有经过实证检验的学习轨迹，初高中阶段的进阶序列则更多是依据学科逻辑推演出来的假设，需要一线教师逐条比对课堂实际进行可行性校准（</w:t>
      </w:r>
      <w:r>
        <w:rPr>
          <w:rFonts w:ascii="Times New Roman" w:eastAsia="宋体" w:hAnsi="Times New Roman" w:cs="Times New Roman"/>
          <w:color w:val="000000"/>
          <w:kern w:val="0"/>
          <w:sz w:val="24"/>
        </w:rPr>
        <w:t>McDonnell &amp; Weatherford, 2013</w:t>
      </w:r>
      <w:r>
        <w:rPr>
          <w:rFonts w:ascii="Times New Roman" w:eastAsia="宋体" w:hAnsi="Times New Roman" w:cs="Times New Roman"/>
          <w:color w:val="000000"/>
          <w:kern w:val="0"/>
          <w:sz w:val="24"/>
        </w:rPr>
        <w:t>）。这一发现提示，学校自行构建的能力进阶描述同样需要在教学实践中检验和修订。</w:t>
      </w:r>
    </w:p>
    <w:p w14:paraId="42CE9BC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反馈围绕学习要到达哪里、当前处于什么位置、下一步如何推进三个问题展开，把目标、当前表现和后续行动连接起来，并可指向任务、过程和自我调节等不同层面（</w:t>
      </w:r>
      <w:r>
        <w:rPr>
          <w:rFonts w:ascii="Times New Roman" w:eastAsia="宋体" w:hAnsi="Times New Roman" w:cs="Times New Roman"/>
          <w:color w:val="000000"/>
          <w:kern w:val="0"/>
          <w:sz w:val="24"/>
        </w:rPr>
        <w:t>Hattie &amp; Timperley, 2007</w:t>
      </w:r>
      <w:r>
        <w:rPr>
          <w:rFonts w:ascii="Times New Roman" w:eastAsia="宋体" w:hAnsi="Times New Roman" w:cs="Times New Roman"/>
          <w:color w:val="000000"/>
          <w:kern w:val="0"/>
          <w:sz w:val="24"/>
        </w:rPr>
        <w:t>）。反馈具有双向性，学生的作业、提问和错误同样是教师判断教学效果的信息来源，有研究者进一步主张将学校建设为持续追问下一步方向的反馈文化（</w:t>
      </w:r>
      <w:r>
        <w:rPr>
          <w:rFonts w:ascii="Times New Roman" w:eastAsia="宋体" w:hAnsi="Times New Roman" w:cs="Times New Roman"/>
          <w:color w:val="000000"/>
          <w:kern w:val="0"/>
          <w:sz w:val="24"/>
        </w:rPr>
        <w:t>Fredens, 2015</w:t>
      </w:r>
      <w:r>
        <w:rPr>
          <w:rFonts w:ascii="Times New Roman" w:eastAsia="宋体" w:hAnsi="Times New Roman" w:cs="Times New Roman"/>
          <w:color w:val="000000"/>
          <w:kern w:val="0"/>
          <w:sz w:val="24"/>
        </w:rPr>
        <w:t>）。课堂观察研究发现，教师往往难以觉察课堂中正在发生的大部分事情，教师自认为讲授仅占课堂时间的二至三成，实际测量却达到七至八成（</w:t>
      </w:r>
      <w:r>
        <w:rPr>
          <w:rFonts w:ascii="Times New Roman" w:eastAsia="宋体" w:hAnsi="Times New Roman" w:cs="Times New Roman"/>
          <w:color w:val="000000"/>
          <w:kern w:val="0"/>
          <w:sz w:val="24"/>
        </w:rPr>
        <w:t>Knudsen, 2017</w:t>
      </w:r>
      <w:r>
        <w:rPr>
          <w:rFonts w:ascii="Times New Roman" w:eastAsia="宋体" w:hAnsi="Times New Roman" w:cs="Times New Roman"/>
          <w:color w:val="000000"/>
          <w:kern w:val="0"/>
          <w:sz w:val="24"/>
        </w:rPr>
        <w:t>），这说明教师需要借助证据而非仅凭感觉了解课堂。反馈的效果还取决于学习者的反馈素养，即理解反馈、判断其合理性、调节面对批评时的情绪并将建议转化为改进行动的能力（</w:t>
      </w:r>
      <w:r>
        <w:rPr>
          <w:rFonts w:ascii="Times New Roman" w:eastAsia="宋体" w:hAnsi="Times New Roman" w:cs="Times New Roman"/>
          <w:color w:val="000000"/>
          <w:kern w:val="0"/>
          <w:sz w:val="24"/>
        </w:rPr>
        <w:t>Carless &amp; Boud, 2018, as cited in Du &amp; Yuan, 2026</w:t>
      </w:r>
      <w:r>
        <w:rPr>
          <w:rFonts w:ascii="Times New Roman" w:eastAsia="宋体" w:hAnsi="Times New Roman" w:cs="Times New Roman"/>
          <w:color w:val="000000"/>
          <w:kern w:val="0"/>
          <w:sz w:val="24"/>
        </w:rPr>
        <w:t>）。</w:t>
      </w:r>
    </w:p>
    <w:p w14:paraId="0B3B1CD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）可见的学习对教师和学校的要求</w:t>
      </w:r>
    </w:p>
    <w:p w14:paraId="75CE9ED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Hattie</w:t>
      </w:r>
      <w:r>
        <w:rPr>
          <w:rFonts w:ascii="Times New Roman" w:eastAsia="宋体" w:hAnsi="Times New Roman" w:cs="Times New Roman"/>
          <w:color w:val="000000"/>
          <w:kern w:val="0"/>
          <w:sz w:val="24"/>
        </w:rPr>
        <w:t>后来进一步提出，决定教学质量的关键与其说在于教师采用了何种方法，不如说在于教师如何理解自身的角色。这种理解被概括为八项教师思维框架，</w:t>
      </w:r>
      <w:r>
        <w:rPr>
          <w:rFonts w:ascii="Times New Roman" w:eastAsia="宋体" w:hAnsi="Times New Roman" w:cs="Times New Roman"/>
          <w:color w:val="000000"/>
          <w:kern w:val="0"/>
          <w:sz w:val="24"/>
        </w:rPr>
        <w:lastRenderedPageBreak/>
        <w:t>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w:t>
      </w:r>
    </w:p>
    <w:p w14:paraId="12AFF75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教师的专业判断需要学校组织的支持。斯堪的纳维亚的研究者将可见的学习重新诠释为校本改进的路径，强调通过教师协作研讨、同伴观课和跨年级共享进阶标准开展集体能力建设（</w:t>
      </w:r>
      <w:r>
        <w:rPr>
          <w:rFonts w:ascii="Times New Roman" w:eastAsia="宋体" w:hAnsi="Times New Roman" w:cs="Times New Roman"/>
          <w:color w:val="000000"/>
          <w:kern w:val="0"/>
          <w:sz w:val="24"/>
        </w:rPr>
        <w:t>Nordahl, 2015</w:t>
      </w:r>
      <w:r>
        <w:rPr>
          <w:rFonts w:ascii="Times New Roman" w:eastAsia="宋体" w:hAnsi="Times New Roman" w:cs="Times New Roman"/>
          <w:color w:val="000000"/>
          <w:kern w:val="0"/>
          <w:sz w:val="24"/>
        </w:rPr>
        <w:t>）。有效的专业学习共同体通常具有聚焦学生学习的共同愿景、对学生学业成效的集体责任、反思性的专业探究以及超越一般互助的深度协作等特征（</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）。关于教育证据使用的研究也发现，学校在日常排课中为教师保留专门的研讨时间，教师才能在互信的氛围中提出疑问、研读研究并结合班级学情设计教学尝试，研究证据也更可能真正进入课堂（</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w:t>
      </w:r>
    </w:p>
    <w:p w14:paraId="03B1AE9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w:t>
      </w:r>
      <w:proofErr w:type="spellStart"/>
      <w:r>
        <w:rPr>
          <w:rFonts w:ascii="Times New Roman" w:eastAsia="宋体" w:hAnsi="Times New Roman" w:cs="Times New Roman"/>
          <w:color w:val="000000"/>
          <w:kern w:val="0"/>
          <w:sz w:val="24"/>
        </w:rPr>
        <w:t>Edovald</w:t>
      </w:r>
      <w:proofErr w:type="spellEnd"/>
      <w:r>
        <w:rPr>
          <w:rFonts w:ascii="Times New Roman" w:eastAsia="宋体" w:hAnsi="Times New Roman" w:cs="Times New Roman"/>
          <w:color w:val="000000"/>
          <w:kern w:val="0"/>
          <w:sz w:val="24"/>
        </w:rPr>
        <w:t xml:space="preserve"> &amp; Nevill, 2021</w:t>
      </w:r>
      <w:r>
        <w:rPr>
          <w:rFonts w:ascii="Times New Roman" w:eastAsia="宋体" w:hAnsi="Times New Roman" w:cs="Times New Roman"/>
          <w:color w:val="000000"/>
          <w:kern w:val="0"/>
          <w:sz w:val="24"/>
        </w:rPr>
        <w:t>）。另一方面，把课例研究作为教师共同检验教学方案的正式机制，有助于将教师自身的探究与外部研究证据结合起来（</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）。教研活动的关键在于是否聚焦学生真实的学习表现，并在多轮实践中检验改进是否有效。</w:t>
      </w:r>
    </w:p>
    <w:p w14:paraId="5283776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w:t>
      </w:r>
      <w:r>
        <w:rPr>
          <w:rFonts w:ascii="Times New Roman" w:eastAsia="华文楷体" w:hAnsi="Times New Roman" w:cs="Times New Roman"/>
          <w:kern w:val="0"/>
          <w:sz w:val="24"/>
        </w:rPr>
        <w:t>）学术争议与本研究的使用立场</w:t>
      </w:r>
    </w:p>
    <w:p w14:paraId="1887714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可见的学习在国际上影响广泛，同时也受到持续的学术批评。厘清这些批评，有助于明确本研究应在何种意义上使用该理论。</w:t>
      </w:r>
    </w:p>
    <w:p w14:paraId="1F1144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第一类批评针对以效应量对教学因素进行排序的做法。</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的关节点缺乏充分依据，对不同研究结果的简单平均会掩盖重要差异，例如家庭作业对小学生几乎没有效果，对中学生的效果却较为明显（</w:t>
      </w:r>
      <w:r>
        <w:rPr>
          <w:rFonts w:ascii="Times New Roman" w:eastAsia="宋体" w:hAnsi="Times New Roman" w:cs="Times New Roman"/>
          <w:color w:val="000000"/>
          <w:kern w:val="0"/>
          <w:sz w:val="24"/>
        </w:rPr>
        <w:t>Snook et al., 2009</w:t>
      </w:r>
      <w:r>
        <w:rPr>
          <w:rFonts w:ascii="Times New Roman" w:eastAsia="宋体" w:hAnsi="Times New Roman" w:cs="Times New Roman"/>
          <w:color w:val="000000"/>
          <w:kern w:val="0"/>
          <w:sz w:val="24"/>
        </w:rPr>
        <w:t>）。对二级元分析方法的系统检验发现，原始研究被重复计算、加权方式不一致等问题较为普遍，在一个案例中按正确方法重新计算后，基于网络的学习的效应量由</w:t>
      </w:r>
      <w:r>
        <w:rPr>
          <w:rFonts w:ascii="Times New Roman" w:eastAsia="宋体" w:hAnsi="Times New Roman" w:cs="Times New Roman"/>
          <w:color w:val="000000"/>
          <w:kern w:val="0"/>
          <w:sz w:val="24"/>
        </w:rPr>
        <w:t>0.59</w:t>
      </w:r>
      <w:r>
        <w:rPr>
          <w:rFonts w:ascii="Times New Roman" w:eastAsia="宋体" w:hAnsi="Times New Roman" w:cs="Times New Roman"/>
          <w:color w:val="000000"/>
          <w:kern w:val="0"/>
          <w:sz w:val="24"/>
        </w:rPr>
        <w:t>降至</w:t>
      </w:r>
      <w:r>
        <w:rPr>
          <w:rFonts w:ascii="Times New Roman" w:eastAsia="宋体" w:hAnsi="Times New Roman" w:cs="Times New Roman"/>
          <w:color w:val="000000"/>
          <w:kern w:val="0"/>
          <w:sz w:val="24"/>
        </w:rPr>
        <w:t>0.23</w:t>
      </w:r>
      <w:r>
        <w:rPr>
          <w:rFonts w:ascii="Times New Roman" w:eastAsia="宋体" w:hAnsi="Times New Roman" w:cs="Times New Roman"/>
          <w:color w:val="000000"/>
          <w:kern w:val="0"/>
          <w:sz w:val="24"/>
        </w:rPr>
        <w:t>，排名由第</w:t>
      </w:r>
      <w:r>
        <w:rPr>
          <w:rFonts w:ascii="Times New Roman" w:eastAsia="宋体" w:hAnsi="Times New Roman" w:cs="Times New Roman"/>
          <w:color w:val="000000"/>
          <w:kern w:val="0"/>
          <w:sz w:val="24"/>
        </w:rPr>
        <w:t>26</w:t>
      </w:r>
      <w:r>
        <w:rPr>
          <w:rFonts w:ascii="Times New Roman" w:eastAsia="宋体" w:hAnsi="Times New Roman" w:cs="Times New Roman"/>
          <w:color w:val="000000"/>
          <w:kern w:val="0"/>
          <w:sz w:val="24"/>
        </w:rPr>
        <w:t>位降至第</w:t>
      </w:r>
      <w:r>
        <w:rPr>
          <w:rFonts w:ascii="Times New Roman" w:eastAsia="宋体" w:hAnsi="Times New Roman" w:cs="Times New Roman"/>
          <w:color w:val="000000"/>
          <w:kern w:val="0"/>
          <w:sz w:val="24"/>
        </w:rPr>
        <w:t>98</w:t>
      </w:r>
      <w:r>
        <w:rPr>
          <w:rFonts w:ascii="Times New Roman" w:eastAsia="宋体" w:hAnsi="Times New Roman" w:cs="Times New Roman"/>
          <w:color w:val="000000"/>
          <w:kern w:val="0"/>
          <w:sz w:val="24"/>
        </w:rPr>
        <w:t>位，据此按效应量进行排序具有误导性（</w:t>
      </w:r>
      <w:r>
        <w:rPr>
          <w:rFonts w:ascii="Times New Roman" w:eastAsia="宋体" w:hAnsi="Times New Roman" w:cs="Times New Roman"/>
          <w:color w:val="000000"/>
          <w:kern w:val="0"/>
          <w:sz w:val="24"/>
        </w:rPr>
        <w:t>Wecker et al., 2016</w:t>
      </w:r>
      <w:r>
        <w:rPr>
          <w:rFonts w:ascii="Times New Roman" w:eastAsia="宋体" w:hAnsi="Times New Roman" w:cs="Times New Roman"/>
          <w:color w:val="000000"/>
          <w:kern w:val="0"/>
          <w:sz w:val="24"/>
        </w:rPr>
        <w:t>）。数值示例还表明，同一组数据采用不同公式计算效应量，可能得出完全</w:t>
      </w:r>
      <w:r>
        <w:rPr>
          <w:rFonts w:ascii="Times New Roman" w:eastAsia="宋体" w:hAnsi="Times New Roman" w:cs="Times New Roman"/>
          <w:color w:val="000000"/>
          <w:kern w:val="0"/>
          <w:sz w:val="24"/>
        </w:rPr>
        <w:lastRenderedPageBreak/>
        <w:t>相反的排序（</w:t>
      </w:r>
      <w:r>
        <w:rPr>
          <w:rFonts w:ascii="Times New Roman" w:eastAsia="宋体" w:hAnsi="Times New Roman" w:cs="Times New Roman"/>
          <w:color w:val="000000"/>
          <w:kern w:val="0"/>
          <w:sz w:val="24"/>
        </w:rPr>
        <w:t>Bergeron &amp; Rivard, 2017</w:t>
      </w:r>
      <w:r>
        <w:rPr>
          <w:rFonts w:ascii="Times New Roman" w:eastAsia="宋体" w:hAnsi="Times New Roman" w:cs="Times New Roman"/>
          <w:color w:val="000000"/>
          <w:kern w:val="0"/>
          <w:sz w:val="24"/>
        </w:rPr>
        <w:t>）；大量元分析的层层汇总也会导致原始研究中的具体信息丢失或被扭曲（</w:t>
      </w:r>
      <w:proofErr w:type="spellStart"/>
      <w:r>
        <w:rPr>
          <w:rFonts w:ascii="Times New Roman" w:eastAsia="宋体" w:hAnsi="Times New Roman" w:cs="Times New Roman"/>
          <w:color w:val="000000"/>
          <w:kern w:val="0"/>
          <w:sz w:val="24"/>
        </w:rPr>
        <w:t>Terhart</w:t>
      </w:r>
      <w:proofErr w:type="spellEnd"/>
      <w:r>
        <w:rPr>
          <w:rFonts w:ascii="Times New Roman" w:eastAsia="宋体" w:hAnsi="Times New Roman" w:cs="Times New Roman"/>
          <w:color w:val="000000"/>
          <w:kern w:val="0"/>
          <w:sz w:val="24"/>
        </w:rPr>
        <w:t>, 2011</w:t>
      </w:r>
      <w:r>
        <w:rPr>
          <w:rFonts w:ascii="Times New Roman" w:eastAsia="宋体" w:hAnsi="Times New Roman" w:cs="Times New Roman"/>
          <w:color w:val="000000"/>
          <w:kern w:val="0"/>
          <w:sz w:val="24"/>
        </w:rPr>
        <w:t>）。</w:t>
      </w:r>
    </w:p>
    <w:p w14:paraId="747513F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第二类批评针对核心概念的边界。以反馈为例，支撑反馈具有高影响力这一结论的</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项主要元分析中，只有</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项研究的是与其定义一致的反馈干预，该研究显示反馈的平均效果并不突出，且约</w:t>
      </w:r>
      <w:r>
        <w:rPr>
          <w:rFonts w:ascii="Times New Roman" w:eastAsia="宋体" w:hAnsi="Times New Roman" w:cs="Times New Roman"/>
          <w:color w:val="000000"/>
          <w:kern w:val="0"/>
          <w:sz w:val="24"/>
        </w:rPr>
        <w:t>38%</w:t>
      </w:r>
      <w:r>
        <w:rPr>
          <w:rFonts w:ascii="Times New Roman" w:eastAsia="宋体" w:hAnsi="Times New Roman" w:cs="Times New Roman"/>
          <w:color w:val="000000"/>
          <w:kern w:val="0"/>
          <w:sz w:val="24"/>
        </w:rPr>
        <w:t>的反馈干预降低了学生表现，其余研究涉及的则是奖励强化、教师亲和力等不同现象（</w:t>
      </w:r>
      <w:r>
        <w:rPr>
          <w:rFonts w:ascii="Times New Roman" w:eastAsia="宋体" w:hAnsi="Times New Roman" w:cs="Times New Roman"/>
          <w:color w:val="000000"/>
          <w:kern w:val="0"/>
          <w:sz w:val="24"/>
        </w:rPr>
        <w:t>Nielsen &amp; Klitmøller, 2021</w:t>
      </w:r>
      <w:r>
        <w:rPr>
          <w:rFonts w:ascii="Times New Roman" w:eastAsia="宋体" w:hAnsi="Times New Roman" w:cs="Times New Roman"/>
          <w:color w:val="000000"/>
          <w:kern w:val="0"/>
          <w:sz w:val="24"/>
        </w:rPr>
        <w:t>）。元分析所依据的多为标准化考试成绩，偏重表层知识，对深层理解和批判性思维的反映有限（</w:t>
      </w:r>
      <w:r>
        <w:rPr>
          <w:rFonts w:ascii="Times New Roman" w:eastAsia="宋体" w:hAnsi="Times New Roman" w:cs="Times New Roman"/>
          <w:color w:val="000000"/>
          <w:kern w:val="0"/>
          <w:sz w:val="24"/>
        </w:rPr>
        <w:t>Qvortrup, 2015</w:t>
      </w:r>
      <w:r>
        <w:rPr>
          <w:rFonts w:ascii="Times New Roman" w:eastAsia="宋体" w:hAnsi="Times New Roman" w:cs="Times New Roman"/>
          <w:color w:val="000000"/>
          <w:kern w:val="0"/>
          <w:sz w:val="24"/>
        </w:rPr>
        <w:t>）。这些批评表明，反馈发挥作用需要具体指向任务和改进方法，并被学生理解和使用。</w:t>
      </w:r>
    </w:p>
    <w:p w14:paraId="4A8B98B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第三类批评针对理论在实践中的使用方式和适用范围。若行政部门把可见的学习转化为以高效应量方法清单考核教师的工具，会削弱教师依据具体情境作出专业判断的能力（</w:t>
      </w:r>
      <w:proofErr w:type="spellStart"/>
      <w:r>
        <w:rPr>
          <w:rFonts w:ascii="Times New Roman" w:eastAsia="宋体" w:hAnsi="Times New Roman" w:cs="Times New Roman"/>
          <w:color w:val="000000"/>
          <w:kern w:val="0"/>
          <w:sz w:val="24"/>
        </w:rPr>
        <w:t>Eacott</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）。原始元分析主要来自英语国家的研究，直接迁移到非英语国家和不同社会文化环境时存在适应性问题（</w:t>
      </w:r>
      <w:proofErr w:type="spellStart"/>
      <w:r>
        <w:rPr>
          <w:rFonts w:ascii="Times New Roman" w:eastAsia="宋体" w:hAnsi="Times New Roman" w:cs="Times New Roman"/>
          <w:color w:val="000000"/>
          <w:kern w:val="0"/>
          <w:sz w:val="24"/>
        </w:rPr>
        <w:t>Golovchin</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对英格兰、苏格兰和德国学校的比较研究发现，苏格兰校长面对此类流行理念时并不直接照搬，而组织教师在本校课堂中开展实践者探究，检验其对本校学生的适切性，德国部分学校则将相关著作作为教师小组研读和讨论的参考（</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w:t>
      </w:r>
    </w:p>
    <w:p w14:paraId="686F525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基于上述讨论，本研究对可见的学习采取有限而明确的使用立场。本研究不以效应量排名选择教学方法，也不以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11B7B379"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可见的学习与高阶能力培育的契合</w:t>
      </w:r>
    </w:p>
    <w:p w14:paraId="4F6CDBD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w:t>
      </w:r>
      <w:r>
        <w:rPr>
          <w:rFonts w:ascii="Times New Roman" w:eastAsia="宋体" w:hAnsi="Times New Roman" w:cs="Times New Roman"/>
          <w:b/>
          <w:color w:val="000000"/>
          <w:kern w:val="0"/>
          <w:sz w:val="24"/>
        </w:rPr>
        <w:t>可见的学习的优势恰在于使学习可见，它要求明确目标与标准，要求学生把学习过程表现出来，并要求教师依据这些表现调整教学。</w:t>
      </w:r>
      <w:r>
        <w:rPr>
          <w:rFonts w:ascii="Times New Roman" w:eastAsia="宋体" w:hAnsi="Times New Roman" w:cs="Times New Roman"/>
          <w:color w:val="000000"/>
          <w:kern w:val="0"/>
          <w:sz w:val="24"/>
        </w:rPr>
        <w:t>这是本课题选择可见的学习作为研究视角的主要原因。</w:t>
      </w:r>
    </w:p>
    <w:p w14:paraId="1E3A61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前文综述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40A943E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w:t>
      </w:r>
    </w:p>
    <w:p w14:paraId="389EC02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学校层面，二者的结合还依赖教师集体使用证据的机制。高阶能力的表现具有学科差异和情境差异，单个教师难以独立形成稳定的判断标准，需要在教研组中通过共同观课、比较学生作品和讨论进阶标准逐步形成共识（</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）。以实践者探究方式检验外部理念的经验也表明，学校对外部理论的吸收需要经过本校课堂证据的检验和校准（</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）。这为本课题以行动研究推动模型在学校中的生成和修正提供了依据。</w:t>
      </w:r>
    </w:p>
    <w:p w14:paraId="3D3E335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多分别讨论高阶能力的培养方法或可见的学习的课堂机制，将二者置于同一框架之中，并在一所中学的多个学科和科创活动中持续检验的研究仍然较少。</w:t>
      </w:r>
    </w:p>
    <w:p w14:paraId="16457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从发展尺度看，二者的结合还需要一套能够描述高阶能力进阶的共同语言。可见的学习强调教师对学业进阶的共同理解，高阶思维研究则提供了布卢姆分类修订版的认知层级和</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本课题需要探索的内容。</w:t>
      </w:r>
    </w:p>
    <w:p w14:paraId="0193BDDB"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已有研究的不足与本研究的切入点</w:t>
      </w:r>
    </w:p>
    <w:p w14:paraId="1BE71C2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已有研究在高阶能力和可见的学习两方面都形成了较为丰富的理论与实证基础，但就本课题关注的问题而言，仍存在三个方面的不足。</w:t>
      </w:r>
    </w:p>
    <w:p w14:paraId="0C2EDFD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7D4E869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此外，高阶能力的进阶描述多集中于认知层面，社会情感能力在不同复杂程度情境中的表现差异尚缺少可供教师在课堂中使用的描述框架，教师难以据此判断学生在合作、调节和担当等方面的发展水平。</w:t>
      </w:r>
    </w:p>
    <w:p w14:paraId="488D85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在证据使用上，可见的学习的研究多关注学习目标、反馈和学业成绩，对于高阶能力如何通过具体学习表现加以识别、如何依据多源证据持续判断和改进，研究仍然有限；同时，可见的学习自身的效应量证据存在较大争议，学校实践需要以本校课堂中的真实证据为依据（</w:t>
      </w:r>
      <w:r>
        <w:rPr>
          <w:rFonts w:ascii="Times New Roman" w:eastAsia="宋体" w:hAnsi="Times New Roman" w:cs="Times New Roman"/>
          <w:color w:val="000000"/>
          <w:kern w:val="0"/>
          <w:sz w:val="24"/>
        </w:rPr>
        <w:t>Nielsen &amp; Klitmøller, 2021; Wecker et al., 2016</w:t>
      </w:r>
      <w:r>
        <w:rPr>
          <w:rFonts w:ascii="Times New Roman" w:eastAsia="宋体" w:hAnsi="Times New Roman" w:cs="Times New Roman"/>
          <w:color w:val="000000"/>
          <w:kern w:val="0"/>
          <w:sz w:val="24"/>
        </w:rPr>
        <w:t>）。</w:t>
      </w:r>
    </w:p>
    <w:p w14:paraId="7845F0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第三，在研究情境上，关于高阶思维与数智技术的实证研究大多以大学生为对象，基础教育阶段的证据较少且结果不稳定（</w:t>
      </w:r>
      <w:r>
        <w:rPr>
          <w:rFonts w:ascii="Times New Roman" w:eastAsia="宋体" w:hAnsi="Times New Roman" w:cs="Times New Roman"/>
          <w:color w:val="000000"/>
          <w:kern w:val="0"/>
          <w:sz w:val="24"/>
        </w:rPr>
        <w:t>Chen &amp; Cheung, 2025; Liu et al., 2026</w:t>
      </w:r>
      <w:r>
        <w:rPr>
          <w:rFonts w:ascii="Times New Roman" w:eastAsia="宋体" w:hAnsi="Times New Roman" w:cs="Times New Roman"/>
          <w:color w:val="000000"/>
          <w:kern w:val="0"/>
          <w:sz w:val="24"/>
        </w:rPr>
        <w:t>），一所学校在多个学科和多种学习场域中持续开展、多轮改进的研究也较为缺乏。</w:t>
      </w:r>
    </w:p>
    <w:p w14:paraId="2E165FE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2B696068"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研究意义</w:t>
      </w:r>
    </w:p>
    <w:p w14:paraId="04A4409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理论意义</w:t>
      </w:r>
    </w:p>
    <w:p w14:paraId="2C4D926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本研究在布卢姆教育目标分类修订版、</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社会与情感能力框架和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框架的基础上，结合中学生的学习特点，提出由高阶思维（分析、评价、创造）</w:t>
      </w:r>
      <w:r>
        <w:rPr>
          <w:rFonts w:ascii="Times New Roman" w:eastAsia="宋体" w:hAnsi="Times New Roman" w:cs="Times New Roman"/>
          <w:color w:val="000000"/>
          <w:kern w:val="0"/>
          <w:sz w:val="24"/>
        </w:rPr>
        <w:lastRenderedPageBreak/>
        <w:t>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36F74FB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实践意义</w:t>
      </w:r>
    </w:p>
    <w:p w14:paraId="48B908F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不采用可见的学习中存在争议的效应量排名，而把其中关于学习意图与成功标准、反馈三问以及教师诊断、干预和评估的主张，转化为学生目标引领、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7D992F5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方法意义</w:t>
      </w:r>
    </w:p>
    <w:p w14:paraId="78B9E70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本研究把学生前后测问卷、课堂专业评价、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0EE01FCE"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思路与设计</w:t>
      </w:r>
    </w:p>
    <w:p w14:paraId="4730E0DA"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核心概念界定</w:t>
      </w:r>
    </w:p>
    <w:p w14:paraId="392EDBD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第一部分已经梳理了高阶能力和可见的学习的研究脉络。本部分不再重复理论来源，只说明本研究中三个核心概念的具体含义，以及它们在研究中如何被观察和测量。</w:t>
      </w:r>
    </w:p>
    <w:p w14:paraId="55B3CB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1.</w:t>
      </w:r>
      <w:r>
        <w:rPr>
          <w:rFonts w:ascii="Times New Roman" w:eastAsia="黑体" w:hAnsi="Times New Roman" w:cs="Times New Roman"/>
          <w:b/>
          <w:kern w:val="0"/>
          <w:sz w:val="24"/>
        </w:rPr>
        <w:t>中学生高阶能力</w:t>
      </w:r>
    </w:p>
    <w:p w14:paraId="6DA025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33C733D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）高阶思维能力</w:t>
      </w:r>
    </w:p>
    <w:p w14:paraId="7C1C6FB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69F754B7"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分析</w:t>
      </w:r>
      <w:r>
        <w:rPr>
          <w:rFonts w:ascii="Times New Roman" w:eastAsia="宋体" w:hAnsi="Times New Roman" w:cs="Times New Roman"/>
          <w:kern w:val="0"/>
          <w:sz w:val="24"/>
        </w:rPr>
        <w:t>，指学生能够分解复杂问题，辨别不同信息、条件和变量之间的关系，抓住问题的关键要素及其内在联系。</w:t>
      </w:r>
    </w:p>
    <w:p w14:paraId="5079CD04"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评价</w:t>
      </w:r>
      <w:r>
        <w:rPr>
          <w:rFonts w:ascii="Times New Roman" w:eastAsia="宋体" w:hAnsi="Times New Roman" w:cs="Times New Roman"/>
          <w:kern w:val="0"/>
          <w:sz w:val="24"/>
        </w:rPr>
        <w:t>，指学生能够依据事实、证据或一定标准，对观点、方法、过程和结果进行比较、判断、质疑和反思。</w:t>
      </w:r>
    </w:p>
    <w:p w14:paraId="6BBAF8CE"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创造</w:t>
      </w:r>
      <w:r>
        <w:rPr>
          <w:rFonts w:ascii="Times New Roman" w:eastAsia="宋体" w:hAnsi="Times New Roman" w:cs="Times New Roman"/>
          <w:kern w:val="0"/>
          <w:sz w:val="24"/>
        </w:rPr>
        <w:t>，指学生能够综合已有知识和经验，形成新的观点、方案、解释或作品，并把已有知识和方法迁移到新的问题情境中。</w:t>
      </w:r>
    </w:p>
    <w:p w14:paraId="7EE7D55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问题解决、迁移和元认知在本研究中不另设维度，而作为三个维度共同指向的应用情境和调节过程融入其中。在课堂观察中，本研究还借助文献综述中介绍的</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分类判断学生回答和作品的结构水平，即学生是只提到了一个要点、列举了多个彼此孤立的要点，还是能够把多个要点联系起来并迁移到新问题。</w:t>
      </w:r>
    </w:p>
    <w:p w14:paraId="1EEF869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）高阶社会情感能力</w:t>
      </w:r>
    </w:p>
    <w:p w14:paraId="660AA2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高阶社会情感能力不是</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等国际组织已有的标准概念。本研究聚焦那些直接参与复杂学习、合作探究和真实问题解决的社会情感能力，以</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社会与情感能力调查的五个领域和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的五个领域为参照，以国内社会与情感能力研究为直接依据进行归并，形成责任担当、情绪调节、合作共情、包容创新四个维度。</w:t>
      </w:r>
    </w:p>
    <w:p w14:paraId="41172D50"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责任担当</w:t>
      </w:r>
      <w:r>
        <w:rPr>
          <w:rFonts w:ascii="Times New Roman" w:eastAsia="宋体" w:hAnsi="Times New Roman" w:cs="Times New Roman"/>
          <w:kern w:val="0"/>
          <w:sz w:val="24"/>
        </w:rPr>
        <w:t>，指学生能够明确任务目标和个人职责，主动投入并坚持完成任务，</w:t>
      </w:r>
      <w:r>
        <w:rPr>
          <w:rFonts w:ascii="Times New Roman" w:eastAsia="宋体" w:hAnsi="Times New Roman" w:cs="Times New Roman"/>
          <w:kern w:val="0"/>
          <w:sz w:val="24"/>
        </w:rPr>
        <w:lastRenderedPageBreak/>
        <w:t>对个人学习和团队成果负责。</w:t>
      </w:r>
    </w:p>
    <w:p w14:paraId="313229E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情绪调节</w:t>
      </w:r>
      <w:r>
        <w:rPr>
          <w:rFonts w:ascii="Times New Roman" w:eastAsia="宋体" w:hAnsi="Times New Roman" w:cs="Times New Roman"/>
          <w:kern w:val="0"/>
          <w:sz w:val="24"/>
        </w:rPr>
        <w:t>，指学生面对困难、压力、失败和观点冲突时，能够调节自己的情绪和行为，保持相对稳定的学习状态并继续行动。</w:t>
      </w:r>
    </w:p>
    <w:p w14:paraId="6C7E8CEF"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合作共情</w:t>
      </w:r>
      <w:r>
        <w:rPr>
          <w:rFonts w:ascii="Times New Roman" w:eastAsia="宋体" w:hAnsi="Times New Roman" w:cs="Times New Roman"/>
          <w:kern w:val="0"/>
          <w:sz w:val="24"/>
        </w:rPr>
        <w:t>，指学生能够倾听、理解和尊重他人的观点与感受，通过表达、协商、支持和共同建构，与他人合作解决问题。</w:t>
      </w:r>
    </w:p>
    <w:p w14:paraId="4DF19CFE"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包容创新</w:t>
      </w:r>
      <w:r>
        <w:rPr>
          <w:rFonts w:ascii="Times New Roman" w:eastAsia="宋体" w:hAnsi="Times New Roman" w:cs="Times New Roman"/>
          <w:kern w:val="0"/>
          <w:sz w:val="24"/>
        </w:rPr>
        <w:t>，指学生面对新问题、不同观点和不确定结果时，能够保持好奇和开放，接纳不同信息，并在尝试、调整和反思中形成新的想法或方案。</w:t>
      </w:r>
    </w:p>
    <w:p w14:paraId="492092F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01B2ED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4853733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可见的学习</w:t>
      </w:r>
    </w:p>
    <w:p w14:paraId="4478A9A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641148E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作为成效判断标准。</w:t>
      </w:r>
    </w:p>
    <w:p w14:paraId="0625B81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学生是否发言、是否讨论、是否完成任务，只是外显行为；更重要的是学生的分析、判断、创造、责任承担、情绪调节和合作过程，能否通过真实的学习表</w:t>
      </w:r>
      <w:r>
        <w:rPr>
          <w:rFonts w:ascii="Times New Roman" w:eastAsia="宋体" w:hAnsi="Times New Roman" w:cs="Times New Roman"/>
          <w:color w:val="000000"/>
          <w:kern w:val="0"/>
          <w:sz w:val="24"/>
        </w:rPr>
        <w:lastRenderedPageBreak/>
        <w:t>现逐步呈现出来，并转化为师生都能理解和使用的学习证据。</w:t>
      </w:r>
    </w:p>
    <w:p w14:paraId="7013B70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学习证据</w:t>
      </w:r>
    </w:p>
    <w:p w14:paraId="3F61404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10EB378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理论框架</w:t>
      </w:r>
    </w:p>
    <w:p w14:paraId="2ABD6905"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高阶能力回答培养什么，可见的学习回答怎样使其发生并被判断，学习证据则把二者连接起来。</w:t>
      </w:r>
      <w:r>
        <w:rPr>
          <w:rFonts w:ascii="Times New Roman" w:eastAsia="宋体" w:hAnsi="Times New Roman" w:cs="Times New Roman"/>
          <w:color w:val="000000"/>
          <w:kern w:val="0"/>
          <w:sz w:val="24"/>
        </w:rPr>
        <w:t>为了避免能力目标、学习活动与评价相互脱节，本研究采用文献综述中讨论的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3F72A2C8"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据此，本研究形成能力目标、学习任务、学习表现、学习证据和反馈调节的工作链条。</w:t>
      </w:r>
      <w:r>
        <w:rPr>
          <w:rFonts w:ascii="Times New Roman" w:eastAsia="宋体" w:hAnsi="Times New Roman" w:cs="Times New Roman"/>
          <w:color w:val="000000"/>
          <w:kern w:val="0"/>
          <w:sz w:val="24"/>
        </w:rPr>
        <w:t>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2BDBB4D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26B4677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学习证据按五个层面组织，即后文模型中的五见，包括目标可见、思维可见、证据可见、进步可见和能力可见。表</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说明了每个层面对应的可见的学习要素、主要学习证据和证据用途。</w:t>
      </w:r>
    </w:p>
    <w:p w14:paraId="71F1A97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2-1  </w:t>
      </w:r>
      <w:r>
        <w:rPr>
          <w:rFonts w:ascii="Times New Roman" w:eastAsia="黑体" w:hAnsi="Times New Roman" w:cs="Times New Roman"/>
          <w:kern w:val="0"/>
        </w:rPr>
        <w:t>五见与可见的学习要素及学习证据的对应关系</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92"/>
        <w:gridCol w:w="2045"/>
        <w:gridCol w:w="2641"/>
        <w:gridCol w:w="2641"/>
      </w:tblGrid>
      <w:tr w:rsidR="000B1CCE" w14:paraId="62C8CF7D" w14:textId="77777777">
        <w:trPr>
          <w:tblHeader/>
          <w:jc w:val="center"/>
        </w:trPr>
        <w:tc>
          <w:tcPr>
            <w:tcW w:w="11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FE989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证据层面</w:t>
            </w:r>
          </w:p>
        </w:tc>
        <w:tc>
          <w:tcPr>
            <w:tcW w:w="2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309D6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对应的可见的学习要素</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13CD1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主要学习证据</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AECBB0"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证据用途</w:t>
            </w:r>
          </w:p>
        </w:tc>
      </w:tr>
      <w:tr w:rsidR="000B1CCE" w14:paraId="324747A8"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CCCE33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目标可见</w:t>
            </w:r>
          </w:p>
        </w:tc>
        <w:tc>
          <w:tcPr>
            <w:tcW w:w="2044" w:type="dxa"/>
            <w:tcBorders>
              <w:top w:val="nil"/>
              <w:left w:val="nil"/>
              <w:bottom w:val="nil"/>
              <w:right w:val="nil"/>
            </w:tcBorders>
            <w:tcMar>
              <w:top w:w="-1" w:type="dxa"/>
              <w:left w:w="-1" w:type="dxa"/>
              <w:bottom w:w="-1" w:type="dxa"/>
              <w:right w:w="-1" w:type="dxa"/>
            </w:tcMar>
            <w:vAlign w:val="center"/>
          </w:tcPr>
          <w:p w14:paraId="6B35E2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学习意图与成功标准</w:t>
            </w:r>
          </w:p>
        </w:tc>
        <w:tc>
          <w:tcPr>
            <w:tcW w:w="2640" w:type="dxa"/>
            <w:tcBorders>
              <w:top w:val="nil"/>
              <w:left w:val="nil"/>
              <w:bottom w:val="nil"/>
              <w:right w:val="nil"/>
            </w:tcBorders>
            <w:tcMar>
              <w:top w:w="-1" w:type="dxa"/>
              <w:left w:w="-1" w:type="dxa"/>
              <w:bottom w:w="-1" w:type="dxa"/>
              <w:right w:w="-1" w:type="dxa"/>
            </w:tcMar>
            <w:vAlign w:val="center"/>
          </w:tcPr>
          <w:p w14:paraId="0D39EF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学习目标表述、成功标准、学生对目标的复述</w:t>
            </w:r>
          </w:p>
        </w:tc>
        <w:tc>
          <w:tcPr>
            <w:tcW w:w="2640" w:type="dxa"/>
            <w:tcBorders>
              <w:top w:val="nil"/>
              <w:left w:val="nil"/>
              <w:bottom w:val="nil"/>
              <w:right w:val="nil"/>
            </w:tcBorders>
            <w:tcMar>
              <w:top w:w="-1" w:type="dxa"/>
              <w:left w:w="-1" w:type="dxa"/>
              <w:bottom w:w="-1" w:type="dxa"/>
              <w:right w:w="-1" w:type="dxa"/>
            </w:tcMar>
            <w:vAlign w:val="center"/>
          </w:tcPr>
          <w:p w14:paraId="02AFEDE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判断学生是否理解学习指向和达成要求</w:t>
            </w:r>
          </w:p>
        </w:tc>
      </w:tr>
      <w:tr w:rsidR="000B1CCE" w14:paraId="1AB8FF5F"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394D87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思维可见</w:t>
            </w:r>
          </w:p>
        </w:tc>
        <w:tc>
          <w:tcPr>
            <w:tcW w:w="2044" w:type="dxa"/>
            <w:tcBorders>
              <w:top w:val="nil"/>
              <w:left w:val="nil"/>
              <w:bottom w:val="nil"/>
              <w:right w:val="nil"/>
            </w:tcBorders>
            <w:tcMar>
              <w:top w:w="-1" w:type="dxa"/>
              <w:left w:w="-1" w:type="dxa"/>
              <w:bottom w:w="-1" w:type="dxa"/>
              <w:right w:w="-1" w:type="dxa"/>
            </w:tcMar>
            <w:vAlign w:val="center"/>
          </w:tcPr>
          <w:p w14:paraId="3041354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反馈三问中的当前位置判断</w:t>
            </w:r>
          </w:p>
        </w:tc>
        <w:tc>
          <w:tcPr>
            <w:tcW w:w="2640" w:type="dxa"/>
            <w:tcBorders>
              <w:top w:val="nil"/>
              <w:left w:val="nil"/>
              <w:bottom w:val="nil"/>
              <w:right w:val="nil"/>
            </w:tcBorders>
            <w:tcMar>
              <w:top w:w="-1" w:type="dxa"/>
              <w:left w:w="-1" w:type="dxa"/>
              <w:bottom w:w="-1" w:type="dxa"/>
              <w:right w:w="-1" w:type="dxa"/>
            </w:tcMar>
            <w:vAlign w:val="center"/>
          </w:tcPr>
          <w:p w14:paraId="50A6D6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B87FB1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依据布卢姆分类与</w:t>
            </w:r>
            <w:r>
              <w:rPr>
                <w:rFonts w:ascii="Times New Roman" w:eastAsia="宋体" w:hAnsi="Times New Roman" w:cs="Times New Roman"/>
              </w:rPr>
              <w:t>SOLO</w:t>
            </w:r>
            <w:r>
              <w:rPr>
                <w:rFonts w:ascii="Times New Roman" w:eastAsia="宋体" w:hAnsi="Times New Roman" w:cs="Times New Roman"/>
              </w:rPr>
              <w:t>分类判断思维层次</w:t>
            </w:r>
          </w:p>
        </w:tc>
      </w:tr>
      <w:tr w:rsidR="000B1CCE" w14:paraId="633FC141"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6299AB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证据可见</w:t>
            </w:r>
          </w:p>
        </w:tc>
        <w:tc>
          <w:tcPr>
            <w:tcW w:w="2044" w:type="dxa"/>
            <w:tcBorders>
              <w:top w:val="nil"/>
              <w:left w:val="nil"/>
              <w:bottom w:val="nil"/>
              <w:right w:val="nil"/>
            </w:tcBorders>
            <w:tcMar>
              <w:top w:w="-1" w:type="dxa"/>
              <w:left w:w="-1" w:type="dxa"/>
              <w:bottom w:w="-1" w:type="dxa"/>
              <w:right w:w="-1" w:type="dxa"/>
            </w:tcMar>
            <w:vAlign w:val="center"/>
          </w:tcPr>
          <w:p w14:paraId="4520D84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18155942"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课堂观察记录、学生作品、实验数据、</w:t>
            </w:r>
            <w:r>
              <w:rPr>
                <w:rFonts w:ascii="Times New Roman" w:eastAsia="宋体" w:hAnsi="Times New Roman" w:cs="Times New Roman"/>
              </w:rPr>
              <w:t>AI</w:t>
            </w:r>
            <w:r>
              <w:rPr>
                <w:rFonts w:ascii="Times New Roman" w:eastAsia="宋体" w:hAnsi="Times New Roman" w:cs="Times New Roman"/>
              </w:rPr>
              <w:t>课堂行为数据</w:t>
            </w:r>
          </w:p>
        </w:tc>
        <w:tc>
          <w:tcPr>
            <w:tcW w:w="2640" w:type="dxa"/>
            <w:tcBorders>
              <w:top w:val="nil"/>
              <w:left w:val="nil"/>
              <w:bottom w:val="nil"/>
              <w:right w:val="nil"/>
            </w:tcBorders>
            <w:tcMar>
              <w:top w:w="-1" w:type="dxa"/>
              <w:left w:w="-1" w:type="dxa"/>
              <w:bottom w:w="-1" w:type="dxa"/>
              <w:right w:w="-1" w:type="dxa"/>
            </w:tcMar>
            <w:vAlign w:val="center"/>
          </w:tcPr>
          <w:p w14:paraId="060E076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支持教师的诊断与干预决策</w:t>
            </w:r>
          </w:p>
        </w:tc>
      </w:tr>
      <w:tr w:rsidR="000B1CCE" w14:paraId="70BF972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1FE5C0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进步可见</w:t>
            </w:r>
          </w:p>
        </w:tc>
        <w:tc>
          <w:tcPr>
            <w:tcW w:w="2044" w:type="dxa"/>
            <w:tcBorders>
              <w:top w:val="nil"/>
              <w:left w:val="nil"/>
              <w:bottom w:val="nil"/>
              <w:right w:val="nil"/>
            </w:tcBorders>
            <w:tcMar>
              <w:top w:w="-1" w:type="dxa"/>
              <w:left w:w="-1" w:type="dxa"/>
              <w:bottom w:w="-1" w:type="dxa"/>
              <w:right w:w="-1" w:type="dxa"/>
            </w:tcMar>
            <w:vAlign w:val="center"/>
          </w:tcPr>
          <w:p w14:paraId="4C1A42D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反馈与修订</w:t>
            </w:r>
          </w:p>
        </w:tc>
        <w:tc>
          <w:tcPr>
            <w:tcW w:w="2640" w:type="dxa"/>
            <w:tcBorders>
              <w:top w:val="nil"/>
              <w:left w:val="nil"/>
              <w:bottom w:val="nil"/>
              <w:right w:val="nil"/>
            </w:tcBorders>
            <w:tcMar>
              <w:top w:w="-1" w:type="dxa"/>
              <w:left w:w="-1" w:type="dxa"/>
              <w:bottom w:w="-1" w:type="dxa"/>
              <w:right w:w="-1" w:type="dxa"/>
            </w:tcMar>
            <w:vAlign w:val="center"/>
          </w:tcPr>
          <w:p w14:paraId="2683E2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初稿与修订稿、方案迭代记录、前后测结果</w:t>
            </w:r>
          </w:p>
        </w:tc>
        <w:tc>
          <w:tcPr>
            <w:tcW w:w="2640" w:type="dxa"/>
            <w:tcBorders>
              <w:top w:val="nil"/>
              <w:left w:val="nil"/>
              <w:bottom w:val="nil"/>
              <w:right w:val="nil"/>
            </w:tcBorders>
            <w:tcMar>
              <w:top w:w="-1" w:type="dxa"/>
              <w:left w:w="-1" w:type="dxa"/>
              <w:bottom w:w="-1" w:type="dxa"/>
              <w:right w:w="-1" w:type="dxa"/>
            </w:tcMar>
            <w:vAlign w:val="center"/>
          </w:tcPr>
          <w:p w14:paraId="2C8B22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比较前后表现，判断变化方向与幅度</w:t>
            </w:r>
          </w:p>
        </w:tc>
      </w:tr>
      <w:tr w:rsidR="000B1CCE" w14:paraId="433A626B"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01178B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7F4580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86334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00E098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形成对能力发展水平的综合判断</w:t>
            </w:r>
          </w:p>
        </w:tc>
      </w:tr>
    </w:tbl>
    <w:p w14:paraId="31DE709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研究问题与研究目标</w:t>
      </w:r>
    </w:p>
    <w:p w14:paraId="3D91843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研究问题</w:t>
      </w:r>
    </w:p>
    <w:p w14:paraId="12899FB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本研究围绕以下四个问题展开。</w:t>
      </w:r>
    </w:p>
    <w:p w14:paraId="44C0639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）本校中学生高阶思维与高阶社会情感的起点状况如何？教师开展高阶能力培育的认识、实践、困难和需求是什么？</w:t>
      </w:r>
    </w:p>
    <w:p w14:paraId="23B8FE8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）以可见的学习为连接机制，中学生高阶能力培育的学习模型与教学模型应包含哪些要素？各要素之间如何关联？</w:t>
      </w:r>
    </w:p>
    <w:p w14:paraId="0B0972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）模型在学科课堂与科创项目中如何转化实施？多轮实践中作出了哪些调整，依据是什么？</w:t>
      </w:r>
    </w:p>
    <w:p w14:paraId="046B79B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）实施期间，学生高阶能力、课堂学习条件和教师实践发生了哪些变化？不同来源的证据在多大程度上相互一致？</w:t>
      </w:r>
    </w:p>
    <w:p w14:paraId="2A27FC6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研究目标</w:t>
      </w:r>
    </w:p>
    <w:p w14:paraId="5B0BB0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6A8D3B9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473415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审慎判断实施成效。</w:t>
      </w:r>
    </w:p>
    <w:p w14:paraId="341F383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研究内容</w:t>
      </w:r>
    </w:p>
    <w:p w14:paraId="2CBBC6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可见的学习视域下中学生高阶能力培育的理论研究</w:t>
      </w:r>
    </w:p>
    <w:p w14:paraId="3AABE1E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梳理高阶能力、高阶思维、社会情感能力和可见的学习的相关研究，明确核心概念及其关系；分析可见的学习在明确目标、呈现学习过程、获取学习证据和反馈改进等方面对高阶能力培育的启示；同时厘清可见的学习效应量证据的争议和适用边界，确定本研究的理论依据和使用方式。</w:t>
      </w:r>
    </w:p>
    <w:p w14:paraId="6F05806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中学生高阶能力发展及培育现状的调查研究</w:t>
      </w:r>
    </w:p>
    <w:p w14:paraId="411BDF7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6557947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中学生高阶能力培育学习模型与教学模型的建构研究</w:t>
      </w:r>
    </w:p>
    <w:p w14:paraId="6BE69B3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和评估组织教师循证调节，以五见贯穿学习证据的获取与使用，形成学习模型与教学模型协同运行的培育框架。</w:t>
      </w:r>
    </w:p>
    <w:p w14:paraId="08DCDFC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中学生高阶能力培育模式的多场域实践研究</w:t>
      </w:r>
    </w:p>
    <w:p w14:paraId="1C82811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559ED2A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中学生高阶能力培育成效的评价与优化研究</w:t>
      </w:r>
    </w:p>
    <w:p w14:paraId="49042A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综合运用学生前后测、教师调查、课堂专业评价、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课堂行为数据、学生作品及访谈反思等量化与质性证据，分析学生高阶能力、课堂学习和教师实践的变化，明确各类证据的推论边界，并依据评价结果和实施过程记录持续优化学习模型和实践模式。</w:t>
      </w:r>
    </w:p>
    <w:p w14:paraId="3FD40F6B"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研究设计与方法</w:t>
      </w:r>
    </w:p>
    <w:p w14:paraId="45603F6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总体设计</w:t>
      </w:r>
    </w:p>
    <w:p w14:paraId="186C5F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本研究立足学校真实教育教学情境，按照理论研究、现状诊断、模型建构、多场域实践、成效评价和持续优化的思路展开。整体上采用设计型研究（</w:t>
      </w:r>
      <w:r>
        <w:rPr>
          <w:rFonts w:ascii="Times New Roman" w:eastAsia="宋体" w:hAnsi="Times New Roman" w:cs="Times New Roman"/>
          <w:color w:val="000000"/>
          <w:kern w:val="0"/>
          <w:sz w:val="24"/>
        </w:rPr>
        <w:t>Design-Based Research</w:t>
      </w:r>
      <w:r>
        <w:rPr>
          <w:rFonts w:ascii="Times New Roman" w:eastAsia="宋体" w:hAnsi="Times New Roman" w:cs="Times New Roman"/>
          <w:color w:val="000000"/>
          <w:kern w:val="0"/>
          <w:sz w:val="24"/>
        </w:rPr>
        <w:t>）的逻辑，即在真实课堂中设计、实施、评估并修订培育模型，同时提炼可以迁移的设计原则（</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w:t>
      </w:r>
      <w:r>
        <w:rPr>
          <w:rFonts w:ascii="Times New Roman" w:eastAsia="宋体" w:hAnsi="Times New Roman" w:cs="Times New Roman"/>
          <w:color w:val="000000"/>
          <w:kern w:val="0"/>
          <w:sz w:val="24"/>
        </w:rPr>
        <w:t>Creswell &amp; Creswell, 2022</w:t>
      </w:r>
      <w:r>
        <w:rPr>
          <w:rFonts w:ascii="Times New Roman" w:eastAsia="宋体" w:hAnsi="Times New Roman" w:cs="Times New Roman"/>
          <w:color w:val="000000"/>
          <w:kern w:val="0"/>
          <w:sz w:val="24"/>
        </w:rPr>
        <w:t>）。</w:t>
      </w:r>
    </w:p>
    <w:p w14:paraId="1091F35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研究方法</w:t>
      </w:r>
    </w:p>
    <w:p w14:paraId="4A31BBB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）文献研究法</w:t>
      </w:r>
    </w:p>
    <w:p w14:paraId="70FBCE5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0727146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2</w:t>
      </w:r>
      <w:r>
        <w:rPr>
          <w:rFonts w:ascii="Times New Roman" w:eastAsia="宋体" w:hAnsi="Times New Roman" w:cs="Times New Roman"/>
          <w:b/>
          <w:kern w:val="0"/>
          <w:sz w:val="24"/>
        </w:rPr>
        <w:t>）问卷调查法</w:t>
      </w:r>
    </w:p>
    <w:p w14:paraId="014598F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w:t>
      </w:r>
      <w:r>
        <w:rPr>
          <w:rFonts w:ascii="Times New Roman" w:eastAsia="宋体" w:hAnsi="Times New Roman" w:cs="Times New Roman"/>
          <w:color w:val="000000"/>
          <w:kern w:val="0"/>
          <w:sz w:val="24"/>
        </w:rPr>
        <w:t>32</w:t>
      </w:r>
      <w:r>
        <w:rPr>
          <w:rFonts w:ascii="Times New Roman" w:eastAsia="宋体" w:hAnsi="Times New Roman" w:cs="Times New Roman"/>
          <w:color w:val="000000"/>
          <w:kern w:val="0"/>
          <w:sz w:val="24"/>
        </w:rPr>
        <w:t>道正向计分题，采用五级计分。调查采用分层整群随机抽样，以年级为分层依据、以班级为抽样单位，共抽取</w:t>
      </w:r>
      <w:r>
        <w:rPr>
          <w:rFonts w:ascii="Times New Roman" w:eastAsia="宋体" w:hAnsi="Times New Roman" w:cs="Times New Roman"/>
          <w:color w:val="000000"/>
          <w:kern w:val="0"/>
          <w:sz w:val="24"/>
        </w:rPr>
        <w:t>27</w:t>
      </w:r>
      <w:r>
        <w:rPr>
          <w:rFonts w:ascii="Times New Roman" w:eastAsia="宋体" w:hAnsi="Times New Roman" w:cs="Times New Roman"/>
          <w:color w:val="000000"/>
          <w:kern w:val="0"/>
          <w:sz w:val="24"/>
        </w:rPr>
        <w:t>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660B144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）访谈法</w:t>
      </w:r>
    </w:p>
    <w:p w14:paraId="5214BC2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008244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）行动研究法</w:t>
      </w:r>
    </w:p>
    <w:p w14:paraId="208464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行动研究是本课题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通过项目设计、实践验证、成果反馈和方案修正不断完善实施过程。</w:t>
      </w:r>
    </w:p>
    <w:p w14:paraId="121E79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w:t>
      </w:r>
      <w:r>
        <w:rPr>
          <w:rFonts w:ascii="Times New Roman" w:eastAsia="宋体" w:hAnsi="Times New Roman" w:cs="Times New Roman"/>
          <w:color w:val="000000"/>
          <w:kern w:val="0"/>
          <w:sz w:val="24"/>
        </w:rPr>
        <w:t>Cowen et al., 2015</w:t>
      </w:r>
      <w:r>
        <w:rPr>
          <w:rFonts w:ascii="Times New Roman" w:eastAsia="宋体" w:hAnsi="Times New Roman" w:cs="Times New Roman"/>
          <w:color w:val="000000"/>
          <w:kern w:val="0"/>
          <w:sz w:val="24"/>
        </w:rPr>
        <w:t>）。研究不以单次课堂或单个项目的结果判断模式是否有效，而通过多轮实践、比较和修正，逐步提炼高阶能力培育的关键环节与实施策略。</w:t>
      </w:r>
    </w:p>
    <w:p w14:paraId="362376B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）课堂观察法</w:t>
      </w:r>
    </w:p>
    <w:p w14:paraId="098D04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围绕教师教学行为、学生学习行为和高阶能力表现开展课堂观察，重点了解课堂中实际发生了什么、学生如何参与学习以及高阶学习表现如何呈现。本研究</w:t>
      </w:r>
      <w:r>
        <w:rPr>
          <w:rFonts w:ascii="Times New Roman" w:eastAsia="宋体" w:hAnsi="Times New Roman" w:cs="Times New Roman"/>
          <w:color w:val="000000"/>
          <w:kern w:val="0"/>
          <w:sz w:val="24"/>
        </w:rPr>
        <w:lastRenderedPageBreak/>
        <w:t>采用三类课堂证据，一是课堂专业评价，采用《</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可见的学习</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高质量教学核心实践</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教研课评课表》，从认知参与、学科内容建构、社会情感支持、课堂互动和形成性评价与反馈五个维度、</w:t>
      </w:r>
      <w:r>
        <w:rPr>
          <w:rFonts w:ascii="Times New Roman" w:eastAsia="宋体" w:hAnsi="Times New Roman" w:cs="Times New Roman"/>
          <w:color w:val="000000"/>
          <w:kern w:val="0"/>
          <w:sz w:val="24"/>
        </w:rPr>
        <w:t>20</w:t>
      </w:r>
      <w:r>
        <w:rPr>
          <w:rFonts w:ascii="Times New Roman" w:eastAsia="宋体" w:hAnsi="Times New Roman" w:cs="Times New Roman"/>
          <w:color w:val="000000"/>
          <w:kern w:val="0"/>
          <w:sz w:val="24"/>
        </w:rPr>
        <w:t>个观察条目判断课堂学习环境和教学支持状况；二是高阶能力表现观察，重点关注学生在分析、评价、创造以及责任担当、合作交流、情绪调节等方面的具体表现；三是</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课堂行为分析，借助希沃</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评课获取学生讨论、互动、展示、探究以及教师提问、讲授等课堂行为数据。</w:t>
      </w:r>
    </w:p>
    <w:p w14:paraId="01E370F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三类证据功能不同、相互补充。</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课堂行为指标以可识别的外显行为为单位，若直接作为判断依据，容易以行为次数代替对教学的解释，因此只作为分析课堂参与结构的辅助信息（</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）。研究不以单一课堂评分或某一项</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行为指标直接判断学生高阶能力的发展。</w:t>
      </w:r>
    </w:p>
    <w:p w14:paraId="0D70FEC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）案例研究法</w:t>
      </w:r>
    </w:p>
    <w:p w14:paraId="42EA22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2B2F31E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数据处理与证据整合</w:t>
      </w:r>
    </w:p>
    <w:p w14:paraId="4C9A65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量化数据采用描述统计、配对样本</w:t>
      </w:r>
      <w:r>
        <w:rPr>
          <w:rFonts w:ascii="Times New Roman" w:eastAsia="宋体" w:hAnsi="Times New Roman" w:cs="Times New Roman"/>
          <w:color w:val="000000"/>
          <w:kern w:val="0"/>
          <w:sz w:val="24"/>
        </w:rPr>
        <w:t>t</w:t>
      </w:r>
      <w:r>
        <w:rPr>
          <w:rFonts w:ascii="Times New Roman" w:eastAsia="宋体" w:hAnsi="Times New Roman" w:cs="Times New Roman"/>
          <w:color w:val="000000"/>
          <w:kern w:val="0"/>
          <w:sz w:val="24"/>
        </w:rPr>
        <w:t>检验和</w:t>
      </w:r>
      <w:r>
        <w:rPr>
          <w:rFonts w:ascii="Times New Roman" w:eastAsia="宋体" w:hAnsi="Times New Roman" w:cs="Times New Roman"/>
          <w:color w:val="000000"/>
          <w:kern w:val="0"/>
          <w:sz w:val="24"/>
        </w:rPr>
        <w:t>Welch</w:t>
      </w:r>
      <w:r>
        <w:rPr>
          <w:rFonts w:ascii="Times New Roman" w:eastAsia="宋体" w:hAnsi="Times New Roman" w:cs="Times New Roman"/>
          <w:color w:val="000000"/>
          <w:kern w:val="0"/>
          <w:sz w:val="24"/>
        </w:rPr>
        <w:t>检验等方法，报告平均差值、</w:t>
      </w:r>
      <w:r>
        <w:rPr>
          <w:rFonts w:ascii="Times New Roman" w:eastAsia="宋体" w:hAnsi="Times New Roman" w:cs="Times New Roman"/>
          <w:color w:val="000000"/>
          <w:kern w:val="0"/>
          <w:sz w:val="24"/>
        </w:rPr>
        <w:t>95%</w:t>
      </w:r>
      <w:r>
        <w:rPr>
          <w:rFonts w:ascii="Times New Roman" w:eastAsia="宋体" w:hAnsi="Times New Roman" w:cs="Times New Roman"/>
          <w:color w:val="000000"/>
          <w:kern w:val="0"/>
          <w:sz w:val="24"/>
        </w:rPr>
        <w:t>置信区间和配对效应量，多重比较采用</w:t>
      </w:r>
      <w:r>
        <w:rPr>
          <w:rFonts w:ascii="Times New Roman" w:eastAsia="宋体" w:hAnsi="Times New Roman" w:cs="Times New Roman"/>
          <w:color w:val="000000"/>
          <w:kern w:val="0"/>
          <w:sz w:val="24"/>
        </w:rPr>
        <w:t>Holm</w:t>
      </w:r>
      <w:r>
        <w:rPr>
          <w:rFonts w:ascii="Times New Roman" w:eastAsia="宋体" w:hAnsi="Times New Roman" w:cs="Times New Roman"/>
          <w:color w:val="000000"/>
          <w:kern w:val="0"/>
          <w:sz w:val="24"/>
        </w:rPr>
        <w:t>校正；测评工具通过探索性因子分析、</w:t>
      </w:r>
      <w:r>
        <w:rPr>
          <w:rFonts w:ascii="Times New Roman" w:eastAsia="宋体" w:hAnsi="Times New Roman" w:cs="Times New Roman"/>
          <w:color w:val="000000"/>
          <w:kern w:val="0"/>
          <w:sz w:val="24"/>
        </w:rPr>
        <w:t>Cronbach α</w:t>
      </w:r>
      <w:r>
        <w:rPr>
          <w:rFonts w:ascii="Times New Roman" w:eastAsia="宋体" w:hAnsi="Times New Roman" w:cs="Times New Roman"/>
          <w:color w:val="000000"/>
          <w:kern w:val="0"/>
          <w:sz w:val="24"/>
        </w:rPr>
        <w:t>系数和校正题总相关进行检验。质性资料采用开放编码、类属归纳和主题分析，教师开放性回答进行三级编码。</w:t>
      </w:r>
    </w:p>
    <w:p w14:paraId="5A2C200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考虑到高阶能力具有内隐性，本研究建立学生、课堂、教师三个层面的证据体系，学生层面包括高阶能力问卷、学习成果和访谈资料；课堂层面包括课堂专业评价、高阶能力表现观察和</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69D547B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研究效度与推论边界</w:t>
      </w:r>
    </w:p>
    <w:p w14:paraId="362E1B6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）。因此，本研究不把前后测差异直接归因于培育模型。</w:t>
      </w:r>
    </w:p>
    <w:p w14:paraId="21DD9D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4DE5820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本研究不以问卷结果单独判断能力发展，而将其与学生作品、课堂观察和教师判断相互印证。</w:t>
      </w:r>
      <w:r>
        <w:rPr>
          <w:rFonts w:ascii="Times New Roman" w:eastAsia="宋体" w:hAnsi="Times New Roman" w:cs="Times New Roman"/>
          <w:b/>
          <w:color w:val="000000"/>
          <w:kern w:val="0"/>
          <w:sz w:val="24"/>
        </w:rPr>
        <w:t>据此，本研究以多种证据的一致程度判断模型在本校情境中的可实施性和积极变化。</w:t>
      </w:r>
    </w:p>
    <w:p w14:paraId="78B92239"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研究步骤</w:t>
      </w:r>
    </w:p>
    <w:p w14:paraId="7162D7F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遵循理论研究、现状诊断、模型建构、多场域实践、成效评价和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所示，图中左侧为研究进程，中部为主要研究内容，右侧为各阶段采用的研究方法。</w:t>
      </w:r>
    </w:p>
    <w:p w14:paraId="780346B0" w14:textId="77777777" w:rsidR="00CD5D2E" w:rsidRDefault="00000000">
      <w:pPr>
        <w:keepNext/>
        <w:spacing w:before="120"/>
        <w:jc w:val="center"/>
      </w:pPr>
      <w:r>
        <w:rPr>
          <w:noProof/>
        </w:rPr>
        <w:lastRenderedPageBreak/>
        <w:drawing>
          <wp:inline distT="0" distB="0" distL="0" distR="0" wp14:anchorId="75E0F69B" wp14:editId="5261A1E0">
            <wp:extent cx="5216525" cy="651833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7e1b7d.png"/>
                    <pic:cNvPicPr/>
                  </pic:nvPicPr>
                  <pic:blipFill>
                    <a:blip r:embed="rId7"/>
                    <a:stretch>
                      <a:fillRect/>
                    </a:stretch>
                  </pic:blipFill>
                  <pic:spPr>
                    <a:xfrm>
                      <a:off x="0" y="0"/>
                      <a:ext cx="5216525" cy="6518332"/>
                    </a:xfrm>
                    <a:prstGeom prst="rect">
                      <a:avLst/>
                    </a:prstGeom>
                  </pic:spPr>
                </pic:pic>
              </a:graphicData>
            </a:graphic>
          </wp:inline>
        </w:drawing>
      </w:r>
    </w:p>
    <w:p w14:paraId="30BBBDCF" w14:textId="77777777" w:rsidR="000B1CCE" w:rsidRDefault="00000000">
      <w:pPr>
        <w:adjustRightInd w:val="0"/>
        <w:snapToGrid w:val="0"/>
        <w:spacing w:before="60" w:after="180"/>
        <w:jc w:val="center"/>
        <w:rPr>
          <w:rFonts w:ascii="Times New Roman"/>
          <w:b/>
          <w:bCs/>
          <w:color w:val="000000"/>
        </w:rPr>
      </w:pPr>
      <w:r>
        <w:rPr>
          <w:rFonts w:ascii="Times New Roman" w:eastAsia="黑体" w:hAnsi="Times New Roman" w:cs="Times New Roman"/>
          <w:noProof/>
          <w:kern w:val="0"/>
        </w:rPr>
        <w:t>图</w:t>
      </w:r>
      <w:r>
        <w:rPr>
          <w:rFonts w:ascii="Times New Roman" w:eastAsia="黑体" w:hAnsi="Times New Roman" w:cs="Times New Roman"/>
          <w:noProof/>
          <w:kern w:val="0"/>
        </w:rPr>
        <w:t xml:space="preserve">2-1  </w:t>
      </w:r>
      <w:r>
        <w:rPr>
          <w:rFonts w:ascii="Times New Roman" w:eastAsia="黑体" w:hAnsi="Times New Roman" w:cs="Times New Roman"/>
          <w:noProof/>
          <w:kern w:val="0"/>
        </w:rPr>
        <w:t>课题研究路径图</w:t>
      </w:r>
    </w:p>
    <w:p w14:paraId="2D6D690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准备阶段（</w:t>
      </w:r>
      <w:r>
        <w:rPr>
          <w:rFonts w:ascii="Times New Roman" w:eastAsia="黑体" w:hAnsi="Times New Roman" w:cs="Times New Roman"/>
          <w:b/>
          <w:kern w:val="0"/>
          <w:sz w:val="24"/>
        </w:rPr>
        <w:t>2023</w:t>
      </w:r>
      <w:r>
        <w:rPr>
          <w:rFonts w:ascii="Times New Roman" w:eastAsia="黑体" w:hAnsi="Times New Roman" w:cs="Times New Roman"/>
          <w:b/>
          <w:kern w:val="0"/>
          <w:sz w:val="24"/>
        </w:rPr>
        <w:t>年</w:t>
      </w:r>
      <w:r>
        <w:rPr>
          <w:rFonts w:ascii="Times New Roman" w:eastAsia="黑体" w:hAnsi="Times New Roman" w:cs="Times New Roman"/>
          <w:b/>
          <w:kern w:val="0"/>
          <w:sz w:val="24"/>
        </w:rPr>
        <w:t>11</w:t>
      </w:r>
      <w:r>
        <w:rPr>
          <w:rFonts w:ascii="Times New Roman" w:eastAsia="黑体" w:hAnsi="Times New Roman" w:cs="Times New Roman"/>
          <w:b/>
          <w:kern w:val="0"/>
          <w:sz w:val="24"/>
        </w:rPr>
        <w:t>月</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3</w:t>
      </w:r>
      <w:r>
        <w:rPr>
          <w:rFonts w:ascii="Times New Roman" w:eastAsia="黑体" w:hAnsi="Times New Roman" w:cs="Times New Roman"/>
          <w:b/>
          <w:kern w:val="0"/>
          <w:sz w:val="24"/>
        </w:rPr>
        <w:t>月）</w:t>
      </w:r>
    </w:p>
    <w:p w14:paraId="5962AED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）开展理论与文献研究。围绕可见的学习、高阶能力、高阶思维、社会情感能力、形成性评价与反馈等主题，搜集和整理国内外研究成果及国家和上海的相关政策文件，结合课程改革要求明确课题研究方向。</w:t>
      </w:r>
    </w:p>
    <w:p w14:paraId="39DA7FF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）界定核心概念，完善研究框架。对中学生高阶能力、高阶思维能力、高阶社会情感能力和可见的学习等核心概念进行界定，梳理概念之间的关系，明</w:t>
      </w:r>
      <w:r>
        <w:rPr>
          <w:rFonts w:ascii="Times New Roman" w:eastAsia="宋体" w:hAnsi="Times New Roman" w:cs="Times New Roman"/>
          <w:color w:val="000000"/>
          <w:kern w:val="0"/>
          <w:sz w:val="24"/>
        </w:rPr>
        <w:lastRenderedPageBreak/>
        <w:t>确课题研究什么、怎样研究、怎样评价的基本思路。</w:t>
      </w:r>
    </w:p>
    <w:p w14:paraId="0E6CFFD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）开展前期调查，了解实践基础。通过学生问卷、教师问卷、访谈、课堂观察和已有教学资料分析，了解学生高阶能力的初始状况，以及教师开展高阶能力培育的认识、实践、困难和专业需求。</w:t>
      </w:r>
    </w:p>
    <w:p w14:paraId="06A01A1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制定研究方案，完善研究工具。根据理论研究和前期调查结果，完善研究目标、内容、方法和实施计划，研制、试用和修订学生问卷、教师问卷、课堂观察工具及过程记录工具，并检验其内部一致性和结构效度。</w:t>
      </w:r>
    </w:p>
    <w:p w14:paraId="47160AF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实施阶段（</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4</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6</w:t>
      </w:r>
      <w:r>
        <w:rPr>
          <w:rFonts w:ascii="Times New Roman" w:eastAsia="黑体" w:hAnsi="Times New Roman" w:cs="Times New Roman"/>
          <w:b/>
          <w:kern w:val="0"/>
          <w:sz w:val="24"/>
        </w:rPr>
        <w:t>月）</w:t>
      </w:r>
    </w:p>
    <w:p w14:paraId="33B0B1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建构高阶能力培育学习模型。基于可见的学习理论和前期调查结果，分析高阶能力形成与发展的关键要素，研究学习目标、学习任务、学习过程、学习层次与评价反馈之间的关系，形成初步的学习模型和教学模型。</w:t>
      </w:r>
    </w:p>
    <w:p w14:paraId="1C8DC61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05F4226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）开展循环式行动研究与过程性证据分析。选择典型学科课例和科创项目开展多轮行动研究，综合课堂观察、教师评价、学生学习表现、</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课堂行为数据和教师反思等资料，发现教学设计和学生学习中的问题，依据证据调整教学和项目方案，并记录每轮调整的内容和依据。</w:t>
      </w:r>
    </w:p>
    <w:p w14:paraId="01D904B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）持续调整和完善实践模式。根据不同学科、项目和阶段形成的实践资料，对学习目标、任务设计、探究组织、评价反馈和迁移应用等关键环节进行调整，总结不同场域中促进学生高阶能力发展的有效做法。</w:t>
      </w:r>
    </w:p>
    <w:p w14:paraId="7D97A46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总结阶段（</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7</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10</w:t>
      </w:r>
      <w:r>
        <w:rPr>
          <w:rFonts w:ascii="Times New Roman" w:eastAsia="黑体" w:hAnsi="Times New Roman" w:cs="Times New Roman"/>
          <w:b/>
          <w:kern w:val="0"/>
          <w:sz w:val="24"/>
        </w:rPr>
        <w:t>月）</w:t>
      </w:r>
    </w:p>
    <w:p w14:paraId="3D8A997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）完成后期调查与资料整理。开展学生和教师后测，并与前测数据进行比较；系统整理课堂观察、研究课、科创项目、学生学习成果、教师访谈和教学反思等资料。</w:t>
      </w:r>
    </w:p>
    <w:p w14:paraId="092DAA9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）开展研究成效综合分析。从学生高阶能力发展、课堂学习变化和教师教学实践三个层面，对量化与质性资料进行综合分析，通过不同证据之间的相互参照，对研究实施情况和发展变化作出审慎判断。</w:t>
      </w:r>
    </w:p>
    <w:p w14:paraId="37F7411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）整理典型案例，提炼实践经验。梳理不同学科课堂和典型科创项目案例，分析高阶能力培育在不同学科和学习情境中的实施特点，形成典型案例和过程性成果。</w:t>
      </w:r>
    </w:p>
    <w:p w14:paraId="238828E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399700B0" w14:textId="77777777" w:rsidR="000B1CCE" w:rsidRDefault="00000000">
      <w:pPr>
        <w:keepNext/>
        <w:adjustRightInd w:val="0"/>
        <w:snapToGrid w:val="0"/>
        <w:spacing w:before="360" w:after="240" w:line="360" w:lineRule="auto"/>
        <w:jc w:val="left"/>
        <w:rPr>
          <w:rFonts w:ascii="Times New Roman" w:eastAsia="黑体" w:hAnsi="Times New Roman"/>
          <w:b/>
          <w:bCs/>
          <w:kern w:val="0"/>
          <w:sz w:val="30"/>
          <w:szCs w:val="30"/>
        </w:rPr>
      </w:pPr>
      <w:r>
        <w:rPr>
          <w:rFonts w:ascii="Times New Roman" w:eastAsia="黑体" w:hAnsi="Times New Roman" w:cs="Times New Roman"/>
          <w:b/>
          <w:bCs/>
          <w:kern w:val="0"/>
          <w:sz w:val="30"/>
        </w:rPr>
        <w:t>三、研究过程与结果</w:t>
      </w:r>
    </w:p>
    <w:p w14:paraId="71022B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部分按照研究设计中的四个研究问题组织。第（一）至（三）节通过学生问卷、教师问卷和开放性回答诊断学生高阶能力的起点与教师培育的基础，回应第一个研究问题；第（四）节以可见的学习理论和高阶能力理论为依据建构学习模型与教学模型，回应第二个研究问题；第（五）节呈现模型在学科课堂和科创教育中的实践与迭代，回应第三个研究问题；第（六）、（七）节构建评价体系，并分析学生、课堂和教师层面的变化，回应第四个研究问题。各节结论遵循研究设计中说明的推论边界，前后测差异作为变化的描述性证据，不单独作为模型因果效果的依据。</w:t>
      </w:r>
    </w:p>
    <w:p w14:paraId="7B52F146" w14:textId="77777777" w:rsidR="000B1CCE" w:rsidRDefault="00000000">
      <w:pPr>
        <w:keepNext/>
        <w:adjustRightInd w:val="0"/>
        <w:snapToGrid w:val="0"/>
        <w:spacing w:before="240" w:after="120" w:line="360" w:lineRule="auto"/>
        <w:jc w:val="left"/>
        <w:rPr>
          <w:rFonts w:ascii="Times New Roman" w:eastAsia="黑体" w:hAnsi="Times New Roman"/>
          <w:b/>
          <w:kern w:val="0"/>
          <w:sz w:val="28"/>
          <w:szCs w:val="28"/>
        </w:rPr>
      </w:pPr>
      <w:r>
        <w:rPr>
          <w:rFonts w:ascii="Times New Roman" w:eastAsia="黑体" w:hAnsi="Times New Roman" w:cs="Times New Roman"/>
          <w:b/>
          <w:kern w:val="0"/>
          <w:sz w:val="28"/>
        </w:rPr>
        <w:t>（一）学生高阶能力基础的前测调查</w:t>
      </w:r>
    </w:p>
    <w:p w14:paraId="37FF11A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学生高阶能力测评工具的开发</w:t>
      </w:r>
    </w:p>
    <w:p w14:paraId="4F55EE7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测调查围绕学生的能力基础与教师的培育条件展开。学生问卷重点了解高阶思维与高阶社会情感能力的自评状况，教师问卷重点了解相关教学认识、课堂实践及实施困难。两类调查分别从学习者与教学支持的角度，为学习模型设计和后续教学模式构建提供依据。</w:t>
      </w:r>
    </w:p>
    <w:p w14:paraId="2EA941A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）测评维度的确定</w:t>
      </w:r>
    </w:p>
    <w:p w14:paraId="2E48DDB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）高阶思维能力维度的确定</w:t>
      </w:r>
    </w:p>
    <w:p w14:paraId="3C6E8FD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高阶思维的测评需要明确认知过程及其在学习任务中的表现。布卢姆教育目标分类修订版将认知过程划分为记忆、理解、应用、分析、评价和创造六个层次，为区分学习任务的认知要求提供了理论依据（</w:t>
      </w:r>
      <w:r>
        <w:rPr>
          <w:rFonts w:ascii="Times New Roman" w:eastAsia="宋体" w:hAnsi="Times New Roman" w:cs="Times New Roman"/>
          <w:kern w:val="0"/>
          <w:sz w:val="24"/>
        </w:rPr>
        <w:t>Anderson &amp; Krathwohl, 2001</w:t>
      </w:r>
      <w:r>
        <w:rPr>
          <w:rFonts w:ascii="Times New Roman" w:eastAsia="宋体" w:hAnsi="Times New Roman" w:cs="Times New Roman"/>
          <w:kern w:val="0"/>
          <w:sz w:val="24"/>
        </w:rPr>
        <w:t>）。高</w:t>
      </w:r>
      <w:r>
        <w:rPr>
          <w:rFonts w:ascii="Times New Roman" w:eastAsia="宋体" w:hAnsi="Times New Roman" w:cs="Times New Roman"/>
          <w:kern w:val="0"/>
          <w:sz w:val="24"/>
        </w:rPr>
        <w:lastRenderedPageBreak/>
        <w:t>阶思维还体现为学生面对新材料和非程序化问题时的迁移、批判性思考与问题解决，其核心在于建立新旧知识之间的联系（马淑风，杨向东，</w:t>
      </w:r>
      <w:r>
        <w:rPr>
          <w:rFonts w:ascii="Times New Roman" w:eastAsia="宋体" w:hAnsi="Times New Roman" w:cs="Times New Roman"/>
          <w:kern w:val="0"/>
          <w:sz w:val="24"/>
        </w:rPr>
        <w:t>2022</w:t>
      </w:r>
      <w:r>
        <w:rPr>
          <w:rFonts w:ascii="Times New Roman" w:eastAsia="宋体" w:hAnsi="Times New Roman" w:cs="Times New Roman"/>
          <w:kern w:val="0"/>
          <w:sz w:val="24"/>
        </w:rPr>
        <w:t>）。</w:t>
      </w:r>
    </w:p>
    <w:p w14:paraId="78912D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748D837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73FA499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据此，本研究自行编制《中学生高阶思维能力测评量表》（</w:t>
      </w:r>
      <w:r>
        <w:rPr>
          <w:rFonts w:ascii="Times New Roman" w:eastAsia="宋体" w:hAnsi="Times New Roman" w:cs="Times New Roman"/>
          <w:kern w:val="0"/>
          <w:sz w:val="24"/>
        </w:rPr>
        <w:t>HOTS-MS</w:t>
      </w:r>
      <w:r>
        <w:rPr>
          <w:rFonts w:ascii="Times New Roman" w:eastAsia="宋体" w:hAnsi="Times New Roman" w:cs="Times New Roman"/>
          <w:kern w:val="0"/>
          <w:sz w:val="24"/>
        </w:rPr>
        <w:t>），每个维度设置</w:t>
      </w:r>
      <w:r>
        <w:rPr>
          <w:rFonts w:ascii="Times New Roman" w:eastAsia="宋体" w:hAnsi="Times New Roman" w:cs="Times New Roman"/>
          <w:kern w:val="0"/>
          <w:sz w:val="24"/>
        </w:rPr>
        <w:t>4</w:t>
      </w:r>
      <w:r>
        <w:rPr>
          <w:rFonts w:ascii="Times New Roman" w:eastAsia="宋体" w:hAnsi="Times New Roman" w:cs="Times New Roman"/>
          <w:kern w:val="0"/>
          <w:sz w:val="24"/>
        </w:rPr>
        <w:t>题，共</w:t>
      </w:r>
      <w:r>
        <w:rPr>
          <w:rFonts w:ascii="Times New Roman" w:eastAsia="宋体" w:hAnsi="Times New Roman" w:cs="Times New Roman"/>
          <w:kern w:val="0"/>
          <w:sz w:val="24"/>
        </w:rPr>
        <w:t>12</w:t>
      </w:r>
      <w:r>
        <w:rPr>
          <w:rFonts w:ascii="Times New Roman" w:eastAsia="宋体" w:hAnsi="Times New Roman" w:cs="Times New Roman"/>
          <w:kern w:val="0"/>
          <w:sz w:val="24"/>
        </w:rPr>
        <w:t>题。复杂问题解决作为三个维度共同指向的应用情境，策略反思融入相关题项，不另设测量维度。量表主要反映学生对自身思维表现的评价，其测量质量通过后续信度与结构分析加以检验。</w:t>
      </w:r>
    </w:p>
    <w:p w14:paraId="63E7324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）高阶社会情感能力维度的确定</w:t>
      </w:r>
    </w:p>
    <w:p w14:paraId="3781903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复杂学习的持续推进，不仅需要认知加工，还需要学生面对困难、分歧和不确定结果时保持投入并调整行动。</w:t>
      </w:r>
      <w:r>
        <w:rPr>
          <w:rFonts w:ascii="Times New Roman" w:eastAsia="宋体" w:hAnsi="Times New Roman" w:cs="Times New Roman"/>
          <w:kern w:val="0"/>
          <w:sz w:val="24"/>
        </w:rPr>
        <w:t>OECD</w:t>
      </w:r>
      <w:r>
        <w:rPr>
          <w:rFonts w:ascii="Times New Roman" w:eastAsia="宋体" w:hAnsi="Times New Roman" w:cs="Times New Roman"/>
          <w:kern w:val="0"/>
          <w:sz w:val="24"/>
        </w:rPr>
        <w:t>社会与情感能力调查从任务能力、情绪调节、协作能力、开放能力和交往能力等领域考察学生的发展状况，为本课题关注学习中的社会情感表现提供了理论参照（</w:t>
      </w:r>
      <w:proofErr w:type="spellStart"/>
      <w:r>
        <w:rPr>
          <w:rFonts w:ascii="Times New Roman" w:eastAsia="宋体" w:hAnsi="Times New Roman" w:cs="Times New Roman"/>
          <w:kern w:val="0"/>
          <w:sz w:val="24"/>
        </w:rPr>
        <w:t>OECD</w:t>
      </w:r>
      <w:proofErr w:type="spellEnd"/>
      <w:r>
        <w:rPr>
          <w:rFonts w:ascii="Times New Roman" w:eastAsia="宋体" w:hAnsi="Times New Roman" w:cs="Times New Roman"/>
          <w:kern w:val="0"/>
          <w:sz w:val="24"/>
        </w:rPr>
        <w:t>, 2021</w:t>
      </w:r>
      <w:r>
        <w:rPr>
          <w:rFonts w:ascii="Times New Roman" w:eastAsia="宋体" w:hAnsi="Times New Roman" w:cs="Times New Roman"/>
          <w:kern w:val="0"/>
          <w:sz w:val="24"/>
        </w:rPr>
        <w:t>）。</w:t>
      </w:r>
    </w:p>
    <w:p w14:paraId="0086321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本研究参照国内基于社会与情感能力调查开展的测评框架（黄忠敬等，</w:t>
      </w:r>
      <w:r>
        <w:rPr>
          <w:rFonts w:ascii="Times New Roman" w:eastAsia="宋体" w:hAnsi="Times New Roman" w:cs="Times New Roman"/>
          <w:kern w:val="0"/>
          <w:sz w:val="24"/>
        </w:rPr>
        <w:t>2021</w:t>
      </w:r>
      <w:r>
        <w:rPr>
          <w:rFonts w:ascii="Times New Roman" w:eastAsia="宋体" w:hAnsi="Times New Roman" w:cs="Times New Roman"/>
          <w:kern w:val="0"/>
          <w:sz w:val="24"/>
        </w:rPr>
        <w:t>；袁振国等，</w:t>
      </w:r>
      <w:r>
        <w:rPr>
          <w:rFonts w:ascii="Times New Roman" w:eastAsia="宋体" w:hAnsi="Times New Roman" w:cs="Times New Roman"/>
          <w:kern w:val="0"/>
          <w:sz w:val="24"/>
        </w:rPr>
        <w:t>2024</w:t>
      </w:r>
      <w:r>
        <w:rPr>
          <w:rFonts w:ascii="Times New Roman" w:eastAsia="宋体" w:hAnsi="Times New Roman" w:cs="Times New Roman"/>
          <w:kern w:val="0"/>
          <w:sz w:val="24"/>
        </w:rPr>
        <w:t>），围绕中学生高阶能力培育的需要，选取与责任承担、自我调节、合作协商和开放探索相关的内容，依据其内涵联系进行归并，形成责任担当、情绪调节、合作共情、包容创新四个理论维度。</w:t>
      </w:r>
    </w:p>
    <w:p w14:paraId="373CB1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关注任务承担、分工履行与持续投入；情绪调节关注压力、挫折和观点冲突中的状态调整；合作共情关注理解他人的观点与感受，通过表达和协商处理分歧；包容创新关注接纳不同意见、尝试新的方法，并在不确定条件下保持探索意愿。每个维度设置</w:t>
      </w:r>
      <w:r>
        <w:rPr>
          <w:rFonts w:ascii="Times New Roman" w:eastAsia="宋体" w:hAnsi="Times New Roman" w:cs="Times New Roman"/>
          <w:kern w:val="0"/>
          <w:sz w:val="24"/>
        </w:rPr>
        <w:t>5</w:t>
      </w:r>
      <w:r>
        <w:rPr>
          <w:rFonts w:ascii="Times New Roman" w:eastAsia="宋体" w:hAnsi="Times New Roman" w:cs="Times New Roman"/>
          <w:kern w:val="0"/>
          <w:sz w:val="24"/>
        </w:rPr>
        <w:t>题，共</w:t>
      </w:r>
      <w:r>
        <w:rPr>
          <w:rFonts w:ascii="Times New Roman" w:eastAsia="宋体" w:hAnsi="Times New Roman" w:cs="Times New Roman"/>
          <w:kern w:val="0"/>
          <w:sz w:val="24"/>
        </w:rPr>
        <w:t>20</w:t>
      </w:r>
      <w:r>
        <w:rPr>
          <w:rFonts w:ascii="Times New Roman" w:eastAsia="宋体" w:hAnsi="Times New Roman" w:cs="Times New Roman"/>
          <w:kern w:val="0"/>
          <w:sz w:val="24"/>
        </w:rPr>
        <w:t>题。</w:t>
      </w:r>
    </w:p>
    <w:p w14:paraId="2E79872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四维设计属于本研究对既有社会情感框架的选择与整合，并非原框架的直接复现。本课题所称高阶社会情感，强调相关能力在复杂、开放、持续和协同任务</w:t>
      </w:r>
      <w:r>
        <w:rPr>
          <w:rFonts w:ascii="Times New Roman" w:eastAsia="宋体" w:hAnsi="Times New Roman" w:cs="Times New Roman"/>
          <w:kern w:val="0"/>
          <w:sz w:val="24"/>
        </w:rPr>
        <w:lastRenderedPageBreak/>
        <w:t>中的运用，不将其解释为社会情感能力已经具有公认的高低层级。四个维度用于指导题项编制和现状分析，其结构合理性通过后续工具检验加以考察。</w:t>
      </w:r>
    </w:p>
    <w:p w14:paraId="0742BCC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）测评框架的形成</w:t>
      </w:r>
    </w:p>
    <w:p w14:paraId="265127C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包容创新侧重面对新方法和不同观点时的态度与倾向。问卷原报告曾将后一维度命名为包容创造，本报告统一称为包容创新，两者对应同一组题项。</w:t>
      </w:r>
    </w:p>
    <w:p w14:paraId="12702FC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学生问卷最终形成两类能力、七个理论维度、</w:t>
      </w:r>
      <w:r>
        <w:rPr>
          <w:rFonts w:ascii="Times New Roman" w:eastAsia="宋体" w:hAnsi="Times New Roman" w:cs="Times New Roman"/>
          <w:kern w:val="0"/>
          <w:sz w:val="24"/>
        </w:rPr>
        <w:t>32</w:t>
      </w:r>
      <w:r>
        <w:rPr>
          <w:rFonts w:ascii="Times New Roman" w:eastAsia="宋体" w:hAnsi="Times New Roman" w:cs="Times New Roman"/>
          <w:kern w:val="0"/>
          <w:sz w:val="24"/>
        </w:rPr>
        <w:t>道正向评分题的测评框架，采用五级评分，按</w:t>
      </w:r>
      <w:r>
        <w:rPr>
          <w:rFonts w:ascii="Times New Roman" w:eastAsia="宋体" w:hAnsi="Times New Roman" w:cs="Times New Roman"/>
          <w:kern w:val="0"/>
          <w:sz w:val="24"/>
        </w:rPr>
        <w:t>1—5</w:t>
      </w:r>
      <w:r>
        <w:rPr>
          <w:rFonts w:ascii="Times New Roman" w:eastAsia="宋体" w:hAnsi="Times New Roman" w:cs="Times New Roman"/>
          <w:kern w:val="0"/>
          <w:sz w:val="24"/>
        </w:rPr>
        <w:t>分计分。得分越高，表示学生对自身相应表现的评价越积极。七维用于组织测评内容、描述学生状况和确定实践重点，不预先认定其构成七个独立、稳定的测量因素。</w:t>
      </w:r>
    </w:p>
    <w:p w14:paraId="74E58C0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学生样本与数据收集</w:t>
      </w:r>
    </w:p>
    <w:p w14:paraId="2539E5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发展基础，明确学科课堂与科创教育需要重点回应的问题，课题组依据前述测评框架编制学生前测问卷（见附录）。调查内容包括分析、评价、创造三个高阶思维维度，以及责任担当、情绪调节、合作共情、包容创新四个高阶社会情感维度，共</w:t>
      </w:r>
      <w:r>
        <w:rPr>
          <w:rFonts w:ascii="Times New Roman" w:eastAsia="宋体" w:hAnsi="Times New Roman" w:cs="Times New Roman"/>
          <w:kern w:val="0"/>
          <w:sz w:val="24"/>
        </w:rPr>
        <w:t>32</w:t>
      </w:r>
      <w:r>
        <w:rPr>
          <w:rFonts w:ascii="Times New Roman" w:eastAsia="宋体" w:hAnsi="Times New Roman" w:cs="Times New Roman"/>
          <w:kern w:val="0"/>
          <w:sz w:val="24"/>
        </w:rPr>
        <w:t>道评分题。</w:t>
      </w:r>
    </w:p>
    <w:p w14:paraId="391B9F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调查采用分层整群随机抽样，以年级为分层依据，以班级为抽样单位。学校初中六至八年级各有</w:t>
      </w:r>
      <w:r>
        <w:rPr>
          <w:rFonts w:ascii="Times New Roman" w:eastAsia="宋体" w:hAnsi="Times New Roman" w:cs="Times New Roman"/>
          <w:sz w:val="24"/>
        </w:rPr>
        <w:t>12</w:t>
      </w:r>
      <w:r>
        <w:rPr>
          <w:rFonts w:ascii="Times New Roman" w:eastAsia="宋体" w:hAnsi="Times New Roman" w:cs="Times New Roman"/>
          <w:sz w:val="24"/>
        </w:rPr>
        <w:t>个班，九年级有</w:t>
      </w:r>
      <w:r>
        <w:rPr>
          <w:rFonts w:ascii="Times New Roman" w:eastAsia="宋体" w:hAnsi="Times New Roman" w:cs="Times New Roman"/>
          <w:sz w:val="24"/>
        </w:rPr>
        <w:t>13</w:t>
      </w:r>
      <w:r>
        <w:rPr>
          <w:rFonts w:ascii="Times New Roman" w:eastAsia="宋体" w:hAnsi="Times New Roman" w:cs="Times New Roman"/>
          <w:sz w:val="24"/>
        </w:rPr>
        <w:t>个班级，高中十至十二年级各有</w:t>
      </w:r>
      <w:r>
        <w:rPr>
          <w:rFonts w:ascii="Times New Roman" w:eastAsia="宋体" w:hAnsi="Times New Roman" w:cs="Times New Roman"/>
          <w:sz w:val="24"/>
        </w:rPr>
        <w:t>4</w:t>
      </w:r>
      <w:r>
        <w:rPr>
          <w:rFonts w:ascii="Times New Roman" w:eastAsia="宋体" w:hAnsi="Times New Roman" w:cs="Times New Roman"/>
          <w:sz w:val="24"/>
        </w:rPr>
        <w:t>个班。课题组在初中六至八各年级随机抽取</w:t>
      </w:r>
      <w:r>
        <w:rPr>
          <w:rFonts w:ascii="Times New Roman" w:eastAsia="宋体" w:hAnsi="Times New Roman" w:cs="Times New Roman"/>
          <w:sz w:val="24"/>
        </w:rPr>
        <w:t>5</w:t>
      </w:r>
      <w:r>
        <w:rPr>
          <w:rFonts w:ascii="Times New Roman" w:eastAsia="宋体" w:hAnsi="Times New Roman" w:cs="Times New Roman"/>
          <w:sz w:val="24"/>
        </w:rPr>
        <w:t>个班、九年级抽取</w:t>
      </w:r>
      <w:r>
        <w:rPr>
          <w:rFonts w:ascii="Times New Roman" w:eastAsia="宋体" w:hAnsi="Times New Roman" w:cs="Times New Roman"/>
          <w:sz w:val="24"/>
        </w:rPr>
        <w:t>6</w:t>
      </w:r>
      <w:r>
        <w:rPr>
          <w:rFonts w:ascii="Times New Roman" w:eastAsia="宋体" w:hAnsi="Times New Roman" w:cs="Times New Roman"/>
          <w:sz w:val="24"/>
        </w:rPr>
        <w:t>个班，高中各年级随机抽取</w:t>
      </w:r>
      <w:r>
        <w:rPr>
          <w:rFonts w:ascii="Times New Roman" w:eastAsia="宋体" w:hAnsi="Times New Roman" w:cs="Times New Roman"/>
          <w:sz w:val="24"/>
        </w:rPr>
        <w:t>2</w:t>
      </w:r>
      <w:r>
        <w:rPr>
          <w:rFonts w:ascii="Times New Roman" w:eastAsia="宋体" w:hAnsi="Times New Roman" w:cs="Times New Roman"/>
          <w:sz w:val="24"/>
        </w:rPr>
        <w:t>个班，共抽取</w:t>
      </w:r>
      <w:r>
        <w:rPr>
          <w:rFonts w:ascii="Times New Roman" w:eastAsia="宋体" w:hAnsi="Times New Roman" w:cs="Times New Roman"/>
          <w:sz w:val="24"/>
        </w:rPr>
        <w:t>27</w:t>
      </w:r>
      <w:r>
        <w:rPr>
          <w:rFonts w:ascii="Times New Roman" w:eastAsia="宋体" w:hAnsi="Times New Roman" w:cs="Times New Roman"/>
          <w:sz w:val="24"/>
        </w:rPr>
        <w:t>个班，采用问卷星组织入选班级学生在学校计算机房集中填写问卷，共回收有效问卷</w:t>
      </w:r>
      <w:r>
        <w:rPr>
          <w:rFonts w:ascii="Times New Roman" w:eastAsia="宋体" w:hAnsi="Times New Roman" w:cs="Times New Roman"/>
          <w:sz w:val="24"/>
        </w:rPr>
        <w:t>1346</w:t>
      </w:r>
      <w:r>
        <w:rPr>
          <w:rFonts w:ascii="Times New Roman" w:eastAsia="宋体" w:hAnsi="Times New Roman" w:cs="Times New Roman"/>
          <w:sz w:val="24"/>
        </w:rPr>
        <w:t>份。其中，男生</w:t>
      </w:r>
      <w:r>
        <w:rPr>
          <w:rFonts w:ascii="Times New Roman" w:eastAsia="宋体" w:hAnsi="Times New Roman" w:cs="Times New Roman"/>
          <w:sz w:val="24"/>
        </w:rPr>
        <w:t>671</w:t>
      </w:r>
      <w:r>
        <w:rPr>
          <w:rFonts w:ascii="Times New Roman" w:eastAsia="宋体" w:hAnsi="Times New Roman" w:cs="Times New Roman"/>
          <w:sz w:val="24"/>
        </w:rPr>
        <w:t>人、女生</w:t>
      </w:r>
      <w:r>
        <w:rPr>
          <w:rFonts w:ascii="Times New Roman" w:eastAsia="宋体" w:hAnsi="Times New Roman" w:cs="Times New Roman"/>
          <w:sz w:val="24"/>
        </w:rPr>
        <w:t>675</w:t>
      </w:r>
      <w:r>
        <w:rPr>
          <w:rFonts w:ascii="Times New Roman" w:eastAsia="宋体" w:hAnsi="Times New Roman" w:cs="Times New Roman"/>
          <w:sz w:val="24"/>
        </w:rPr>
        <w:t>人，分别占</w:t>
      </w:r>
      <w:r>
        <w:rPr>
          <w:rFonts w:ascii="Times New Roman" w:eastAsia="宋体" w:hAnsi="Times New Roman" w:cs="Times New Roman"/>
          <w:sz w:val="24"/>
        </w:rPr>
        <w:t>49.85%</w:t>
      </w:r>
      <w:r>
        <w:rPr>
          <w:rFonts w:ascii="Times New Roman" w:eastAsia="宋体" w:hAnsi="Times New Roman" w:cs="Times New Roman"/>
          <w:sz w:val="24"/>
        </w:rPr>
        <w:t>和</w:t>
      </w:r>
      <w:r>
        <w:rPr>
          <w:rFonts w:ascii="Times New Roman" w:eastAsia="宋体" w:hAnsi="Times New Roman" w:cs="Times New Roman"/>
          <w:sz w:val="24"/>
        </w:rPr>
        <w:t>50.15%</w:t>
      </w:r>
      <w:r>
        <w:rPr>
          <w:rFonts w:ascii="Times New Roman" w:eastAsia="宋体" w:hAnsi="Times New Roman" w:cs="Times New Roman"/>
          <w:sz w:val="24"/>
        </w:rPr>
        <w:t>。研究对问卷题项与计分进行核查，据此开展测评工具检验及学生高阶能力现状分析，为学习模型设计与后续教学模式构建提供依据。</w:t>
      </w:r>
    </w:p>
    <w:p w14:paraId="73B4DCF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学生问卷的测量质量检验</w:t>
      </w:r>
    </w:p>
    <w:p w14:paraId="7C8E4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为了解学生高阶能力的学习基础，课题组编制了包含</w:t>
      </w:r>
      <w:r>
        <w:rPr>
          <w:rFonts w:ascii="Times New Roman" w:eastAsia="宋体" w:hAnsi="Times New Roman" w:cs="Times New Roman"/>
          <w:kern w:val="0"/>
          <w:sz w:val="24"/>
        </w:rPr>
        <w:t>32</w:t>
      </w:r>
      <w:r>
        <w:rPr>
          <w:rFonts w:ascii="Times New Roman" w:eastAsia="宋体" w:hAnsi="Times New Roman" w:cs="Times New Roman"/>
          <w:kern w:val="0"/>
          <w:sz w:val="24"/>
        </w:rPr>
        <w:t>道评分题的学生问卷。测评内容涵盖分析、评价、创造、责任担当、情绪调节、合作共情和包容创新七个理论维度。本研究依据问卷星对</w:t>
      </w:r>
      <w:r>
        <w:rPr>
          <w:rFonts w:ascii="Times New Roman" w:eastAsia="宋体" w:hAnsi="Times New Roman" w:cs="Times New Roman"/>
          <w:kern w:val="0"/>
          <w:sz w:val="24"/>
        </w:rPr>
        <w:t>1346</w:t>
      </w:r>
      <w:r>
        <w:rPr>
          <w:rFonts w:ascii="Times New Roman" w:eastAsia="宋体" w:hAnsi="Times New Roman" w:cs="Times New Roman"/>
          <w:kern w:val="0"/>
          <w:sz w:val="24"/>
        </w:rPr>
        <w:t>份学生问卷的分析结果，考察题项之间的关联及其与理论内容分类的对应情况，为前测诊断提供测量依据。</w:t>
      </w:r>
    </w:p>
    <w:p w14:paraId="7918A15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40F3492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504AF57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w:t>
      </w:r>
      <w:r>
        <w:rPr>
          <w:rFonts w:ascii="Times New Roman" w:eastAsia="宋体" w:hAnsi="Times New Roman" w:cs="Times New Roman"/>
          <w:kern w:val="0"/>
          <w:sz w:val="24"/>
        </w:rPr>
        <w:t>。</w:t>
      </w:r>
    </w:p>
    <w:p w14:paraId="66B810A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032"/>
        <w:gridCol w:w="2880"/>
        <w:gridCol w:w="2592"/>
      </w:tblGrid>
      <w:tr w:rsidR="000B1CCE" w14:paraId="7F3EB606" w14:textId="77777777">
        <w:trPr>
          <w:cantSplit/>
          <w:tblHeader/>
          <w:jc w:val="center"/>
        </w:trPr>
        <w:tc>
          <w:tcPr>
            <w:tcW w:w="4032" w:type="dxa"/>
            <w:tcBorders>
              <w:top w:val="single" w:sz="12" w:space="0" w:color="000000"/>
              <w:left w:val="nil"/>
              <w:bottom w:val="single" w:sz="6" w:space="0" w:color="000000"/>
              <w:right w:val="nil"/>
            </w:tcBorders>
            <w:vAlign w:val="center"/>
          </w:tcPr>
          <w:p w14:paraId="3E63AD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880" w:type="dxa"/>
            <w:tcBorders>
              <w:top w:val="single" w:sz="12" w:space="0" w:color="000000"/>
              <w:left w:val="nil"/>
              <w:bottom w:val="single" w:sz="6" w:space="0" w:color="000000"/>
              <w:right w:val="nil"/>
            </w:tcBorders>
            <w:vAlign w:val="center"/>
          </w:tcPr>
          <w:p w14:paraId="110442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592" w:type="dxa"/>
            <w:tcBorders>
              <w:top w:val="single" w:sz="12" w:space="0" w:color="000000"/>
              <w:left w:val="nil"/>
              <w:bottom w:val="single" w:sz="6" w:space="0" w:color="000000"/>
              <w:right w:val="nil"/>
            </w:tcBorders>
            <w:vAlign w:val="center"/>
          </w:tcPr>
          <w:p w14:paraId="6B6791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02692B0A" w14:textId="77777777">
        <w:trPr>
          <w:cantSplit/>
          <w:trHeight w:val="90"/>
          <w:jc w:val="center"/>
        </w:trPr>
        <w:tc>
          <w:tcPr>
            <w:tcW w:w="4032" w:type="dxa"/>
            <w:tcBorders>
              <w:top w:val="nil"/>
              <w:left w:val="nil"/>
              <w:bottom w:val="nil"/>
              <w:right w:val="nil"/>
            </w:tcBorders>
            <w:vAlign w:val="center"/>
          </w:tcPr>
          <w:p w14:paraId="23DA10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880" w:type="dxa"/>
            <w:tcBorders>
              <w:top w:val="nil"/>
              <w:left w:val="nil"/>
              <w:bottom w:val="nil"/>
              <w:right w:val="nil"/>
            </w:tcBorders>
            <w:vAlign w:val="center"/>
          </w:tcPr>
          <w:p w14:paraId="7FA761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592" w:type="dxa"/>
            <w:tcBorders>
              <w:top w:val="nil"/>
              <w:left w:val="nil"/>
              <w:bottom w:val="nil"/>
              <w:right w:val="nil"/>
            </w:tcBorders>
            <w:vAlign w:val="center"/>
          </w:tcPr>
          <w:p w14:paraId="5347BE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0.9868</w:t>
            </w:r>
          </w:p>
        </w:tc>
      </w:tr>
      <w:tr w:rsidR="000B1CCE" w14:paraId="31415FE7" w14:textId="77777777">
        <w:trPr>
          <w:cantSplit/>
          <w:jc w:val="center"/>
        </w:trPr>
        <w:tc>
          <w:tcPr>
            <w:tcW w:w="4032" w:type="dxa"/>
            <w:tcBorders>
              <w:top w:val="nil"/>
              <w:left w:val="nil"/>
              <w:bottom w:val="nil"/>
              <w:right w:val="nil"/>
            </w:tcBorders>
            <w:vAlign w:val="center"/>
          </w:tcPr>
          <w:p w14:paraId="17A4DE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2AF798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592" w:type="dxa"/>
            <w:tcBorders>
              <w:top w:val="nil"/>
              <w:left w:val="nil"/>
              <w:bottom w:val="nil"/>
              <w:right w:val="nil"/>
            </w:tcBorders>
            <w:vAlign w:val="center"/>
          </w:tcPr>
          <w:p w14:paraId="77A287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42225.930</w:t>
            </w:r>
          </w:p>
        </w:tc>
      </w:tr>
      <w:tr w:rsidR="000B1CCE" w14:paraId="6508BE4A" w14:textId="77777777">
        <w:trPr>
          <w:cantSplit/>
          <w:jc w:val="center"/>
        </w:trPr>
        <w:tc>
          <w:tcPr>
            <w:tcW w:w="4032" w:type="dxa"/>
            <w:tcBorders>
              <w:top w:val="nil"/>
              <w:left w:val="nil"/>
              <w:bottom w:val="nil"/>
              <w:right w:val="nil"/>
            </w:tcBorders>
            <w:vAlign w:val="center"/>
          </w:tcPr>
          <w:p w14:paraId="3408E7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54B456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自由度</w:t>
            </w:r>
          </w:p>
        </w:tc>
        <w:tc>
          <w:tcPr>
            <w:tcW w:w="2592" w:type="dxa"/>
            <w:tcBorders>
              <w:top w:val="nil"/>
              <w:left w:val="nil"/>
              <w:bottom w:val="nil"/>
              <w:right w:val="nil"/>
            </w:tcBorders>
            <w:vAlign w:val="center"/>
          </w:tcPr>
          <w:p w14:paraId="25706C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496</w:t>
            </w:r>
          </w:p>
        </w:tc>
      </w:tr>
      <w:tr w:rsidR="000B1CCE" w14:paraId="73A064B2" w14:textId="77777777">
        <w:trPr>
          <w:cantSplit/>
          <w:jc w:val="center"/>
        </w:trPr>
        <w:tc>
          <w:tcPr>
            <w:tcW w:w="4032" w:type="dxa"/>
            <w:tcBorders>
              <w:top w:val="nil"/>
              <w:left w:val="nil"/>
              <w:bottom w:val="single" w:sz="12" w:space="0" w:color="000000"/>
              <w:right w:val="nil"/>
            </w:tcBorders>
            <w:vAlign w:val="center"/>
          </w:tcPr>
          <w:p w14:paraId="1B7914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single" w:sz="12" w:space="0" w:color="000000"/>
              <w:right w:val="nil"/>
            </w:tcBorders>
            <w:vAlign w:val="center"/>
          </w:tcPr>
          <w:p w14:paraId="0F04B6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592" w:type="dxa"/>
            <w:tcBorders>
              <w:top w:val="nil"/>
              <w:left w:val="nil"/>
              <w:bottom w:val="single" w:sz="12" w:space="0" w:color="000000"/>
              <w:right w:val="nil"/>
            </w:tcBorders>
            <w:vAlign w:val="center"/>
          </w:tcPr>
          <w:p w14:paraId="42CDFE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6B43F36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0.9868</w:t>
      </w:r>
      <w:r>
        <w:rPr>
          <w:rFonts w:ascii="Times New Roman" w:eastAsia="宋体" w:hAnsi="Times New Roman" w:cs="Times New Roman"/>
          <w:kern w:val="0"/>
          <w:sz w:val="24"/>
        </w:rPr>
        <w:t>，</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球形度检验达到显著水平，说明相关矩阵并非单位矩阵，题项之间具备开展结构探索的统计基础。两项检验支持进一步考察题项归属。</w:t>
      </w:r>
    </w:p>
    <w:p w14:paraId="28DCADA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34FF8CC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前两个成分的特征值大于</w:t>
      </w:r>
      <w:r>
        <w:rPr>
          <w:rFonts w:ascii="Times New Roman" w:eastAsia="宋体" w:hAnsi="Times New Roman" w:cs="Times New Roman"/>
          <w:kern w:val="0"/>
          <w:sz w:val="24"/>
        </w:rPr>
        <w:t>1</w:t>
      </w:r>
      <w:r>
        <w:rPr>
          <w:rFonts w:ascii="Times New Roman" w:eastAsia="宋体" w:hAnsi="Times New Roman" w:cs="Times New Roman"/>
          <w:kern w:val="0"/>
          <w:sz w:val="24"/>
        </w:rPr>
        <w:t>，第三个成分的特征值低于</w:t>
      </w:r>
      <w:r>
        <w:rPr>
          <w:rFonts w:ascii="Times New Roman" w:eastAsia="宋体" w:hAnsi="Times New Roman" w:cs="Times New Roman"/>
          <w:kern w:val="0"/>
          <w:sz w:val="24"/>
        </w:rPr>
        <w:t>1</w:t>
      </w:r>
      <w:r>
        <w:rPr>
          <w:rFonts w:ascii="Times New Roman" w:eastAsia="宋体" w:hAnsi="Times New Roman" w:cs="Times New Roman"/>
          <w:kern w:val="0"/>
          <w:sz w:val="24"/>
        </w:rPr>
        <w:t>，结果见表</w:t>
      </w:r>
      <w:r>
        <w:rPr>
          <w:rFonts w:ascii="Times New Roman" w:eastAsia="宋体" w:hAnsi="Times New Roman" w:cs="Times New Roman"/>
          <w:kern w:val="0"/>
          <w:sz w:val="24"/>
        </w:rPr>
        <w:t>3-2</w:t>
      </w:r>
      <w:r>
        <w:rPr>
          <w:rFonts w:ascii="Times New Roman" w:eastAsia="宋体" w:hAnsi="Times New Roman" w:cs="Times New Roman"/>
          <w:kern w:val="0"/>
          <w:sz w:val="24"/>
        </w:rPr>
        <w:t>。</w:t>
      </w:r>
    </w:p>
    <w:p w14:paraId="4AC9953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  </w:t>
      </w:r>
      <w:r>
        <w:rPr>
          <w:rFonts w:ascii="Times New Roman" w:eastAsia="黑体" w:hAnsi="Times New Roman" w:cs="Times New Roman"/>
          <w:kern w:val="0"/>
        </w:rPr>
        <w:t>学生高阶能力问卷前五个成分特征值</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682"/>
        <w:gridCol w:w="4837"/>
      </w:tblGrid>
      <w:tr w:rsidR="000B1CCE" w14:paraId="05F17C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6DA1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DDE6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39C15E3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3E2E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837" w:type="dxa"/>
            <w:tcBorders>
              <w:top w:val="nil"/>
              <w:left w:val="nil"/>
              <w:bottom w:val="nil"/>
              <w:right w:val="nil"/>
            </w:tcBorders>
            <w:tcMar>
              <w:top w:w="-1" w:type="dxa"/>
              <w:left w:w="-1" w:type="dxa"/>
              <w:bottom w:w="-1" w:type="dxa"/>
              <w:right w:w="-1" w:type="dxa"/>
            </w:tcMar>
            <w:vAlign w:val="center"/>
          </w:tcPr>
          <w:p w14:paraId="188B79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20.500</w:t>
            </w:r>
          </w:p>
        </w:tc>
      </w:tr>
      <w:tr w:rsidR="000B1CCE" w14:paraId="48043C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487D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9F285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1.327</w:t>
            </w:r>
          </w:p>
        </w:tc>
      </w:tr>
      <w:tr w:rsidR="000B1CCE" w14:paraId="3783FD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90EB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03B450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0.847</w:t>
            </w:r>
          </w:p>
        </w:tc>
      </w:tr>
      <w:tr w:rsidR="000B1CCE" w14:paraId="57EA72D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9F341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3F9F28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0.742</w:t>
            </w:r>
          </w:p>
        </w:tc>
      </w:tr>
      <w:tr w:rsidR="000B1CCE" w14:paraId="6724507A" w14:textId="77777777">
        <w:trPr>
          <w:jc w:val="center"/>
        </w:trPr>
        <w:tc>
          <w:tcPr>
            <w:tcW w:w="3682" w:type="dxa"/>
            <w:tcBorders>
              <w:top w:val="nil"/>
              <w:left w:val="nil"/>
              <w:bottom w:val="single" w:sz="12" w:space="0" w:color="000000"/>
              <w:right w:val="nil"/>
            </w:tcBorders>
            <w:tcMar>
              <w:top w:w="-1" w:type="dxa"/>
              <w:left w:w="-1" w:type="dxa"/>
              <w:bottom w:w="-1" w:type="dxa"/>
              <w:right w:w="-1" w:type="dxa"/>
            </w:tcMar>
            <w:vAlign w:val="center"/>
          </w:tcPr>
          <w:p w14:paraId="584555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837" w:type="dxa"/>
            <w:tcBorders>
              <w:top w:val="nil"/>
              <w:left w:val="nil"/>
              <w:bottom w:val="single" w:sz="12" w:space="0" w:color="000000"/>
              <w:right w:val="nil"/>
            </w:tcBorders>
            <w:tcMar>
              <w:top w:w="-1" w:type="dxa"/>
              <w:left w:w="-1" w:type="dxa"/>
              <w:bottom w:w="-1" w:type="dxa"/>
              <w:right w:w="-1" w:type="dxa"/>
            </w:tcMar>
            <w:vAlign w:val="center"/>
          </w:tcPr>
          <w:p w14:paraId="76EC6D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r>
    </w:tbl>
    <w:p w14:paraId="773033F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依据特征值大于</w:t>
      </w:r>
      <w:r>
        <w:rPr>
          <w:rFonts w:ascii="Times New Roman" w:eastAsia="宋体" w:hAnsi="Times New Roman" w:cs="Times New Roman"/>
          <w:kern w:val="0"/>
          <w:sz w:val="24"/>
        </w:rPr>
        <w:t>1</w:t>
      </w:r>
      <w:r>
        <w:rPr>
          <w:rFonts w:ascii="Times New Roman" w:eastAsia="宋体" w:hAnsi="Times New Roman" w:cs="Times New Roman"/>
          <w:kern w:val="0"/>
          <w:sz w:val="24"/>
        </w:rPr>
        <w:t>的标准，可首先考察二成分方案。问卷星进一步比较二至六成分方案，将三成分方案作为主要解释方案，题项分别集中于认知策略、社会合作和情绪调节。三成分方案的选择还考虑了题项分布及内容含义，并非仅依据特征值标准确定。因此，本研究将其用于探索测评内容之间的关系，不将其视为已经确立的正式测评结构。</w:t>
      </w:r>
    </w:p>
    <w:p w14:paraId="0F461D7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0FE5217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问卷采用主成分提取与直接斜交旋转。考虑到学生的认知活动、合作表现与自我调节可能相互联系，分析允许成分之间存在相关。三成分方案中各题的主要归属与载荷见表</w:t>
      </w:r>
      <w:r>
        <w:rPr>
          <w:rFonts w:ascii="Times New Roman" w:eastAsia="宋体" w:hAnsi="Times New Roman" w:cs="Times New Roman"/>
          <w:kern w:val="0"/>
          <w:sz w:val="24"/>
        </w:rPr>
        <w:t>3-3</w:t>
      </w:r>
      <w:r>
        <w:rPr>
          <w:rFonts w:ascii="Times New Roman" w:eastAsia="宋体" w:hAnsi="Times New Roman" w:cs="Times New Roman"/>
          <w:kern w:val="0"/>
          <w:sz w:val="24"/>
        </w:rPr>
        <w:t>。现有分析材料列出了主要载荷，尚未完整呈现各题在其他</w:t>
      </w:r>
      <w:r>
        <w:rPr>
          <w:rFonts w:ascii="Times New Roman" w:eastAsia="宋体" w:hAnsi="Times New Roman" w:cs="Times New Roman"/>
          <w:kern w:val="0"/>
          <w:sz w:val="24"/>
        </w:rPr>
        <w:lastRenderedPageBreak/>
        <w:t>成分上的载荷。</w:t>
      </w:r>
    </w:p>
    <w:p w14:paraId="6440C34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  </w:t>
      </w:r>
      <w:r>
        <w:rPr>
          <w:rFonts w:ascii="Times New Roman" w:eastAsia="黑体" w:hAnsi="Times New Roman" w:cs="Times New Roman"/>
          <w:kern w:val="0"/>
        </w:rPr>
        <w:t>学生高阶能力问卷三成分方案的题项主要归属与载荷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7"/>
        <w:gridCol w:w="3646"/>
        <w:gridCol w:w="1863"/>
        <w:gridCol w:w="1863"/>
      </w:tblGrid>
      <w:tr w:rsidR="000B1CCE" w14:paraId="3DA3735C"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8FF2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题号</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444C6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D8841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主要归属</w:t>
            </w:r>
          </w:p>
        </w:tc>
        <w:tc>
          <w:tcPr>
            <w:tcW w:w="18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5727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主要载荷</w:t>
            </w:r>
          </w:p>
        </w:tc>
      </w:tr>
      <w:tr w:rsidR="000B1CCE" w14:paraId="1666B6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8D56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w:t>
            </w:r>
          </w:p>
        </w:tc>
        <w:tc>
          <w:tcPr>
            <w:tcW w:w="0" w:type="auto"/>
            <w:tcBorders>
              <w:top w:val="nil"/>
              <w:left w:val="nil"/>
              <w:bottom w:val="nil"/>
              <w:right w:val="nil"/>
            </w:tcBorders>
            <w:tcMar>
              <w:top w:w="-1" w:type="dxa"/>
              <w:left w:w="-1" w:type="dxa"/>
              <w:bottom w:w="-1" w:type="dxa"/>
              <w:right w:w="-1" w:type="dxa"/>
            </w:tcMar>
            <w:vAlign w:val="center"/>
          </w:tcPr>
          <w:p w14:paraId="432D20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复杂问题拆解</w:t>
            </w:r>
          </w:p>
        </w:tc>
        <w:tc>
          <w:tcPr>
            <w:tcW w:w="0" w:type="auto"/>
            <w:tcBorders>
              <w:top w:val="nil"/>
              <w:left w:val="nil"/>
              <w:bottom w:val="nil"/>
              <w:right w:val="nil"/>
            </w:tcBorders>
            <w:tcMar>
              <w:top w:w="-1" w:type="dxa"/>
              <w:left w:w="-1" w:type="dxa"/>
              <w:bottom w:w="-1" w:type="dxa"/>
              <w:right w:w="-1" w:type="dxa"/>
            </w:tcMar>
            <w:vAlign w:val="center"/>
          </w:tcPr>
          <w:p w14:paraId="35502D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FFD60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246E238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663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F9EF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05BDD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F50A8F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0.691</w:t>
            </w:r>
          </w:p>
        </w:tc>
      </w:tr>
      <w:tr w:rsidR="000B1CCE" w14:paraId="2940CD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054F2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5EE45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60F45A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9388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0.677</w:t>
            </w:r>
          </w:p>
        </w:tc>
      </w:tr>
      <w:tr w:rsidR="000B1CCE" w14:paraId="253A8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1803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24991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6B616C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39A65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0.698</w:t>
            </w:r>
          </w:p>
        </w:tc>
      </w:tr>
      <w:tr w:rsidR="000B1CCE" w14:paraId="417045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1283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B5456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5D7DD3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F3077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0.655</w:t>
            </w:r>
          </w:p>
        </w:tc>
      </w:tr>
      <w:tr w:rsidR="000B1CCE" w14:paraId="69B8F2B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5D2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44FDE4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5B43BE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0F1DD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0.548</w:t>
            </w:r>
          </w:p>
        </w:tc>
      </w:tr>
      <w:tr w:rsidR="000B1CCE" w14:paraId="2DEB8268" w14:textId="77777777">
        <w:trPr>
          <w:trHeight w:val="90"/>
          <w:jc w:val="center"/>
        </w:trPr>
        <w:tc>
          <w:tcPr>
            <w:tcW w:w="0" w:type="auto"/>
            <w:tcBorders>
              <w:top w:val="nil"/>
              <w:left w:val="nil"/>
              <w:bottom w:val="nil"/>
              <w:right w:val="nil"/>
            </w:tcBorders>
            <w:tcMar>
              <w:top w:w="-1" w:type="dxa"/>
              <w:left w:w="-1" w:type="dxa"/>
              <w:bottom w:w="-1" w:type="dxa"/>
              <w:right w:w="-1" w:type="dxa"/>
            </w:tcMar>
            <w:vAlign w:val="center"/>
          </w:tcPr>
          <w:p w14:paraId="77433D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69890F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4A1FF4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6EDDA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7459CD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F69B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15C802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35056B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C026E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0.637</w:t>
            </w:r>
          </w:p>
        </w:tc>
      </w:tr>
      <w:tr w:rsidR="000B1CCE" w14:paraId="2A87B4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3FED5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13806C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40D26B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36EBE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0.639</w:t>
            </w:r>
          </w:p>
        </w:tc>
      </w:tr>
      <w:tr w:rsidR="000B1CCE" w14:paraId="60103C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2501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2DAF96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442126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6DB24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0.700</w:t>
            </w:r>
          </w:p>
        </w:tc>
      </w:tr>
      <w:tr w:rsidR="000B1CCE" w14:paraId="0617C44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E5B7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2CBF7F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4996C4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803D5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0.654</w:t>
            </w:r>
          </w:p>
        </w:tc>
      </w:tr>
      <w:tr w:rsidR="000B1CCE" w14:paraId="78D1161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D17F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781DFB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314C23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1099C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0.614</w:t>
            </w:r>
          </w:p>
        </w:tc>
      </w:tr>
      <w:tr w:rsidR="000B1CCE" w14:paraId="2FFF5C8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48BA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Q13</w:t>
            </w:r>
          </w:p>
        </w:tc>
        <w:tc>
          <w:tcPr>
            <w:tcW w:w="0" w:type="auto"/>
            <w:tcBorders>
              <w:top w:val="nil"/>
              <w:left w:val="nil"/>
              <w:bottom w:val="nil"/>
              <w:right w:val="nil"/>
            </w:tcBorders>
            <w:tcMar>
              <w:top w:w="-1" w:type="dxa"/>
              <w:left w:w="-1" w:type="dxa"/>
              <w:bottom w:w="-1" w:type="dxa"/>
              <w:right w:w="-1" w:type="dxa"/>
            </w:tcMar>
            <w:vAlign w:val="center"/>
          </w:tcPr>
          <w:p w14:paraId="691B6A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5BD096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6C1D02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0.509</w:t>
            </w:r>
          </w:p>
        </w:tc>
      </w:tr>
      <w:tr w:rsidR="000B1CCE" w14:paraId="15C2FB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8CE2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21D981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303D2B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35B903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0.668</w:t>
            </w:r>
          </w:p>
        </w:tc>
      </w:tr>
      <w:tr w:rsidR="000B1CCE" w14:paraId="782A63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429BE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06B77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35DF86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B3AC1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0.515</w:t>
            </w:r>
          </w:p>
        </w:tc>
      </w:tr>
      <w:tr w:rsidR="000B1CCE" w14:paraId="4C445A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32CA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70A13A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743BDF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7F1A4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0.516</w:t>
            </w:r>
          </w:p>
        </w:tc>
      </w:tr>
      <w:tr w:rsidR="000B1CCE" w14:paraId="44AB2F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5191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554619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7D5FA2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58E42D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0.708</w:t>
            </w:r>
          </w:p>
        </w:tc>
      </w:tr>
      <w:tr w:rsidR="000B1CCE" w14:paraId="66823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3704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37A6BD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12C2E0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593522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0.569</w:t>
            </w:r>
          </w:p>
        </w:tc>
      </w:tr>
      <w:tr w:rsidR="000B1CCE" w14:paraId="0C21B6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CCB42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442820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2794A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121A0A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060BC2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08A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06B6E9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322B64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5B684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0.540</w:t>
            </w:r>
          </w:p>
        </w:tc>
      </w:tr>
      <w:tr w:rsidR="000B1CCE" w14:paraId="6B4201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43AF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1BA396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6DD2A2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4B83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20DBC1A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9A4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646F13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145D5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5CE038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0D3ACB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9FFC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799572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54D51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324146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0.783</w:t>
            </w:r>
          </w:p>
        </w:tc>
      </w:tr>
      <w:tr w:rsidR="000B1CCE" w14:paraId="09B3DEB5" w14:textId="77777777">
        <w:trPr>
          <w:trHeight w:val="458"/>
          <w:jc w:val="center"/>
        </w:trPr>
        <w:tc>
          <w:tcPr>
            <w:tcW w:w="0" w:type="auto"/>
            <w:tcBorders>
              <w:top w:val="nil"/>
              <w:left w:val="nil"/>
              <w:bottom w:val="nil"/>
              <w:right w:val="nil"/>
            </w:tcBorders>
            <w:tcMar>
              <w:top w:w="-1" w:type="dxa"/>
              <w:left w:w="-1" w:type="dxa"/>
              <w:bottom w:w="-1" w:type="dxa"/>
              <w:right w:w="-1" w:type="dxa"/>
            </w:tcMar>
            <w:vAlign w:val="center"/>
          </w:tcPr>
          <w:p w14:paraId="23AD65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4E1F11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18E84A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28CAC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0.657</w:t>
            </w:r>
          </w:p>
        </w:tc>
      </w:tr>
      <w:tr w:rsidR="000B1CCE" w14:paraId="1BAC567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73772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6CAE21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6F50B6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66CE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0.741</w:t>
            </w:r>
          </w:p>
        </w:tc>
      </w:tr>
      <w:tr w:rsidR="000B1CCE" w14:paraId="16B534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7E7D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388E84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4E8891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6854C2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0.638</w:t>
            </w:r>
          </w:p>
        </w:tc>
      </w:tr>
      <w:tr w:rsidR="000B1CCE" w14:paraId="0CFD23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A1B5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16CDB7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6D0DC7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49E6E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0.647</w:t>
            </w:r>
          </w:p>
        </w:tc>
      </w:tr>
      <w:tr w:rsidR="000B1CCE" w14:paraId="348007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650820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3998BF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33F488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72A15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0.528</w:t>
            </w:r>
          </w:p>
        </w:tc>
      </w:tr>
      <w:tr w:rsidR="000B1CCE" w14:paraId="552B43A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9E8D3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Q29</w:t>
            </w:r>
          </w:p>
        </w:tc>
        <w:tc>
          <w:tcPr>
            <w:tcW w:w="0" w:type="auto"/>
            <w:tcBorders>
              <w:top w:val="nil"/>
              <w:left w:val="nil"/>
              <w:bottom w:val="nil"/>
              <w:right w:val="nil"/>
            </w:tcBorders>
            <w:tcMar>
              <w:top w:w="-1" w:type="dxa"/>
              <w:left w:w="-1" w:type="dxa"/>
              <w:bottom w:w="-1" w:type="dxa"/>
              <w:right w:w="-1" w:type="dxa"/>
            </w:tcMar>
            <w:vAlign w:val="center"/>
          </w:tcPr>
          <w:p w14:paraId="139CB6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7E1D89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E4200F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0.744</w:t>
            </w:r>
          </w:p>
        </w:tc>
      </w:tr>
      <w:tr w:rsidR="000B1CCE" w14:paraId="22B7C5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7CFC5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78D2B3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62D1F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C0CD0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r w:rsidR="000B1CCE" w14:paraId="1BCB0C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1148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55111F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0D01A2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2CE9F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0.488</w:t>
            </w:r>
          </w:p>
        </w:tc>
      </w:tr>
      <w:tr w:rsidR="000B1CCE" w14:paraId="131E35EE" w14:textId="77777777">
        <w:trPr>
          <w:jc w:val="center"/>
        </w:trPr>
        <w:tc>
          <w:tcPr>
            <w:tcW w:w="1147" w:type="dxa"/>
            <w:tcBorders>
              <w:top w:val="nil"/>
              <w:left w:val="nil"/>
              <w:bottom w:val="single" w:sz="12" w:space="0" w:color="000000"/>
              <w:right w:val="nil"/>
            </w:tcBorders>
            <w:tcMar>
              <w:top w:w="-1" w:type="dxa"/>
              <w:left w:w="-1" w:type="dxa"/>
              <w:bottom w:w="-1" w:type="dxa"/>
              <w:right w:w="-1" w:type="dxa"/>
            </w:tcMar>
            <w:vAlign w:val="center"/>
          </w:tcPr>
          <w:p w14:paraId="579F30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Q32</w:t>
            </w:r>
          </w:p>
        </w:tc>
        <w:tc>
          <w:tcPr>
            <w:tcW w:w="3646" w:type="dxa"/>
            <w:tcBorders>
              <w:top w:val="nil"/>
              <w:left w:val="nil"/>
              <w:bottom w:val="single" w:sz="12" w:space="0" w:color="000000"/>
              <w:right w:val="nil"/>
            </w:tcBorders>
            <w:tcMar>
              <w:top w:w="-1" w:type="dxa"/>
              <w:left w:w="-1" w:type="dxa"/>
              <w:bottom w:w="-1" w:type="dxa"/>
              <w:right w:w="-1" w:type="dxa"/>
            </w:tcMar>
            <w:vAlign w:val="center"/>
          </w:tcPr>
          <w:p w14:paraId="11149F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不确定问题持续探索</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5F24B0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1D95B3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bl>
    <w:p w14:paraId="0907A92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认知策略题项的主要载荷为</w:t>
      </w:r>
      <w:r>
        <w:rPr>
          <w:rFonts w:ascii="Times New Roman" w:eastAsia="宋体" w:hAnsi="Times New Roman" w:cs="Times New Roman"/>
          <w:kern w:val="0"/>
          <w:sz w:val="24"/>
        </w:rPr>
        <w:t>0.488—0.700</w:t>
      </w:r>
      <w:r>
        <w:rPr>
          <w:rFonts w:ascii="Times New Roman" w:eastAsia="宋体" w:hAnsi="Times New Roman" w:cs="Times New Roman"/>
          <w:kern w:val="0"/>
          <w:sz w:val="24"/>
        </w:rPr>
        <w:t>，包含分析、评价、创造的全部</w:t>
      </w:r>
      <w:r>
        <w:rPr>
          <w:rFonts w:ascii="Times New Roman" w:eastAsia="宋体" w:hAnsi="Times New Roman" w:cs="Times New Roman"/>
          <w:kern w:val="0"/>
          <w:sz w:val="24"/>
        </w:rPr>
        <w:t>12</w:t>
      </w:r>
      <w:r>
        <w:rPr>
          <w:rFonts w:ascii="Times New Roman" w:eastAsia="宋体" w:hAnsi="Times New Roman" w:cs="Times New Roman"/>
          <w:kern w:val="0"/>
          <w:sz w:val="24"/>
        </w:rPr>
        <w:t>题，并纳入坚持、反思、原因探究及观点整合等内容。三个高阶思维理论维度在该方案中未分别形成独立成分，而主要集中于共同的认知内容集合。</w:t>
      </w:r>
    </w:p>
    <w:p w14:paraId="05F01D4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社会合作题项的主要载荷为</w:t>
      </w:r>
      <w:r>
        <w:rPr>
          <w:rFonts w:ascii="Times New Roman" w:eastAsia="宋体" w:hAnsi="Times New Roman" w:cs="Times New Roman"/>
          <w:kern w:val="0"/>
          <w:sz w:val="24"/>
        </w:rPr>
        <w:t>0.509—0.783</w:t>
      </w:r>
      <w:r>
        <w:rPr>
          <w:rFonts w:ascii="Times New Roman" w:eastAsia="宋体" w:hAnsi="Times New Roman" w:cs="Times New Roman"/>
          <w:kern w:val="0"/>
          <w:sz w:val="24"/>
        </w:rPr>
        <w:t>，包含合作共情五题，并纳入小组责任、任务完成、目标明确、异议交流和不同想法接纳等内容。情绪调节题项的</w:t>
      </w:r>
      <w:r>
        <w:rPr>
          <w:rFonts w:ascii="Times New Roman" w:eastAsia="宋体" w:hAnsi="Times New Roman" w:cs="Times New Roman"/>
          <w:kern w:val="0"/>
          <w:sz w:val="24"/>
        </w:rPr>
        <w:lastRenderedPageBreak/>
        <w:t>主要载荷为</w:t>
      </w:r>
      <w:r>
        <w:rPr>
          <w:rFonts w:ascii="Times New Roman" w:eastAsia="宋体" w:hAnsi="Times New Roman" w:cs="Times New Roman"/>
          <w:kern w:val="0"/>
          <w:sz w:val="24"/>
        </w:rPr>
        <w:t>0.513—0.604</w:t>
      </w:r>
      <w:r>
        <w:rPr>
          <w:rFonts w:ascii="Times New Roman" w:eastAsia="宋体" w:hAnsi="Times New Roman" w:cs="Times New Roman"/>
          <w:kern w:val="0"/>
          <w:sz w:val="24"/>
        </w:rPr>
        <w:t>，既包含挑战、紧张与失误情境中的调整，也包含尝试陌生方法及持续探索。两个内容集合均跨越原定社会情感维度，尚未形成与四个理论维度逐一对应的结构。</w:t>
      </w:r>
    </w:p>
    <w:p w14:paraId="679FC87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三个成分的相关系数为</w:t>
      </w:r>
      <w:r>
        <w:rPr>
          <w:rFonts w:ascii="Times New Roman" w:eastAsia="宋体" w:hAnsi="Times New Roman" w:cs="Times New Roman"/>
          <w:kern w:val="0"/>
          <w:sz w:val="24"/>
        </w:rPr>
        <w:t>0.48—0.55</w:t>
      </w:r>
      <w:r>
        <w:rPr>
          <w:rFonts w:ascii="Times New Roman" w:eastAsia="宋体" w:hAnsi="Times New Roman" w:cs="Times New Roman"/>
          <w:kern w:val="0"/>
          <w:sz w:val="24"/>
        </w:rPr>
        <w:t>，表明认知、合作与调节内容彼此相关。部分题项仍有交叉载荷，目标明确、任务反思及新方法尝试等题项的归属不够鲜明。仅凭主要载荷高于</w:t>
      </w:r>
      <w:r>
        <w:rPr>
          <w:rFonts w:ascii="Times New Roman" w:eastAsia="宋体" w:hAnsi="Times New Roman" w:cs="Times New Roman"/>
          <w:kern w:val="0"/>
          <w:sz w:val="24"/>
        </w:rPr>
        <w:t>0.40</w:t>
      </w:r>
      <w:r>
        <w:rPr>
          <w:rFonts w:ascii="Times New Roman" w:eastAsia="宋体" w:hAnsi="Times New Roman" w:cs="Times New Roman"/>
          <w:kern w:val="0"/>
          <w:sz w:val="24"/>
        </w:rPr>
        <w:t>，尚不能判断各成分已充分区分。</w:t>
      </w:r>
    </w:p>
    <w:p w14:paraId="77D971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本课题仍按七个理论维度组织测评内容。因素探索尚未充分支持七个独立因素，七维结果用于描述学生自评，并结合其在学习任务中的表现确定后续培育重点。</w:t>
      </w:r>
    </w:p>
    <w:p w14:paraId="6BF20AD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3F95E48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为考察学生问卷题项在各内容组内的一致程度，研究计算</w:t>
      </w:r>
      <w:r>
        <w:rPr>
          <w:rFonts w:ascii="Times New Roman" w:eastAsia="宋体" w:hAnsi="Times New Roman" w:cs="Times New Roman"/>
          <w:kern w:val="0"/>
          <w:sz w:val="24"/>
        </w:rPr>
        <w:t>Cronbach α</w:t>
      </w:r>
      <w:r>
        <w:rPr>
          <w:rFonts w:ascii="Times New Roman" w:eastAsia="宋体" w:hAnsi="Times New Roman" w:cs="Times New Roman"/>
          <w:kern w:val="0"/>
          <w:sz w:val="24"/>
        </w:rPr>
        <w:t>系数。问卷星报告按六组题项内容进行统计，检验结果见表</w:t>
      </w:r>
      <w:r>
        <w:rPr>
          <w:rFonts w:ascii="Times New Roman" w:eastAsia="宋体" w:hAnsi="Times New Roman" w:cs="Times New Roman"/>
          <w:kern w:val="0"/>
          <w:sz w:val="24"/>
        </w:rPr>
        <w:t>3-4</w:t>
      </w:r>
      <w:r>
        <w:rPr>
          <w:rFonts w:ascii="Times New Roman" w:eastAsia="宋体" w:hAnsi="Times New Roman" w:cs="Times New Roman"/>
          <w:kern w:val="0"/>
          <w:sz w:val="24"/>
        </w:rPr>
        <w:t>。</w:t>
      </w:r>
    </w:p>
    <w:p w14:paraId="746D82A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3-4  </w:t>
      </w:r>
      <w:r>
        <w:rPr>
          <w:rFonts w:ascii="Times New Roman" w:eastAsia="黑体" w:hAnsi="Times New Roman" w:cs="Times New Roman"/>
          <w:kern w:val="0"/>
        </w:rPr>
        <w:t>学生高阶能力问卷内部一致性信度检验结果（</w:t>
      </w:r>
      <w:r>
        <w:rPr>
          <w:rFonts w:ascii="Times New Roman" w:eastAsia="黑体" w:hAnsi="Times New Roman" w:cs="Times New Roman"/>
          <w:kern w:val="0"/>
        </w:rPr>
        <w:t>N</w:t>
      </w:r>
      <w:r>
        <w:rPr>
          <w:rFonts w:ascii="Times New Roman" w:eastAsia="黑体" w:hAnsi="Times New Roman" w:cs="Times New Roman"/>
          <w:kern w:val="0"/>
        </w:rPr>
        <w:t>＝</w:t>
      </w:r>
      <w:r>
        <w:rPr>
          <w:rFonts w:ascii="Times New Roman" w:eastAsia="黑体" w:hAnsi="Times New Roman" w:cs="Times New Roman"/>
          <w:kern w:val="0"/>
        </w:rPr>
        <w:t>1346</w:t>
      </w:r>
      <w:r>
        <w:rPr>
          <w:rFonts w:ascii="Times New Roman" w:eastAsia="黑体" w:hAnsi="Times New Roman" w:cs="Times New Roman"/>
          <w:kern w:val="0"/>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342"/>
        <w:gridCol w:w="1764"/>
        <w:gridCol w:w="2413"/>
      </w:tblGrid>
      <w:tr w:rsidR="000B1CCE" w14:paraId="5D6FAE6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8396E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测评内容组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E4D07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题项数</w:t>
            </w:r>
          </w:p>
        </w:tc>
        <w:tc>
          <w:tcPr>
            <w:tcW w:w="24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3738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Cronbachα</w:t>
            </w:r>
          </w:p>
        </w:tc>
      </w:tr>
      <w:tr w:rsidR="000B1CCE" w14:paraId="283BE3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81D2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0" w:type="auto"/>
            <w:tcBorders>
              <w:top w:val="nil"/>
              <w:left w:val="nil"/>
              <w:bottom w:val="nil"/>
              <w:right w:val="nil"/>
            </w:tcBorders>
            <w:tcMar>
              <w:top w:w="-1" w:type="dxa"/>
              <w:left w:w="-1" w:type="dxa"/>
              <w:bottom w:w="-1" w:type="dxa"/>
              <w:right w:w="-1" w:type="dxa"/>
            </w:tcMar>
            <w:vAlign w:val="center"/>
          </w:tcPr>
          <w:p w14:paraId="2F6BA3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w:t>
            </w:r>
          </w:p>
        </w:tc>
        <w:tc>
          <w:tcPr>
            <w:tcW w:w="2413" w:type="dxa"/>
            <w:tcBorders>
              <w:top w:val="nil"/>
              <w:left w:val="nil"/>
              <w:bottom w:val="nil"/>
              <w:right w:val="nil"/>
            </w:tcBorders>
            <w:tcMar>
              <w:top w:w="-1" w:type="dxa"/>
              <w:left w:w="-1" w:type="dxa"/>
              <w:bottom w:w="-1" w:type="dxa"/>
              <w:right w:w="-1" w:type="dxa"/>
            </w:tcMar>
            <w:vAlign w:val="center"/>
          </w:tcPr>
          <w:p w14:paraId="4F631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0.9349</w:t>
            </w:r>
          </w:p>
        </w:tc>
      </w:tr>
      <w:tr w:rsidR="000B1CCE" w14:paraId="78874C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9B3A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知识迁移与创新应用</w:t>
            </w:r>
          </w:p>
        </w:tc>
        <w:tc>
          <w:tcPr>
            <w:tcW w:w="0" w:type="auto"/>
            <w:tcBorders>
              <w:top w:val="nil"/>
              <w:left w:val="nil"/>
              <w:bottom w:val="nil"/>
              <w:right w:val="nil"/>
            </w:tcBorders>
            <w:tcMar>
              <w:top w:w="-1" w:type="dxa"/>
              <w:left w:w="-1" w:type="dxa"/>
              <w:bottom w:w="-1" w:type="dxa"/>
              <w:right w:w="-1" w:type="dxa"/>
            </w:tcMar>
            <w:vAlign w:val="center"/>
          </w:tcPr>
          <w:p w14:paraId="0A22C6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7317F1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0.9045</w:t>
            </w:r>
          </w:p>
        </w:tc>
      </w:tr>
      <w:tr w:rsidR="000B1CCE" w14:paraId="58DEE64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89D1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元认知与自我管理</w:t>
            </w:r>
          </w:p>
        </w:tc>
        <w:tc>
          <w:tcPr>
            <w:tcW w:w="0" w:type="auto"/>
            <w:tcBorders>
              <w:top w:val="nil"/>
              <w:left w:val="nil"/>
              <w:bottom w:val="nil"/>
              <w:right w:val="nil"/>
            </w:tcBorders>
            <w:tcMar>
              <w:top w:w="-1" w:type="dxa"/>
              <w:left w:w="-1" w:type="dxa"/>
              <w:bottom w:w="-1" w:type="dxa"/>
              <w:right w:w="-1" w:type="dxa"/>
            </w:tcMar>
            <w:vAlign w:val="center"/>
          </w:tcPr>
          <w:p w14:paraId="3743422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2A4CA1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0.9146</w:t>
            </w:r>
          </w:p>
        </w:tc>
      </w:tr>
      <w:tr w:rsidR="000B1CCE" w14:paraId="50784B8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35313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情绪调节与心理韧性</w:t>
            </w:r>
          </w:p>
        </w:tc>
        <w:tc>
          <w:tcPr>
            <w:tcW w:w="0" w:type="auto"/>
            <w:tcBorders>
              <w:top w:val="nil"/>
              <w:left w:val="nil"/>
              <w:bottom w:val="nil"/>
              <w:right w:val="nil"/>
            </w:tcBorders>
            <w:tcMar>
              <w:top w:w="-1" w:type="dxa"/>
              <w:left w:w="-1" w:type="dxa"/>
              <w:bottom w:w="-1" w:type="dxa"/>
              <w:right w:w="-1" w:type="dxa"/>
            </w:tcMar>
            <w:vAlign w:val="center"/>
          </w:tcPr>
          <w:p w14:paraId="65AF16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0902EE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0.9040</w:t>
            </w:r>
          </w:p>
        </w:tc>
      </w:tr>
      <w:tr w:rsidR="000B1CCE" w14:paraId="329E372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F74F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社会交往与合作</w:t>
            </w:r>
          </w:p>
        </w:tc>
        <w:tc>
          <w:tcPr>
            <w:tcW w:w="0" w:type="auto"/>
            <w:tcBorders>
              <w:top w:val="nil"/>
              <w:left w:val="nil"/>
              <w:bottom w:val="nil"/>
              <w:right w:val="nil"/>
            </w:tcBorders>
            <w:tcMar>
              <w:top w:w="-1" w:type="dxa"/>
              <w:left w:w="-1" w:type="dxa"/>
              <w:bottom w:w="-1" w:type="dxa"/>
              <w:right w:w="-1" w:type="dxa"/>
            </w:tcMar>
            <w:vAlign w:val="center"/>
          </w:tcPr>
          <w:p w14:paraId="77A5E5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324F9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0.9280</w:t>
            </w:r>
          </w:p>
        </w:tc>
      </w:tr>
      <w:tr w:rsidR="000B1CCE" w14:paraId="0C0B1447"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学习倾向与探究精神</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0.9266</w:t>
            </w:r>
          </w:p>
        </w:tc>
      </w:tr>
    </w:tbl>
    <w:p w14:paraId="20159846"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六组题项的</w:t>
      </w:r>
      <w:r>
        <w:rPr>
          <w:rFonts w:ascii="Times New Roman" w:eastAsia="宋体" w:hAnsi="Times New Roman" w:cs="Times New Roman"/>
          <w:kern w:val="0"/>
          <w:sz w:val="24"/>
        </w:rPr>
        <w:t>Cronbach α</w:t>
      </w:r>
      <w:r>
        <w:rPr>
          <w:rFonts w:ascii="Times New Roman" w:eastAsia="宋体" w:hAnsi="Times New Roman" w:cs="Times New Roman"/>
          <w:kern w:val="0"/>
          <w:sz w:val="24"/>
        </w:rPr>
        <w:t>介于</w:t>
      </w:r>
      <w:r>
        <w:rPr>
          <w:rFonts w:ascii="Times New Roman" w:eastAsia="宋体" w:hAnsi="Times New Roman" w:cs="Times New Roman"/>
          <w:kern w:val="0"/>
          <w:sz w:val="24"/>
        </w:rPr>
        <w:t>0.9045—0.9349</w:t>
      </w:r>
      <w:r>
        <w:rPr>
          <w:rFonts w:ascii="Times New Roman" w:eastAsia="宋体" w:hAnsi="Times New Roman" w:cs="Times New Roman"/>
          <w:kern w:val="0"/>
          <w:sz w:val="24"/>
        </w:rPr>
        <w:t>之间，表明各组题项具有较好的内部一致性，可支持按相应内容组进行综合描述。该信度结果对应上述六组题项划分；</w:t>
      </w:r>
    </w:p>
    <w:p w14:paraId="777F7CE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学生高阶能力基础的前测结果</w:t>
      </w:r>
    </w:p>
    <w:p w14:paraId="70E7DB6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）样本的年级与性别构成</w:t>
      </w:r>
    </w:p>
    <w:p w14:paraId="09D9A3E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3-5  </w:t>
      </w:r>
      <w:r>
        <w:rPr>
          <w:rFonts w:ascii="Times New Roman" w:eastAsia="黑体" w:hAnsi="Times New Roman" w:cs="Times New Roman"/>
          <w:kern w:val="0"/>
        </w:rPr>
        <w:t>学生前测样本的年级与性别构成</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068"/>
        <w:gridCol w:w="1817"/>
        <w:gridCol w:w="1817"/>
        <w:gridCol w:w="1817"/>
      </w:tblGrid>
      <w:tr w:rsidR="000B1CCE" w14:paraId="2D23D52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720E3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B98356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男生</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44F5E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女生</w:t>
            </w:r>
          </w:p>
        </w:tc>
        <w:tc>
          <w:tcPr>
            <w:tcW w:w="18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A57B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r>
      <w:tr w:rsidR="000B1CCE" w14:paraId="28116F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B62D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31F8FD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112</w:t>
            </w:r>
          </w:p>
        </w:tc>
        <w:tc>
          <w:tcPr>
            <w:tcW w:w="0" w:type="auto"/>
            <w:tcBorders>
              <w:top w:val="nil"/>
              <w:left w:val="nil"/>
              <w:bottom w:val="nil"/>
              <w:right w:val="nil"/>
            </w:tcBorders>
            <w:tcMar>
              <w:top w:w="-1" w:type="dxa"/>
              <w:left w:w="-1" w:type="dxa"/>
              <w:bottom w:w="-1" w:type="dxa"/>
              <w:right w:w="-1" w:type="dxa"/>
            </w:tcMar>
            <w:vAlign w:val="center"/>
          </w:tcPr>
          <w:p w14:paraId="3833F1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118</w:t>
            </w:r>
          </w:p>
        </w:tc>
        <w:tc>
          <w:tcPr>
            <w:tcW w:w="1817" w:type="dxa"/>
            <w:tcBorders>
              <w:top w:val="nil"/>
              <w:left w:val="nil"/>
              <w:bottom w:val="nil"/>
              <w:right w:val="nil"/>
            </w:tcBorders>
            <w:tcMar>
              <w:top w:w="-1" w:type="dxa"/>
              <w:left w:w="-1" w:type="dxa"/>
              <w:bottom w:w="-1" w:type="dxa"/>
              <w:right w:w="-1" w:type="dxa"/>
            </w:tcMar>
            <w:vAlign w:val="center"/>
          </w:tcPr>
          <w:p w14:paraId="3BBEF6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0770186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DF10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6B7E89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70713DB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435AA4C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229</w:t>
            </w:r>
          </w:p>
        </w:tc>
      </w:tr>
      <w:tr w:rsidR="000B1CCE" w14:paraId="730C31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65AE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41E6C7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4D8100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690B56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7B7F467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E569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3D1CC4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13A44B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20FF41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224</w:t>
            </w:r>
          </w:p>
        </w:tc>
      </w:tr>
      <w:tr w:rsidR="000B1CCE" w14:paraId="41A54F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E89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14BD8B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469528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6343F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145</w:t>
            </w:r>
          </w:p>
        </w:tc>
      </w:tr>
      <w:tr w:rsidR="000B1CCE" w14:paraId="7E1346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F6A1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79A992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796839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2E61EE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410253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848B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十二年级</w:t>
            </w:r>
          </w:p>
        </w:tc>
        <w:tc>
          <w:tcPr>
            <w:tcW w:w="0" w:type="auto"/>
            <w:tcBorders>
              <w:top w:val="nil"/>
              <w:left w:val="nil"/>
              <w:bottom w:val="nil"/>
              <w:right w:val="nil"/>
            </w:tcBorders>
            <w:tcMar>
              <w:top w:w="-1" w:type="dxa"/>
              <w:left w:w="-1" w:type="dxa"/>
              <w:bottom w:w="-1" w:type="dxa"/>
              <w:right w:w="-1" w:type="dxa"/>
            </w:tcMar>
            <w:vAlign w:val="center"/>
          </w:tcPr>
          <w:p w14:paraId="2BE474F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7666ED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65B08C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23B679A8" w14:textId="77777777">
        <w:trPr>
          <w:jc w:val="center"/>
        </w:trPr>
        <w:tc>
          <w:tcPr>
            <w:tcW w:w="3068" w:type="dxa"/>
            <w:tcBorders>
              <w:top w:val="nil"/>
              <w:left w:val="nil"/>
              <w:bottom w:val="single" w:sz="12" w:space="0" w:color="000000"/>
              <w:right w:val="nil"/>
            </w:tcBorders>
            <w:tcMar>
              <w:top w:w="-1" w:type="dxa"/>
              <w:left w:w="-1" w:type="dxa"/>
              <w:bottom w:w="-1" w:type="dxa"/>
              <w:right w:w="-1" w:type="dxa"/>
            </w:tcMar>
            <w:vAlign w:val="center"/>
          </w:tcPr>
          <w:p w14:paraId="1149B82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4299C0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671</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B53DB2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675</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3B0AADB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1346</w:t>
            </w:r>
          </w:p>
        </w:tc>
      </w:tr>
    </w:tbl>
    <w:p w14:paraId="2A65DC6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20C5220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）高阶能力自评的总体分布</w:t>
      </w:r>
    </w:p>
    <w:p w14:paraId="45B637E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3-6  </w:t>
      </w:r>
      <w:r>
        <w:rPr>
          <w:rFonts w:ascii="Times New Roman" w:eastAsia="黑体" w:hAnsi="Times New Roman" w:cs="Times New Roman"/>
          <w:kern w:val="0"/>
        </w:rPr>
        <w:t>学生高阶能力整体及两类能力的前测描述统计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09"/>
        <w:gridCol w:w="1187"/>
        <w:gridCol w:w="1187"/>
        <w:gridCol w:w="1187"/>
        <w:gridCol w:w="1362"/>
        <w:gridCol w:w="1187"/>
      </w:tblGrid>
      <w:tr w:rsidR="000B1CCE" w14:paraId="0251184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8AC9C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6C51C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8A21D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D40700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P25</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165DE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中位数</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1CA0C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P75</w:t>
            </w:r>
          </w:p>
        </w:tc>
      </w:tr>
      <w:tr w:rsidR="000B1CCE" w14:paraId="473AB47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1C82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6CCC2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0" w:type="auto"/>
            <w:tcBorders>
              <w:top w:val="nil"/>
              <w:left w:val="nil"/>
              <w:bottom w:val="nil"/>
              <w:right w:val="nil"/>
            </w:tcBorders>
            <w:tcMar>
              <w:top w:w="-1" w:type="dxa"/>
              <w:left w:w="-1" w:type="dxa"/>
              <w:bottom w:w="-1" w:type="dxa"/>
              <w:right w:w="-1" w:type="dxa"/>
            </w:tcMar>
            <w:vAlign w:val="center"/>
          </w:tcPr>
          <w:p w14:paraId="70202D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0.752</w:t>
            </w:r>
          </w:p>
        </w:tc>
        <w:tc>
          <w:tcPr>
            <w:tcW w:w="0" w:type="auto"/>
            <w:tcBorders>
              <w:top w:val="nil"/>
              <w:left w:val="nil"/>
              <w:bottom w:val="nil"/>
              <w:right w:val="nil"/>
            </w:tcBorders>
            <w:tcMar>
              <w:top w:w="-1" w:type="dxa"/>
              <w:left w:w="-1" w:type="dxa"/>
              <w:bottom w:w="-1" w:type="dxa"/>
              <w:right w:w="-1" w:type="dxa"/>
            </w:tcMar>
            <w:vAlign w:val="center"/>
          </w:tcPr>
          <w:p w14:paraId="1D75DB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3.469</w:t>
            </w:r>
          </w:p>
        </w:tc>
        <w:tc>
          <w:tcPr>
            <w:tcW w:w="0" w:type="auto"/>
            <w:tcBorders>
              <w:top w:val="nil"/>
              <w:left w:val="nil"/>
              <w:bottom w:val="nil"/>
              <w:right w:val="nil"/>
            </w:tcBorders>
            <w:tcMar>
              <w:top w:w="-1" w:type="dxa"/>
              <w:left w:w="-1" w:type="dxa"/>
              <w:bottom w:w="-1" w:type="dxa"/>
              <w:right w:w="-1" w:type="dxa"/>
            </w:tcMar>
            <w:vAlign w:val="center"/>
          </w:tcPr>
          <w:p w14:paraId="4D7B4D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0E64AC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4.648</w:t>
            </w:r>
          </w:p>
        </w:tc>
      </w:tr>
      <w:tr w:rsidR="000B1CCE" w14:paraId="18638A2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293C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72F93DF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5ECBEB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501575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624E27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6B4D87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4.583</w:t>
            </w:r>
          </w:p>
        </w:tc>
      </w:tr>
      <w:tr w:rsidR="000B1CCE" w14:paraId="0CCFF4EA" w14:textId="77777777">
        <w:trPr>
          <w:jc w:val="center"/>
        </w:trPr>
        <w:tc>
          <w:tcPr>
            <w:tcW w:w="2409" w:type="dxa"/>
            <w:tcBorders>
              <w:top w:val="nil"/>
              <w:left w:val="nil"/>
              <w:bottom w:val="single" w:sz="12" w:space="0" w:color="000000"/>
              <w:right w:val="nil"/>
            </w:tcBorders>
            <w:tcMar>
              <w:top w:w="-1" w:type="dxa"/>
              <w:left w:w="-1" w:type="dxa"/>
              <w:bottom w:w="-1" w:type="dxa"/>
              <w:right w:w="-1" w:type="dxa"/>
            </w:tcMar>
            <w:vAlign w:val="center"/>
          </w:tcPr>
          <w:p w14:paraId="3DB8B1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17864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2AF5D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0.761</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0CA166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3.500</w:t>
            </w:r>
          </w:p>
        </w:tc>
        <w:tc>
          <w:tcPr>
            <w:tcW w:w="1362" w:type="dxa"/>
            <w:tcBorders>
              <w:top w:val="nil"/>
              <w:left w:val="nil"/>
              <w:bottom w:val="single" w:sz="12" w:space="0" w:color="000000"/>
              <w:right w:val="nil"/>
            </w:tcBorders>
            <w:tcMar>
              <w:top w:w="-1" w:type="dxa"/>
              <w:left w:w="-1" w:type="dxa"/>
              <w:bottom w:w="-1" w:type="dxa"/>
              <w:right w:w="-1" w:type="dxa"/>
            </w:tcMar>
            <w:vAlign w:val="center"/>
          </w:tcPr>
          <w:p w14:paraId="26ED3A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5DF26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4.700</w:t>
            </w:r>
          </w:p>
        </w:tc>
      </w:tr>
    </w:tbl>
    <w:p w14:paraId="20F365CA"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从整体看，学生对自身学习表现的评价较为积极，高阶社会情感的均值略高于高阶思维。</w:t>
      </w:r>
      <w:r>
        <w:rPr>
          <w:rFonts w:ascii="Times New Roman" w:eastAsia="宋体" w:hAnsi="Times New Roman" w:cs="Times New Roman"/>
          <w:kern w:val="0"/>
          <w:sz w:val="24"/>
        </w:rPr>
        <w:t>两类能力的中位数均为</w:t>
      </w:r>
      <w:r>
        <w:rPr>
          <w:rFonts w:ascii="Times New Roman" w:eastAsia="宋体" w:hAnsi="Times New Roman" w:cs="Times New Roman"/>
          <w:kern w:val="0"/>
          <w:sz w:val="24"/>
        </w:rPr>
        <w:t>4.000</w:t>
      </w:r>
      <w:r>
        <w:rPr>
          <w:rFonts w:ascii="Times New Roman" w:eastAsia="宋体" w:hAnsi="Times New Roman" w:cs="Times New Roman"/>
          <w:kern w:val="0"/>
          <w:sz w:val="24"/>
        </w:rPr>
        <w:t>，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3494B360"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63110" cy="2904490"/>
                    </a:xfrm>
                    <a:prstGeom prst="rect">
                      <a:avLst/>
                    </a:prstGeom>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学生高阶能力问卷各题项的五级选项作答比例</w:t>
      </w:r>
    </w:p>
    <w:p w14:paraId="1C07DEBA"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3-1</w:t>
      </w:r>
      <w:r>
        <w:rPr>
          <w:rFonts w:ascii="Times New Roman" w:eastAsia="黑体" w:hAnsi="Times New Roman" w:cs="Times New Roman"/>
          <w:kern w:val="0"/>
        </w:rPr>
        <w:t>呈现各题五级选项的分布，与表</w:t>
      </w:r>
      <w:r>
        <w:rPr>
          <w:rFonts w:ascii="Times New Roman" w:eastAsia="黑体" w:hAnsi="Times New Roman" w:cs="Times New Roman"/>
          <w:kern w:val="0"/>
        </w:rPr>
        <w:t>3-8</w:t>
      </w:r>
      <w:r>
        <w:rPr>
          <w:rFonts w:ascii="Times New Roman" w:eastAsia="黑体" w:hAnsi="Times New Roman" w:cs="Times New Roman"/>
          <w:kern w:val="0"/>
        </w:rPr>
        <w:t>的具体题项相对应。多数题项的积极自评占比较高，而复杂问题拆解、多方案生成和任务后反思等内容仍有较多学生选择一般符合及较低选项。整体画像由此提示，学校应进一步考察学生从愿意参与到独立思考、从完成任务</w:t>
      </w:r>
      <w:r>
        <w:rPr>
          <w:rFonts w:ascii="Times New Roman" w:eastAsia="黑体" w:hAnsi="Times New Roman" w:cs="Times New Roman"/>
          <w:kern w:val="0"/>
        </w:rPr>
        <w:lastRenderedPageBreak/>
        <w:t>到主动改进的学习过程。图中积极选项比例用于描述作答分布。</w:t>
      </w:r>
    </w:p>
    <w:p w14:paraId="74F836A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）七个维度的自评特征</w:t>
      </w:r>
    </w:p>
    <w:p w14:paraId="7155572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3-7  </w:t>
      </w:r>
      <w:r>
        <w:rPr>
          <w:rFonts w:ascii="Times New Roman" w:eastAsia="黑体" w:hAnsi="Times New Roman" w:cs="Times New Roman"/>
          <w:kern w:val="0"/>
        </w:rPr>
        <w:t>学生高阶能力七个理论维度的前测描述统计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69"/>
        <w:gridCol w:w="2474"/>
        <w:gridCol w:w="2476"/>
      </w:tblGrid>
      <w:tr w:rsidR="000B1CCE" w14:paraId="24B681D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1FDF6C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F1B26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24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56A9A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r>
      <w:tr w:rsidR="000B1CCE" w14:paraId="5DB6C3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A10F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5DF19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476" w:type="dxa"/>
            <w:tcBorders>
              <w:top w:val="nil"/>
              <w:left w:val="nil"/>
              <w:bottom w:val="nil"/>
              <w:right w:val="nil"/>
            </w:tcBorders>
            <w:tcMar>
              <w:top w:w="-1" w:type="dxa"/>
              <w:left w:w="-1" w:type="dxa"/>
              <w:bottom w:w="-1" w:type="dxa"/>
              <w:right w:w="-1" w:type="dxa"/>
            </w:tcMar>
            <w:vAlign w:val="center"/>
          </w:tcPr>
          <w:p w14:paraId="7ADF25B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0.815</w:t>
            </w:r>
          </w:p>
        </w:tc>
      </w:tr>
      <w:tr w:rsidR="000B1CCE" w14:paraId="14A9690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7261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0A189E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6D8B50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0.800</w:t>
            </w:r>
          </w:p>
        </w:tc>
      </w:tr>
      <w:tr w:rsidR="000B1CCE" w14:paraId="048FC4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2FF7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4468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6C5B45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0.865</w:t>
            </w:r>
          </w:p>
        </w:tc>
      </w:tr>
      <w:tr w:rsidR="000B1CCE" w14:paraId="0C8F2BC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A7020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A924B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3965AC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0.797</w:t>
            </w:r>
          </w:p>
        </w:tc>
      </w:tr>
      <w:tr w:rsidR="000B1CCE" w14:paraId="6F111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8E97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843DF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3EF243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0.845</w:t>
            </w:r>
          </w:p>
        </w:tc>
      </w:tr>
      <w:tr w:rsidR="000B1CCE" w14:paraId="76F64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64E0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F0130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6BAD6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0.785</w:t>
            </w:r>
          </w:p>
        </w:tc>
      </w:tr>
      <w:tr w:rsidR="000B1CCE" w14:paraId="2DBC0B14" w14:textId="77777777">
        <w:trPr>
          <w:jc w:val="center"/>
        </w:trPr>
        <w:tc>
          <w:tcPr>
            <w:tcW w:w="3569" w:type="dxa"/>
            <w:tcBorders>
              <w:top w:val="nil"/>
              <w:left w:val="nil"/>
              <w:bottom w:val="single" w:sz="12" w:space="0" w:color="000000"/>
              <w:right w:val="nil"/>
            </w:tcBorders>
            <w:tcMar>
              <w:top w:w="-1" w:type="dxa"/>
              <w:left w:w="-1" w:type="dxa"/>
              <w:bottom w:w="-1" w:type="dxa"/>
              <w:right w:w="-1" w:type="dxa"/>
            </w:tcMar>
            <w:vAlign w:val="center"/>
          </w:tcPr>
          <w:p w14:paraId="60975C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2474" w:type="dxa"/>
            <w:tcBorders>
              <w:top w:val="nil"/>
              <w:left w:val="nil"/>
              <w:bottom w:val="single" w:sz="12" w:space="0" w:color="000000"/>
              <w:right w:val="nil"/>
            </w:tcBorders>
            <w:tcMar>
              <w:top w:w="-1" w:type="dxa"/>
              <w:left w:w="-1" w:type="dxa"/>
              <w:bottom w:w="-1" w:type="dxa"/>
              <w:right w:w="-1" w:type="dxa"/>
            </w:tcMar>
            <w:vAlign w:val="center"/>
          </w:tcPr>
          <w:p w14:paraId="29D27E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476" w:type="dxa"/>
            <w:tcBorders>
              <w:top w:val="nil"/>
              <w:left w:val="nil"/>
              <w:bottom w:val="single" w:sz="12" w:space="0" w:color="000000"/>
              <w:right w:val="nil"/>
            </w:tcBorders>
            <w:tcMar>
              <w:top w:w="-1" w:type="dxa"/>
              <w:left w:w="-1" w:type="dxa"/>
              <w:bottom w:w="-1" w:type="dxa"/>
              <w:right w:w="-1" w:type="dxa"/>
            </w:tcMar>
            <w:vAlign w:val="center"/>
          </w:tcPr>
          <w:p w14:paraId="0B5743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0.812</w:t>
            </w:r>
          </w:p>
        </w:tc>
      </w:tr>
    </w:tbl>
    <w:p w14:paraId="2201B86A"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4759325" cy="2115185"/>
                    </a:xfrm>
                    <a:prstGeom prst="rect">
                      <a:avLst/>
                    </a:prstGeom>
                  </pic:spPr>
                </pic:pic>
              </a:graphicData>
            </a:graphic>
          </wp:inline>
        </w:drawing>
      </w:r>
    </w:p>
    <w:p w14:paraId="370C6C30"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3-2  </w:t>
      </w:r>
      <w:r>
        <w:rPr>
          <w:rFonts w:ascii="Times New Roman" w:eastAsia="黑体" w:hAnsi="Times New Roman" w:cs="Times New Roman"/>
          <w:kern w:val="0"/>
        </w:rPr>
        <w:t>学生高阶能力七个理论维度的前测题均分</w:t>
      </w:r>
    </w:p>
    <w:p w14:paraId="729F31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七个维度的结果呈现出较清楚的相对特点。合作共情与责任担当自评较高，创造均值相对最低，情绪调节在社会情感四维中相对最低。创造与情绪调节的标准差分别为</w:t>
      </w:r>
      <w:r>
        <w:rPr>
          <w:rFonts w:ascii="Times New Roman" w:eastAsia="宋体" w:hAnsi="Times New Roman" w:cs="Times New Roman"/>
          <w:kern w:val="0"/>
          <w:sz w:val="24"/>
        </w:rPr>
        <w:t>0.865</w:t>
      </w:r>
      <w:r>
        <w:rPr>
          <w:rFonts w:ascii="Times New Roman" w:eastAsia="宋体" w:hAnsi="Times New Roman" w:cs="Times New Roman"/>
          <w:kern w:val="0"/>
          <w:sz w:val="24"/>
        </w:rPr>
        <w:t>和</w:t>
      </w:r>
      <w:r>
        <w:rPr>
          <w:rFonts w:ascii="Times New Roman" w:eastAsia="宋体" w:hAnsi="Times New Roman" w:cs="Times New Roman"/>
          <w:kern w:val="0"/>
          <w:sz w:val="24"/>
        </w:rPr>
        <w:t>0.845</w:t>
      </w:r>
      <w:r>
        <w:rPr>
          <w:rFonts w:ascii="Times New Roman" w:eastAsia="宋体" w:hAnsi="Times New Roman" w:cs="Times New Roman"/>
          <w:kern w:val="0"/>
          <w:sz w:val="24"/>
        </w:rPr>
        <w:t>，学生在这两方面的自评也较为分散。上述排序属于描述性比较，主要用于确定进一步诊断的方向。</w:t>
      </w:r>
    </w:p>
    <w:p w14:paraId="6034065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46E4BCB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）题项层面的自评表现</w:t>
      </w:r>
    </w:p>
    <w:p w14:paraId="50292C7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3-8  </w:t>
      </w:r>
      <w:r>
        <w:rPr>
          <w:rFonts w:ascii="Times New Roman" w:eastAsia="黑体" w:hAnsi="Times New Roman" w:cs="Times New Roman"/>
          <w:kern w:val="0"/>
        </w:rPr>
        <w:t>学生高阶能力问卷各题项的描述统计与积极自评比例</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23"/>
        <w:gridCol w:w="1301"/>
        <w:gridCol w:w="3273"/>
        <w:gridCol w:w="941"/>
        <w:gridCol w:w="941"/>
        <w:gridCol w:w="1243"/>
      </w:tblGrid>
      <w:tr w:rsidR="000B1CCE" w14:paraId="5E5FF2F4" w14:textId="77777777">
        <w:trPr>
          <w:tblHeader/>
          <w:jc w:val="center"/>
        </w:trPr>
        <w:tc>
          <w:tcPr>
            <w:tcW w:w="8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9AFB7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题号</w:t>
            </w:r>
          </w:p>
        </w:tc>
        <w:tc>
          <w:tcPr>
            <w:tcW w:w="13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ACD25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32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B0E984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题项内容</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9F547A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CB3D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12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D01EFF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4—5</w:t>
            </w:r>
            <w:r>
              <w:rPr>
                <w:rFonts w:ascii="Times New Roman" w:eastAsia="宋体" w:hAnsi="Times New Roman" w:cs="Times New Roman"/>
                <w:b/>
                <w:kern w:val="0"/>
                <w:szCs w:val="21"/>
              </w:rPr>
              <w:t>分</w:t>
            </w:r>
            <w:r>
              <w:rPr>
                <w:rFonts w:ascii="Times New Roman" w:eastAsia="宋体" w:hAnsi="Times New Roman" w:cs="Times New Roman"/>
                <w:b/>
                <w:kern w:val="0"/>
                <w:szCs w:val="21"/>
              </w:rPr>
              <w:t>%</w:t>
            </w:r>
          </w:p>
        </w:tc>
      </w:tr>
      <w:tr w:rsidR="000B1CCE" w14:paraId="1287314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F870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w:t>
            </w:r>
          </w:p>
        </w:tc>
        <w:tc>
          <w:tcPr>
            <w:tcW w:w="1301" w:type="dxa"/>
            <w:tcBorders>
              <w:top w:val="nil"/>
              <w:left w:val="nil"/>
              <w:bottom w:val="nil"/>
              <w:right w:val="nil"/>
            </w:tcBorders>
            <w:tcMar>
              <w:top w:w="-1" w:type="dxa"/>
              <w:left w:w="-1" w:type="dxa"/>
              <w:bottom w:w="-1" w:type="dxa"/>
              <w:right w:w="-1" w:type="dxa"/>
            </w:tcMar>
            <w:vAlign w:val="center"/>
          </w:tcPr>
          <w:p w14:paraId="52F274A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A71521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遇到比较复杂的学习问题时，我会把它分成几个小问题来思考</w:t>
            </w:r>
          </w:p>
        </w:tc>
        <w:tc>
          <w:tcPr>
            <w:tcW w:w="941" w:type="dxa"/>
            <w:tcBorders>
              <w:top w:val="nil"/>
              <w:left w:val="nil"/>
              <w:bottom w:val="nil"/>
              <w:right w:val="nil"/>
            </w:tcBorders>
            <w:tcMar>
              <w:top w:w="-1" w:type="dxa"/>
              <w:left w:w="-1" w:type="dxa"/>
              <w:bottom w:w="-1" w:type="dxa"/>
              <w:right w:w="-1" w:type="dxa"/>
            </w:tcMar>
            <w:vAlign w:val="center"/>
          </w:tcPr>
          <w:p w14:paraId="286794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3.771</w:t>
            </w:r>
          </w:p>
        </w:tc>
        <w:tc>
          <w:tcPr>
            <w:tcW w:w="941" w:type="dxa"/>
            <w:tcBorders>
              <w:top w:val="nil"/>
              <w:left w:val="nil"/>
              <w:bottom w:val="nil"/>
              <w:right w:val="nil"/>
            </w:tcBorders>
            <w:tcMar>
              <w:top w:w="-1" w:type="dxa"/>
              <w:left w:w="-1" w:type="dxa"/>
              <w:bottom w:w="-1" w:type="dxa"/>
              <w:right w:w="-1" w:type="dxa"/>
            </w:tcMar>
            <w:vAlign w:val="center"/>
          </w:tcPr>
          <w:p w14:paraId="28C5334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1.000</w:t>
            </w:r>
          </w:p>
        </w:tc>
        <w:tc>
          <w:tcPr>
            <w:tcW w:w="1243" w:type="dxa"/>
            <w:tcBorders>
              <w:top w:val="nil"/>
              <w:left w:val="nil"/>
              <w:bottom w:val="nil"/>
              <w:right w:val="nil"/>
            </w:tcBorders>
            <w:tcMar>
              <w:top w:w="-1" w:type="dxa"/>
              <w:left w:w="-1" w:type="dxa"/>
              <w:bottom w:w="-1" w:type="dxa"/>
              <w:right w:w="-1" w:type="dxa"/>
            </w:tcMar>
            <w:vAlign w:val="center"/>
          </w:tcPr>
          <w:p w14:paraId="304CEF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62.18</w:t>
            </w:r>
          </w:p>
        </w:tc>
      </w:tr>
      <w:tr w:rsidR="000B1CCE" w14:paraId="7DA66FB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79511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Q2</w:t>
            </w:r>
          </w:p>
        </w:tc>
        <w:tc>
          <w:tcPr>
            <w:tcW w:w="1301" w:type="dxa"/>
            <w:tcBorders>
              <w:top w:val="nil"/>
              <w:left w:val="nil"/>
              <w:bottom w:val="nil"/>
              <w:right w:val="nil"/>
            </w:tcBorders>
            <w:tcMar>
              <w:top w:w="-1" w:type="dxa"/>
              <w:left w:w="-1" w:type="dxa"/>
              <w:bottom w:w="-1" w:type="dxa"/>
              <w:right w:w="-1" w:type="dxa"/>
            </w:tcMar>
            <w:vAlign w:val="center"/>
          </w:tcPr>
          <w:p w14:paraId="3429E92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46E3582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1AB9FD8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6C40F03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124BB6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75.04</w:t>
            </w:r>
          </w:p>
        </w:tc>
      </w:tr>
      <w:tr w:rsidR="000B1CCE" w14:paraId="319F6CE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8F0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58D939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20812EB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16EAC6B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47D5AA2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6AED6DE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5FA4743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C209B6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19F58F1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C7F1754"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32AEF7A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7D5F0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41A7DBB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67.53</w:t>
            </w:r>
          </w:p>
        </w:tc>
      </w:tr>
      <w:tr w:rsidR="000B1CCE" w14:paraId="4A37D88D"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30B241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1D7381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734D6F6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7CB8266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3FA6F33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2CE950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2F2D15C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B7B7D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2B7B442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2F29A1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200DF28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521D987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546E869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66.12</w:t>
            </w:r>
          </w:p>
        </w:tc>
      </w:tr>
      <w:tr w:rsidR="000B1CCE" w14:paraId="0A9F1B2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FA980D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Q7</w:t>
            </w:r>
          </w:p>
        </w:tc>
        <w:tc>
          <w:tcPr>
            <w:tcW w:w="1301" w:type="dxa"/>
            <w:tcBorders>
              <w:top w:val="nil"/>
              <w:left w:val="nil"/>
              <w:bottom w:val="nil"/>
              <w:right w:val="nil"/>
            </w:tcBorders>
            <w:tcMar>
              <w:top w:w="-1" w:type="dxa"/>
              <w:left w:w="-1" w:type="dxa"/>
              <w:bottom w:w="-1" w:type="dxa"/>
              <w:right w:w="-1" w:type="dxa"/>
            </w:tcMar>
            <w:vAlign w:val="center"/>
          </w:tcPr>
          <w:p w14:paraId="54C049C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6FDB9F2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5774792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2A59721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4479AAE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71.62</w:t>
            </w:r>
          </w:p>
        </w:tc>
      </w:tr>
      <w:tr w:rsidR="000B1CCE" w14:paraId="77EDA10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E114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9CE57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BF84E50"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1FE11A0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19B00C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11D01CC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3044572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246E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25244E8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7CE4D3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719F367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03FA6E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397749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63.97</w:t>
            </w:r>
          </w:p>
        </w:tc>
      </w:tr>
      <w:tr w:rsidR="000B1CCE" w14:paraId="618F5212"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8D166B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245F312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72ECC25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7FE8470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0CFA36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761368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70.58</w:t>
            </w:r>
          </w:p>
        </w:tc>
      </w:tr>
      <w:tr w:rsidR="000B1CCE" w14:paraId="2CB8C58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24C555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55725A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1F0F3191"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24ED50A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3F3C13B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7ECD801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66.94</w:t>
            </w:r>
          </w:p>
        </w:tc>
      </w:tr>
      <w:tr w:rsidR="000B1CCE" w14:paraId="1EE41BC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77FBD8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0A963E2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40DA554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13063D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717B574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23D0DE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62.11</w:t>
            </w:r>
          </w:p>
        </w:tc>
      </w:tr>
      <w:tr w:rsidR="000B1CCE" w14:paraId="7B363F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0096BF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47FCD0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65EA624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6BC8657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01E8E71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5EF515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72.59</w:t>
            </w:r>
          </w:p>
        </w:tc>
      </w:tr>
      <w:tr w:rsidR="000B1CCE" w14:paraId="4747407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324B7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0386C6C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6484044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37A4DEA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4AFF663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430238B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75.71</w:t>
            </w:r>
          </w:p>
        </w:tc>
      </w:tr>
      <w:tr w:rsidR="000B1CCE" w14:paraId="491835B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80E99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38E80A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CEA59FE"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658B182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242A507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065D6C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4393E98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D2087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Q16</w:t>
            </w:r>
          </w:p>
        </w:tc>
        <w:tc>
          <w:tcPr>
            <w:tcW w:w="1301" w:type="dxa"/>
            <w:tcBorders>
              <w:top w:val="nil"/>
              <w:left w:val="nil"/>
              <w:bottom w:val="nil"/>
              <w:right w:val="nil"/>
            </w:tcBorders>
            <w:tcMar>
              <w:top w:w="-1" w:type="dxa"/>
              <w:left w:w="-1" w:type="dxa"/>
              <w:bottom w:w="-1" w:type="dxa"/>
              <w:right w:w="-1" w:type="dxa"/>
            </w:tcMar>
            <w:vAlign w:val="center"/>
          </w:tcPr>
          <w:p w14:paraId="549CC7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D9E71C3"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627F0DC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3F4026C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1B1D06A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65.45</w:t>
            </w:r>
          </w:p>
        </w:tc>
      </w:tr>
      <w:tr w:rsidR="000B1CCE" w14:paraId="06395AD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C731C9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071B9A7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9011B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4A82080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797BF72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23C6370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78.16</w:t>
            </w:r>
          </w:p>
        </w:tc>
      </w:tr>
      <w:tr w:rsidR="000B1CCE" w14:paraId="0243BE8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15DA68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60CAF93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5C68658"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0C1CCAF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47A430C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00EF956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68.57</w:t>
            </w:r>
          </w:p>
        </w:tc>
      </w:tr>
      <w:tr w:rsidR="000B1CCE" w14:paraId="5946795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BF2062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0EE3173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8FD781C"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6EF5A4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0BBB79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C7F43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68.95</w:t>
            </w:r>
          </w:p>
        </w:tc>
      </w:tr>
      <w:tr w:rsidR="000B1CCE" w14:paraId="0A056FE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FAA66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4725AA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0AFD154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2A26E5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314D46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7C9C0F5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69.02</w:t>
            </w:r>
          </w:p>
        </w:tc>
      </w:tr>
      <w:tr w:rsidR="000B1CCE" w14:paraId="78F6BCB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DA3793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536D191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1B67EAA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7CA2196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1B668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DC490D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64.26</w:t>
            </w:r>
          </w:p>
        </w:tc>
      </w:tr>
      <w:tr w:rsidR="000B1CCE" w14:paraId="7528078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B27C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56514B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07D6697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4799D51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73900C9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78411DF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67.76</w:t>
            </w:r>
          </w:p>
        </w:tc>
      </w:tr>
      <w:tr w:rsidR="000B1CCE" w14:paraId="5CD4974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BB52AF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103F3C9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50489C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7A25989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0F5BAC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4B00128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78.38</w:t>
            </w:r>
          </w:p>
        </w:tc>
      </w:tr>
      <w:tr w:rsidR="000B1CCE" w14:paraId="64502C0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BC090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62B459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3BE8762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600ACF6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19C4671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1EB36C5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73.55</w:t>
            </w:r>
          </w:p>
        </w:tc>
      </w:tr>
      <w:tr w:rsidR="000B1CCE" w14:paraId="1224221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2B614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Q25</w:t>
            </w:r>
          </w:p>
        </w:tc>
        <w:tc>
          <w:tcPr>
            <w:tcW w:w="1301" w:type="dxa"/>
            <w:tcBorders>
              <w:top w:val="nil"/>
              <w:left w:val="nil"/>
              <w:bottom w:val="nil"/>
              <w:right w:val="nil"/>
            </w:tcBorders>
            <w:tcMar>
              <w:top w:w="-1" w:type="dxa"/>
              <w:left w:w="-1" w:type="dxa"/>
              <w:bottom w:w="-1" w:type="dxa"/>
              <w:right w:w="-1" w:type="dxa"/>
            </w:tcMar>
            <w:vAlign w:val="center"/>
          </w:tcPr>
          <w:p w14:paraId="4E37E50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1598AF7"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73350EA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57F1BB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0857249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74.15</w:t>
            </w:r>
          </w:p>
        </w:tc>
      </w:tr>
      <w:tr w:rsidR="000B1CCE" w14:paraId="68557BC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3C35F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13EE9F9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46C53E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0ADC3AD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3DC9DCC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0427077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75.41</w:t>
            </w:r>
          </w:p>
        </w:tc>
      </w:tr>
      <w:tr w:rsidR="000B1CCE" w14:paraId="3066C64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795EB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7532CC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38E4AAE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377E18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7B71194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3CE4CB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74.96</w:t>
            </w:r>
          </w:p>
        </w:tc>
      </w:tr>
      <w:tr w:rsidR="000B1CCE" w14:paraId="43038FED"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1D153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066F01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6BA566E5"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4369535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AAEAC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5A106B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66.64</w:t>
            </w:r>
          </w:p>
        </w:tc>
      </w:tr>
      <w:tr w:rsidR="000B1CCE" w14:paraId="42289FF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AB560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1B4D5D9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020B905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10AC4AF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3CC3DF6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415DAFA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77.34</w:t>
            </w:r>
          </w:p>
        </w:tc>
      </w:tr>
      <w:tr w:rsidR="000B1CCE" w14:paraId="3536547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B8CA73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4DF7811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2B20D56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学习时，我愿意进一步探究</w:t>
            </w:r>
            <w:r>
              <w:rPr>
                <w:rFonts w:ascii="Times New Roman" w:eastAsia="宋体" w:hAnsi="Times New Roman" w:cs="Times New Roman"/>
                <w:bCs/>
                <w:kern w:val="0"/>
                <w:szCs w:val="21"/>
              </w:rPr>
              <w:t>“</w:t>
            </w:r>
            <w:r>
              <w:rPr>
                <w:rFonts w:ascii="Times New Roman" w:eastAsia="宋体" w:hAnsi="Times New Roman" w:cs="Times New Roman"/>
                <w:bCs/>
                <w:kern w:val="0"/>
                <w:szCs w:val="21"/>
              </w:rPr>
              <w:t>为什么</w:t>
            </w:r>
            <w:r>
              <w:rPr>
                <w:rFonts w:ascii="Times New Roman" w:eastAsia="宋体" w:hAnsi="Times New Roman" w:cs="Times New Roman"/>
                <w:bCs/>
                <w:kern w:val="0"/>
                <w:szCs w:val="21"/>
              </w:rPr>
              <w:t>”</w:t>
            </w:r>
            <w:r>
              <w:rPr>
                <w:rFonts w:ascii="Times New Roman" w:eastAsia="宋体" w:hAnsi="Times New Roman" w:cs="Times New Roman"/>
                <w:bCs/>
                <w:kern w:val="0"/>
                <w:szCs w:val="21"/>
              </w:rPr>
              <w:t>，而不只是记住答案</w:t>
            </w:r>
          </w:p>
        </w:tc>
        <w:tc>
          <w:tcPr>
            <w:tcW w:w="941" w:type="dxa"/>
            <w:tcBorders>
              <w:top w:val="nil"/>
              <w:left w:val="nil"/>
              <w:bottom w:val="nil"/>
              <w:right w:val="nil"/>
            </w:tcBorders>
            <w:tcMar>
              <w:top w:w="-1" w:type="dxa"/>
              <w:left w:w="-1" w:type="dxa"/>
              <w:bottom w:w="-1" w:type="dxa"/>
              <w:right w:w="-1" w:type="dxa"/>
            </w:tcMar>
            <w:vAlign w:val="center"/>
          </w:tcPr>
          <w:p w14:paraId="25A6CB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0ADF57E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353B0B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72.73</w:t>
            </w:r>
          </w:p>
        </w:tc>
      </w:tr>
      <w:tr w:rsidR="000B1CCE" w14:paraId="3D457E0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536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1AAE911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36003DC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24FB6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71ECDC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43CA26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69.99</w:t>
            </w:r>
          </w:p>
        </w:tc>
      </w:tr>
      <w:tr w:rsidR="000B1CCE" w14:paraId="465E9D36" w14:textId="77777777">
        <w:trPr>
          <w:jc w:val="center"/>
        </w:trPr>
        <w:tc>
          <w:tcPr>
            <w:tcW w:w="822" w:type="dxa"/>
            <w:tcBorders>
              <w:top w:val="nil"/>
              <w:left w:val="nil"/>
              <w:bottom w:val="single" w:sz="12" w:space="0" w:color="000000"/>
              <w:right w:val="nil"/>
            </w:tcBorders>
            <w:tcMar>
              <w:top w:w="-1" w:type="dxa"/>
              <w:left w:w="-1" w:type="dxa"/>
              <w:bottom w:w="-1" w:type="dxa"/>
              <w:right w:w="-1" w:type="dxa"/>
            </w:tcMar>
            <w:vAlign w:val="center"/>
          </w:tcPr>
          <w:p w14:paraId="2E00205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Q32</w:t>
            </w:r>
          </w:p>
        </w:tc>
        <w:tc>
          <w:tcPr>
            <w:tcW w:w="1301" w:type="dxa"/>
            <w:tcBorders>
              <w:top w:val="nil"/>
              <w:left w:val="nil"/>
              <w:bottom w:val="single" w:sz="12" w:space="0" w:color="000000"/>
              <w:right w:val="nil"/>
            </w:tcBorders>
            <w:tcMar>
              <w:top w:w="-1" w:type="dxa"/>
              <w:left w:w="-1" w:type="dxa"/>
              <w:bottom w:w="-1" w:type="dxa"/>
              <w:right w:w="-1" w:type="dxa"/>
            </w:tcMar>
            <w:vAlign w:val="center"/>
          </w:tcPr>
          <w:p w14:paraId="55E58EF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single" w:sz="12" w:space="0" w:color="000000"/>
              <w:right w:val="nil"/>
            </w:tcBorders>
            <w:tcMar>
              <w:top w:w="-1" w:type="dxa"/>
              <w:left w:w="-1" w:type="dxa"/>
              <w:bottom w:w="-1" w:type="dxa"/>
              <w:right w:w="-1" w:type="dxa"/>
            </w:tcMar>
            <w:vAlign w:val="center"/>
          </w:tcPr>
          <w:p w14:paraId="62AB2A2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面对没有固定答案的问题时，我愿意继续探索和尝试</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5B7D9E8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4.001</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7D381C0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0.933</w:t>
            </w:r>
          </w:p>
        </w:tc>
        <w:tc>
          <w:tcPr>
            <w:tcW w:w="1243" w:type="dxa"/>
            <w:tcBorders>
              <w:top w:val="nil"/>
              <w:left w:val="nil"/>
              <w:bottom w:val="single" w:sz="12" w:space="0" w:color="000000"/>
              <w:right w:val="nil"/>
            </w:tcBorders>
            <w:tcMar>
              <w:top w:w="-1" w:type="dxa"/>
              <w:left w:w="-1" w:type="dxa"/>
              <w:bottom w:w="-1" w:type="dxa"/>
              <w:right w:w="-1" w:type="dxa"/>
            </w:tcMar>
            <w:vAlign w:val="center"/>
          </w:tcPr>
          <w:p w14:paraId="6C990B9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69.69</w:t>
            </w:r>
          </w:p>
        </w:tc>
      </w:tr>
    </w:tbl>
    <w:p w14:paraId="36C1F61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关键题项使维度层面的特点更加具体。复杂问题拆解的均值为</w:t>
      </w:r>
      <w:r>
        <w:rPr>
          <w:rFonts w:ascii="Times New Roman" w:eastAsia="宋体" w:hAnsi="Times New Roman" w:cs="Times New Roman"/>
          <w:kern w:val="0"/>
          <w:sz w:val="24"/>
        </w:rPr>
        <w:t>3.771</w:t>
      </w:r>
      <w:r>
        <w:rPr>
          <w:rFonts w:ascii="Times New Roman" w:eastAsia="宋体" w:hAnsi="Times New Roman" w:cs="Times New Roman"/>
          <w:kern w:val="0"/>
          <w:sz w:val="24"/>
        </w:rPr>
        <w:t>，知识关联为</w:t>
      </w:r>
      <w:r>
        <w:rPr>
          <w:rFonts w:ascii="Times New Roman" w:eastAsia="宋体" w:hAnsi="Times New Roman" w:cs="Times New Roman"/>
          <w:kern w:val="0"/>
          <w:sz w:val="24"/>
        </w:rPr>
        <w:t>4.048</w:t>
      </w:r>
      <w:r>
        <w:rPr>
          <w:rFonts w:ascii="Times New Roman" w:eastAsia="宋体" w:hAnsi="Times New Roman" w:cs="Times New Roman"/>
          <w:kern w:val="0"/>
          <w:sz w:val="24"/>
        </w:rPr>
        <w:t>；提出多种解决办法为</w:t>
      </w:r>
      <w:r>
        <w:rPr>
          <w:rFonts w:ascii="Times New Roman" w:eastAsia="宋体" w:hAnsi="Times New Roman" w:cs="Times New Roman"/>
          <w:kern w:val="0"/>
          <w:sz w:val="24"/>
        </w:rPr>
        <w:t>3.797</w:t>
      </w:r>
      <w:r>
        <w:rPr>
          <w:rFonts w:ascii="Times New Roman" w:eastAsia="宋体" w:hAnsi="Times New Roman" w:cs="Times New Roman"/>
          <w:kern w:val="0"/>
          <w:sz w:val="24"/>
        </w:rPr>
        <w:t>，知识迁移为</w:t>
      </w:r>
      <w:r>
        <w:rPr>
          <w:rFonts w:ascii="Times New Roman" w:eastAsia="宋体" w:hAnsi="Times New Roman" w:cs="Times New Roman"/>
          <w:kern w:val="0"/>
          <w:sz w:val="24"/>
        </w:rPr>
        <w:t>3.968</w:t>
      </w:r>
      <w:r>
        <w:rPr>
          <w:rFonts w:ascii="Times New Roman" w:eastAsia="宋体" w:hAnsi="Times New Roman" w:cs="Times New Roman"/>
          <w:kern w:val="0"/>
          <w:sz w:val="24"/>
        </w:rPr>
        <w:t>。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4A0B73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责任担当内部同样存在值得关注的差别。承担小组责任的均值为</w:t>
      </w:r>
      <w:r>
        <w:rPr>
          <w:rFonts w:ascii="Times New Roman" w:eastAsia="宋体" w:hAnsi="Times New Roman" w:cs="Times New Roman"/>
          <w:kern w:val="0"/>
          <w:sz w:val="24"/>
        </w:rPr>
        <w:t>4.215</w:t>
      </w:r>
      <w:r>
        <w:rPr>
          <w:rFonts w:ascii="Times New Roman" w:eastAsia="宋体" w:hAnsi="Times New Roman" w:cs="Times New Roman"/>
          <w:kern w:val="0"/>
          <w:sz w:val="24"/>
        </w:rPr>
        <w:t>，任务后反思为</w:t>
      </w:r>
      <w:r>
        <w:rPr>
          <w:rFonts w:ascii="Times New Roman" w:eastAsia="宋体" w:hAnsi="Times New Roman" w:cs="Times New Roman"/>
          <w:kern w:val="0"/>
          <w:sz w:val="24"/>
        </w:rPr>
        <w:t>3.852</w:t>
      </w:r>
      <w:r>
        <w:rPr>
          <w:rFonts w:ascii="Times New Roman" w:eastAsia="宋体" w:hAnsi="Times New Roman" w:cs="Times New Roman"/>
          <w:kern w:val="0"/>
          <w:sz w:val="24"/>
        </w:rPr>
        <w:t>；认真倾听同伴为</w:t>
      </w:r>
      <w:r>
        <w:rPr>
          <w:rFonts w:ascii="Times New Roman" w:eastAsia="宋体" w:hAnsi="Times New Roman" w:cs="Times New Roman"/>
          <w:kern w:val="0"/>
          <w:sz w:val="24"/>
        </w:rPr>
        <w:t>4.214</w:t>
      </w:r>
      <w:r>
        <w:rPr>
          <w:rFonts w:ascii="Times New Roman" w:eastAsia="宋体" w:hAnsi="Times New Roman" w:cs="Times New Roman"/>
          <w:kern w:val="0"/>
          <w:sz w:val="24"/>
        </w:rPr>
        <w:t>，尝试陌生方法为</w:t>
      </w:r>
      <w:r>
        <w:rPr>
          <w:rFonts w:ascii="Times New Roman" w:eastAsia="宋体" w:hAnsi="Times New Roman" w:cs="Times New Roman"/>
          <w:kern w:val="0"/>
          <w:sz w:val="24"/>
        </w:rPr>
        <w:t>3.909</w:t>
      </w:r>
      <w:r>
        <w:rPr>
          <w:rFonts w:ascii="Times New Roman" w:eastAsia="宋体" w:hAnsi="Times New Roman" w:cs="Times New Roman"/>
          <w:kern w:val="0"/>
          <w:sz w:val="24"/>
        </w:rPr>
        <w:t>。学生较认可完成分工和倾听他人，对反思改进、主动尝试的自评相对较低。紧张情境中保持平静的均值为</w:t>
      </w:r>
      <w:r>
        <w:rPr>
          <w:rFonts w:ascii="Times New Roman" w:eastAsia="宋体" w:hAnsi="Times New Roman" w:cs="Times New Roman"/>
          <w:kern w:val="0"/>
          <w:sz w:val="24"/>
        </w:rPr>
        <w:t>3.851</w:t>
      </w:r>
      <w:r>
        <w:rPr>
          <w:rFonts w:ascii="Times New Roman" w:eastAsia="宋体" w:hAnsi="Times New Roman" w:cs="Times New Roman"/>
          <w:kern w:val="0"/>
          <w:sz w:val="24"/>
        </w:rPr>
        <w:t>，也提示公开表达需要适当准备。学校教学应在任务推进中设置阶段检查、同伴交流与成果修订，使学生既承担工作，也能依据标准检查质量，在遇到困难后继续投入。</w:t>
      </w:r>
    </w:p>
    <w:p w14:paraId="3461961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）年级与学段差异</w:t>
      </w:r>
    </w:p>
    <w:p w14:paraId="1EC75C2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3-9  </w:t>
      </w:r>
      <w:r>
        <w:rPr>
          <w:rFonts w:ascii="Times New Roman" w:eastAsia="黑体" w:hAnsi="Times New Roman" w:cs="Times New Roman"/>
          <w:kern w:val="0"/>
        </w:rPr>
        <w:t>各年级学生高阶能力七个理论维度的前测题均分</w:t>
      </w:r>
    </w:p>
    <w:tbl>
      <w:tblPr>
        <w:tblW w:w="891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96"/>
        <w:gridCol w:w="936"/>
        <w:gridCol w:w="936"/>
        <w:gridCol w:w="936"/>
        <w:gridCol w:w="1202"/>
        <w:gridCol w:w="1202"/>
        <w:gridCol w:w="1202"/>
        <w:gridCol w:w="1204"/>
      </w:tblGrid>
      <w:tr w:rsidR="000B1CCE" w14:paraId="091B68B7" w14:textId="77777777">
        <w:trPr>
          <w:tblHeader/>
          <w:jc w:val="center"/>
        </w:trPr>
        <w:tc>
          <w:tcPr>
            <w:tcW w:w="12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260FD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3996C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分析</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5904B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评价</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16A6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FCEFB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责任担当</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F85C43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情绪调节</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5E9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合作共情</w:t>
            </w:r>
          </w:p>
        </w:tc>
        <w:tc>
          <w:tcPr>
            <w:tcW w:w="12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9A78D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包容创新</w:t>
            </w:r>
          </w:p>
        </w:tc>
      </w:tr>
      <w:tr w:rsidR="000B1CCE" w14:paraId="35003243"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7B8CF1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936" w:type="dxa"/>
            <w:tcBorders>
              <w:top w:val="nil"/>
              <w:left w:val="nil"/>
              <w:bottom w:val="nil"/>
              <w:right w:val="nil"/>
            </w:tcBorders>
            <w:tcMar>
              <w:top w:w="-1" w:type="dxa"/>
              <w:left w:w="-1" w:type="dxa"/>
              <w:bottom w:w="-1" w:type="dxa"/>
              <w:right w:w="-1" w:type="dxa"/>
            </w:tcMar>
            <w:vAlign w:val="center"/>
          </w:tcPr>
          <w:p w14:paraId="6912C3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936" w:type="dxa"/>
            <w:tcBorders>
              <w:top w:val="nil"/>
              <w:left w:val="nil"/>
              <w:bottom w:val="nil"/>
              <w:right w:val="nil"/>
            </w:tcBorders>
            <w:tcMar>
              <w:top w:w="-1" w:type="dxa"/>
              <w:left w:w="-1" w:type="dxa"/>
              <w:bottom w:w="-1" w:type="dxa"/>
              <w:right w:w="-1" w:type="dxa"/>
            </w:tcMar>
            <w:vAlign w:val="center"/>
          </w:tcPr>
          <w:p w14:paraId="0FE341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4.358</w:t>
            </w:r>
          </w:p>
        </w:tc>
        <w:tc>
          <w:tcPr>
            <w:tcW w:w="936" w:type="dxa"/>
            <w:tcBorders>
              <w:top w:val="nil"/>
              <w:left w:val="nil"/>
              <w:bottom w:val="nil"/>
              <w:right w:val="nil"/>
            </w:tcBorders>
            <w:tcMar>
              <w:top w:w="-1" w:type="dxa"/>
              <w:left w:w="-1" w:type="dxa"/>
              <w:bottom w:w="-1" w:type="dxa"/>
              <w:right w:w="-1" w:type="dxa"/>
            </w:tcMar>
            <w:vAlign w:val="center"/>
          </w:tcPr>
          <w:p w14:paraId="1C5A34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4.313</w:t>
            </w:r>
          </w:p>
        </w:tc>
        <w:tc>
          <w:tcPr>
            <w:tcW w:w="0" w:type="auto"/>
            <w:tcBorders>
              <w:top w:val="nil"/>
              <w:left w:val="nil"/>
              <w:bottom w:val="nil"/>
              <w:right w:val="nil"/>
            </w:tcBorders>
            <w:tcMar>
              <w:top w:w="-1" w:type="dxa"/>
              <w:left w:w="-1" w:type="dxa"/>
              <w:bottom w:w="-1" w:type="dxa"/>
              <w:right w:w="-1" w:type="dxa"/>
            </w:tcMar>
            <w:vAlign w:val="center"/>
          </w:tcPr>
          <w:p w14:paraId="4BA0D3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4.414</w:t>
            </w:r>
          </w:p>
        </w:tc>
        <w:tc>
          <w:tcPr>
            <w:tcW w:w="0" w:type="auto"/>
            <w:tcBorders>
              <w:top w:val="nil"/>
              <w:left w:val="nil"/>
              <w:bottom w:val="nil"/>
              <w:right w:val="nil"/>
            </w:tcBorders>
            <w:tcMar>
              <w:top w:w="-1" w:type="dxa"/>
              <w:left w:w="-1" w:type="dxa"/>
              <w:bottom w:w="-1" w:type="dxa"/>
              <w:right w:w="-1" w:type="dxa"/>
            </w:tcMar>
            <w:vAlign w:val="center"/>
          </w:tcPr>
          <w:p w14:paraId="73E79A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4.351</w:t>
            </w:r>
          </w:p>
        </w:tc>
        <w:tc>
          <w:tcPr>
            <w:tcW w:w="0" w:type="auto"/>
            <w:tcBorders>
              <w:top w:val="nil"/>
              <w:left w:val="nil"/>
              <w:bottom w:val="nil"/>
              <w:right w:val="nil"/>
            </w:tcBorders>
            <w:tcMar>
              <w:top w:w="-1" w:type="dxa"/>
              <w:left w:w="-1" w:type="dxa"/>
              <w:bottom w:w="-1" w:type="dxa"/>
              <w:right w:w="-1" w:type="dxa"/>
            </w:tcMar>
            <w:vAlign w:val="center"/>
          </w:tcPr>
          <w:p w14:paraId="171869D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4.432</w:t>
            </w:r>
          </w:p>
        </w:tc>
        <w:tc>
          <w:tcPr>
            <w:tcW w:w="1204" w:type="dxa"/>
            <w:tcBorders>
              <w:top w:val="nil"/>
              <w:left w:val="nil"/>
              <w:bottom w:val="nil"/>
              <w:right w:val="nil"/>
            </w:tcBorders>
            <w:tcMar>
              <w:top w:w="-1" w:type="dxa"/>
              <w:left w:w="-1" w:type="dxa"/>
              <w:bottom w:w="-1" w:type="dxa"/>
              <w:right w:w="-1" w:type="dxa"/>
            </w:tcMar>
            <w:vAlign w:val="center"/>
          </w:tcPr>
          <w:p w14:paraId="1EA181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4.382</w:t>
            </w:r>
          </w:p>
        </w:tc>
      </w:tr>
      <w:tr w:rsidR="000B1CCE" w14:paraId="322E383D"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394FD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65CFA9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6A96D1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36E6E5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52FEA0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0D59D8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4ACE28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61F294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3.794</w:t>
            </w:r>
          </w:p>
        </w:tc>
      </w:tr>
      <w:tr w:rsidR="000B1CCE" w14:paraId="02BC1824"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32303F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0496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4B0865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1C2D3C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0E8907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39E736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761185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194838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3.933</w:t>
            </w:r>
          </w:p>
        </w:tc>
      </w:tr>
      <w:tr w:rsidR="000B1CCE" w14:paraId="4C78DB66"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04F6DA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0D1E78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650495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BDEF2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3316FF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14421F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47B6FD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52240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2FB8CCF1"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5385A3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8D309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31538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401635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2F08C9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7F2098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208159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1D4D0B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3.926</w:t>
            </w:r>
          </w:p>
        </w:tc>
      </w:tr>
      <w:tr w:rsidR="000B1CCE" w14:paraId="0446D233"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5F9B06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949CB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7F1ACD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424F98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02A84E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0DD459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266911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7DDD5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4.228</w:t>
            </w:r>
          </w:p>
        </w:tc>
      </w:tr>
      <w:tr w:rsidR="000B1CCE" w14:paraId="5306C54B" w14:textId="77777777">
        <w:trPr>
          <w:jc w:val="center"/>
        </w:trPr>
        <w:tc>
          <w:tcPr>
            <w:tcW w:w="1296" w:type="dxa"/>
            <w:tcBorders>
              <w:top w:val="nil"/>
              <w:left w:val="nil"/>
              <w:bottom w:val="single" w:sz="12" w:space="0" w:color="000000"/>
              <w:right w:val="nil"/>
            </w:tcBorders>
            <w:tcMar>
              <w:top w:w="-1" w:type="dxa"/>
              <w:left w:w="-1" w:type="dxa"/>
              <w:bottom w:w="-1" w:type="dxa"/>
              <w:right w:w="-1" w:type="dxa"/>
            </w:tcMar>
            <w:vAlign w:val="center"/>
          </w:tcPr>
          <w:p w14:paraId="2BFA954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十二年级</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73D28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10352B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2C8EB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3.845</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50F1F3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6D223D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55AB10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4.054</w:t>
            </w:r>
          </w:p>
        </w:tc>
        <w:tc>
          <w:tcPr>
            <w:tcW w:w="1204" w:type="dxa"/>
            <w:tcBorders>
              <w:top w:val="nil"/>
              <w:left w:val="nil"/>
              <w:bottom w:val="single" w:sz="12" w:space="0" w:color="000000"/>
              <w:right w:val="nil"/>
            </w:tcBorders>
            <w:tcMar>
              <w:top w:w="-1" w:type="dxa"/>
              <w:left w:w="-1" w:type="dxa"/>
              <w:bottom w:w="-1" w:type="dxa"/>
              <w:right w:w="-1" w:type="dxa"/>
            </w:tcMar>
            <w:vAlign w:val="center"/>
          </w:tcPr>
          <w:p w14:paraId="1E94F1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3.992</w:t>
            </w:r>
          </w:p>
        </w:tc>
      </w:tr>
    </w:tbl>
    <w:p w14:paraId="45CBA83C"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697730" cy="2442845"/>
                    </a:xfrm>
                    <a:prstGeom prst="rect">
                      <a:avLst/>
                    </a:prstGeom>
                  </pic:spPr>
                </pic:pic>
              </a:graphicData>
            </a:graphic>
          </wp:inline>
        </w:drawing>
      </w:r>
    </w:p>
    <w:p w14:paraId="3101E568"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3-3  </w:t>
      </w:r>
      <w:r>
        <w:rPr>
          <w:rFonts w:ascii="Times New Roman" w:eastAsia="黑体" w:hAnsi="Times New Roman" w:cs="Times New Roman"/>
          <w:kern w:val="0"/>
        </w:rPr>
        <w:t>各年级学生高阶能力七个理论维度的前测均值热力图</w:t>
      </w:r>
    </w:p>
    <w:p w14:paraId="30CA97EE"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34535" cy="2015490"/>
                    </a:xfrm>
                    <a:prstGeom prst="rect">
                      <a:avLst/>
                    </a:prstGeom>
                  </pic:spPr>
                </pic:pic>
              </a:graphicData>
            </a:graphic>
          </wp:inline>
        </w:drawing>
      </w:r>
    </w:p>
    <w:p w14:paraId="6733546F"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3-4  </w:t>
      </w:r>
      <w:r>
        <w:rPr>
          <w:rFonts w:ascii="Times New Roman" w:eastAsia="黑体" w:hAnsi="Times New Roman" w:cs="Times New Roman"/>
          <w:kern w:val="0"/>
        </w:rPr>
        <w:t>各年级学生高阶思维与高阶社会情感能力的前测题均分</w:t>
      </w:r>
    </w:p>
    <w:p w14:paraId="373B116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3-10  </w:t>
      </w:r>
      <w:r>
        <w:rPr>
          <w:rFonts w:ascii="Times New Roman" w:eastAsia="黑体" w:hAnsi="Times New Roman" w:cs="Times New Roman"/>
          <w:kern w:val="0"/>
        </w:rPr>
        <w:t>学生高阶能力前测得分的年级差异检验结果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45"/>
        <w:gridCol w:w="1212"/>
        <w:gridCol w:w="1367"/>
        <w:gridCol w:w="1057"/>
        <w:gridCol w:w="1057"/>
        <w:gridCol w:w="1681"/>
      </w:tblGrid>
      <w:tr w:rsidR="000B1CCE" w14:paraId="5C8D3A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173F2F"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DFD2B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F</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3A31B2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df2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354B5B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3CC7A43"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681"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7B202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描述性</w:t>
            </w:r>
            <w:r>
              <w:rPr>
                <w:rFonts w:ascii="Times New Roman" w:eastAsia="宋体" w:hAnsi="Times New Roman" w:cs="Times New Roman"/>
                <w:b/>
                <w:kern w:val="0"/>
                <w:szCs w:val="21"/>
              </w:rPr>
              <w:t>η²</w:t>
            </w:r>
          </w:p>
        </w:tc>
      </w:tr>
      <w:tr w:rsidR="000B1CCE" w14:paraId="048CBE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0671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5F2F1E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20.417</w:t>
            </w:r>
          </w:p>
        </w:tc>
        <w:tc>
          <w:tcPr>
            <w:tcW w:w="0" w:type="auto"/>
            <w:tcBorders>
              <w:top w:val="nil"/>
              <w:left w:val="nil"/>
              <w:bottom w:val="nil"/>
              <w:right w:val="nil"/>
            </w:tcBorders>
            <w:tcMar>
              <w:top w:w="-1" w:type="dxa"/>
              <w:left w:w="-1" w:type="dxa"/>
              <w:bottom w:w="-1" w:type="dxa"/>
              <w:right w:w="-1" w:type="dxa"/>
            </w:tcMar>
            <w:vAlign w:val="center"/>
          </w:tcPr>
          <w:p w14:paraId="2DC0B5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557.705</w:t>
            </w:r>
          </w:p>
        </w:tc>
        <w:tc>
          <w:tcPr>
            <w:tcW w:w="0" w:type="auto"/>
            <w:tcBorders>
              <w:top w:val="nil"/>
              <w:left w:val="nil"/>
              <w:bottom w:val="nil"/>
              <w:right w:val="nil"/>
            </w:tcBorders>
            <w:tcMar>
              <w:top w:w="-1" w:type="dxa"/>
              <w:left w:w="-1" w:type="dxa"/>
              <w:bottom w:w="-1" w:type="dxa"/>
              <w:right w:w="-1" w:type="dxa"/>
            </w:tcMar>
            <w:vAlign w:val="center"/>
          </w:tcPr>
          <w:p w14:paraId="550A0F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DF205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8C339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r>
      <w:tr w:rsidR="000B1CCE" w14:paraId="10F7FD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8045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21F1F5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5A734E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149FE4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5158A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67065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0.070</w:t>
            </w:r>
          </w:p>
        </w:tc>
      </w:tr>
      <w:tr w:rsidR="000B1CCE" w14:paraId="313A6A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4B49A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6F885C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5D5301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546BD1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76144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99055D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41739E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1891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E818A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3AA25E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02028C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36D6F8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00D18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0.059</w:t>
            </w:r>
          </w:p>
        </w:tc>
      </w:tr>
      <w:tr w:rsidR="000B1CCE" w14:paraId="62D90B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92C2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82B34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4C8A13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680D94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6BFE9B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1A21A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0.061</w:t>
            </w:r>
          </w:p>
        </w:tc>
      </w:tr>
      <w:tr w:rsidR="000B1CCE" w14:paraId="14010B4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A907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E819C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2D674FB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6F69CA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88721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319E8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0.074</w:t>
            </w:r>
          </w:p>
        </w:tc>
      </w:tr>
      <w:tr w:rsidR="000B1CCE" w14:paraId="4485F9E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1A33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133C79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120D98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2EAE11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66EA01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A5406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r>
      <w:tr w:rsidR="000B1CCE" w14:paraId="21543F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D0E9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0387E6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FA6FC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1437C1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39FD96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50888B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4E686C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13B1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668078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699D2F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4E392A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0210EF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5EC1DDD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0.049</w:t>
            </w:r>
          </w:p>
        </w:tc>
      </w:tr>
      <w:tr w:rsidR="000B1CCE" w14:paraId="76787010" w14:textId="77777777">
        <w:trPr>
          <w:jc w:val="center"/>
        </w:trPr>
        <w:tc>
          <w:tcPr>
            <w:tcW w:w="2145" w:type="dxa"/>
            <w:tcBorders>
              <w:top w:val="nil"/>
              <w:left w:val="nil"/>
              <w:bottom w:val="single" w:sz="12" w:space="0" w:color="000000"/>
              <w:right w:val="nil"/>
            </w:tcBorders>
            <w:tcMar>
              <w:top w:w="-1" w:type="dxa"/>
              <w:left w:w="-1" w:type="dxa"/>
              <w:bottom w:w="-1" w:type="dxa"/>
              <w:right w:w="-1" w:type="dxa"/>
            </w:tcMar>
            <w:vAlign w:val="center"/>
          </w:tcPr>
          <w:p w14:paraId="170820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212" w:type="dxa"/>
            <w:tcBorders>
              <w:top w:val="nil"/>
              <w:left w:val="nil"/>
              <w:bottom w:val="single" w:sz="12" w:space="0" w:color="000000"/>
              <w:right w:val="nil"/>
            </w:tcBorders>
            <w:tcMar>
              <w:top w:w="-1" w:type="dxa"/>
              <w:left w:w="-1" w:type="dxa"/>
              <w:bottom w:w="-1" w:type="dxa"/>
              <w:right w:w="-1" w:type="dxa"/>
            </w:tcMar>
            <w:vAlign w:val="center"/>
          </w:tcPr>
          <w:p w14:paraId="2DE5D0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16.222</w:t>
            </w:r>
          </w:p>
        </w:tc>
        <w:tc>
          <w:tcPr>
            <w:tcW w:w="1367" w:type="dxa"/>
            <w:tcBorders>
              <w:top w:val="nil"/>
              <w:left w:val="nil"/>
              <w:bottom w:val="single" w:sz="12" w:space="0" w:color="000000"/>
              <w:right w:val="nil"/>
            </w:tcBorders>
            <w:tcMar>
              <w:top w:w="-1" w:type="dxa"/>
              <w:left w:w="-1" w:type="dxa"/>
              <w:bottom w:w="-1" w:type="dxa"/>
              <w:right w:w="-1" w:type="dxa"/>
            </w:tcMar>
            <w:vAlign w:val="center"/>
          </w:tcPr>
          <w:p w14:paraId="646ECD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557.930</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09C2C2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0F99FE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single" w:sz="12" w:space="0" w:color="000000"/>
              <w:right w:val="nil"/>
            </w:tcBorders>
            <w:tcMar>
              <w:top w:w="-1" w:type="dxa"/>
              <w:left w:w="-1" w:type="dxa"/>
              <w:bottom w:w="-1" w:type="dxa"/>
              <w:right w:w="-1" w:type="dxa"/>
            </w:tcMar>
            <w:vAlign w:val="center"/>
          </w:tcPr>
          <w:p w14:paraId="21D4A98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0.060</w:t>
            </w:r>
          </w:p>
        </w:tc>
      </w:tr>
    </w:tbl>
    <w:p w14:paraId="057015B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七个年级的整体、两类能力及七维比较，经</w:t>
      </w:r>
      <w:r>
        <w:rPr>
          <w:rFonts w:ascii="Times New Roman" w:eastAsia="宋体" w:hAnsi="Times New Roman" w:cs="Times New Roman"/>
          <w:kern w:val="0"/>
          <w:sz w:val="24"/>
        </w:rPr>
        <w:t>Holm</w:t>
      </w:r>
      <w:r>
        <w:rPr>
          <w:rFonts w:ascii="Times New Roman" w:eastAsia="宋体" w:hAnsi="Times New Roman" w:cs="Times New Roman"/>
          <w:kern w:val="0"/>
          <w:sz w:val="24"/>
        </w:rPr>
        <w:t>校正后均达到统计显著水平，说明至少部分年级的自评均值存在差异。</w:t>
      </w:r>
      <w:r>
        <w:rPr>
          <w:rFonts w:ascii="Times New Roman" w:eastAsia="宋体" w:hAnsi="Times New Roman" w:cs="Times New Roman"/>
          <w:kern w:val="0"/>
          <w:sz w:val="24"/>
        </w:rPr>
        <w:t>Welch</w:t>
      </w:r>
      <w:r>
        <w:rPr>
          <w:rFonts w:ascii="Times New Roman" w:eastAsia="宋体" w:hAnsi="Times New Roman" w:cs="Times New Roman"/>
          <w:kern w:val="0"/>
          <w:sz w:val="24"/>
        </w:rPr>
        <w:t>检验的分子自由度均为</w:t>
      </w:r>
      <w:r>
        <w:rPr>
          <w:rFonts w:ascii="Times New Roman" w:eastAsia="宋体" w:hAnsi="Times New Roman" w:cs="Times New Roman"/>
          <w:kern w:val="0"/>
          <w:sz w:val="24"/>
        </w:rPr>
        <w:t>6</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Holm</w:t>
      </w:r>
      <w:r>
        <w:rPr>
          <w:rFonts w:ascii="Times New Roman" w:eastAsia="宋体" w:hAnsi="Times New Roman" w:cs="Times New Roman"/>
          <w:kern w:val="0"/>
          <w:sz w:val="24"/>
        </w:rPr>
        <w:t>校正在表内十项比较中实施。描述性</w:t>
      </w:r>
      <w:r>
        <w:rPr>
          <w:rFonts w:ascii="Times New Roman" w:eastAsia="宋体" w:hAnsi="Times New Roman" w:cs="Times New Roman"/>
          <w:kern w:val="0"/>
          <w:sz w:val="24"/>
        </w:rPr>
        <w:t>η²</w:t>
      </w:r>
      <w:r>
        <w:rPr>
          <w:rFonts w:ascii="Times New Roman" w:eastAsia="宋体" w:hAnsi="Times New Roman" w:cs="Times New Roman"/>
          <w:kern w:val="0"/>
          <w:sz w:val="24"/>
        </w:rPr>
        <w:t>按组间平方和与总平方和计算，用于补充呈现差异幅度；具体年级之间的差异进一步通过两两比较确定。</w:t>
      </w:r>
    </w:p>
    <w:p w14:paraId="37FDE9B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3-11  </w:t>
      </w:r>
      <w:r>
        <w:rPr>
          <w:rFonts w:ascii="Times New Roman" w:eastAsia="黑体" w:hAnsi="Times New Roman" w:cs="Times New Roman"/>
          <w:kern w:val="0"/>
        </w:rPr>
        <w:t>创造与情绪调节前测得分的年级两两比较结果</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37"/>
        <w:gridCol w:w="3242"/>
        <w:gridCol w:w="1322"/>
        <w:gridCol w:w="1157"/>
        <w:gridCol w:w="1164"/>
      </w:tblGrid>
      <w:tr w:rsidR="000B1CCE" w14:paraId="57C34432" w14:textId="77777777">
        <w:trPr>
          <w:tblHeader/>
          <w:jc w:val="center"/>
        </w:trPr>
        <w:tc>
          <w:tcPr>
            <w:tcW w:w="16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FC0253"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维度</w:t>
            </w:r>
          </w:p>
        </w:tc>
        <w:tc>
          <w:tcPr>
            <w:tcW w:w="32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8F1F2C2"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年级比较</w:t>
            </w:r>
          </w:p>
        </w:tc>
        <w:tc>
          <w:tcPr>
            <w:tcW w:w="1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4FAD6B1"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均值差</w:t>
            </w:r>
          </w:p>
        </w:tc>
        <w:tc>
          <w:tcPr>
            <w:tcW w:w="115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60B1274"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p</w:t>
            </w:r>
          </w:p>
        </w:tc>
        <w:tc>
          <w:tcPr>
            <w:tcW w:w="11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CFB0ED" w14:textId="77777777" w:rsidR="000B1CCE" w:rsidRDefault="00000000">
            <w:pPr>
              <w:adjustRightInd w:val="0"/>
              <w:snapToGrid w:val="0"/>
              <w:spacing w:before="20" w:after="20"/>
              <w:jc w:val="center"/>
              <w:rPr>
                <w:rFonts w:ascii="宋体" w:eastAsia="宋体" w:hAnsi="宋体" w:cs="宋体"/>
                <w:b/>
                <w:kern w:val="0"/>
                <w:sz w:val="20"/>
                <w:szCs w:val="20"/>
              </w:rPr>
            </w:pPr>
            <w:proofErr w:type="spellStart"/>
            <w:r>
              <w:rPr>
                <w:rFonts w:ascii="Times New Roman" w:eastAsia="宋体" w:hAnsi="Times New Roman" w:cs="Times New Roman"/>
                <w:b/>
                <w:kern w:val="0"/>
                <w:szCs w:val="20"/>
              </w:rPr>
              <w:t>Holmp</w:t>
            </w:r>
            <w:proofErr w:type="spellEnd"/>
          </w:p>
        </w:tc>
      </w:tr>
      <w:tr w:rsidR="000B1CCE" w14:paraId="2DAB60C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1C12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05288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71F0870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0.666</w:t>
            </w:r>
          </w:p>
        </w:tc>
        <w:tc>
          <w:tcPr>
            <w:tcW w:w="1157" w:type="dxa"/>
            <w:tcBorders>
              <w:top w:val="nil"/>
              <w:left w:val="nil"/>
              <w:bottom w:val="nil"/>
              <w:right w:val="nil"/>
            </w:tcBorders>
            <w:tcMar>
              <w:top w:w="-1" w:type="dxa"/>
              <w:left w:w="-1" w:type="dxa"/>
              <w:bottom w:w="-1" w:type="dxa"/>
              <w:right w:w="-1" w:type="dxa"/>
            </w:tcMar>
            <w:vAlign w:val="center"/>
          </w:tcPr>
          <w:p w14:paraId="3378018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DDFCC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E8859A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2ADA97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B4AD9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0188CD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0.487</w:t>
            </w:r>
          </w:p>
        </w:tc>
        <w:tc>
          <w:tcPr>
            <w:tcW w:w="1157" w:type="dxa"/>
            <w:tcBorders>
              <w:top w:val="nil"/>
              <w:left w:val="nil"/>
              <w:bottom w:val="nil"/>
              <w:right w:val="nil"/>
            </w:tcBorders>
            <w:tcMar>
              <w:top w:w="-1" w:type="dxa"/>
              <w:left w:w="-1" w:type="dxa"/>
              <w:bottom w:w="-1" w:type="dxa"/>
              <w:right w:w="-1" w:type="dxa"/>
            </w:tcMar>
            <w:vAlign w:val="center"/>
          </w:tcPr>
          <w:p w14:paraId="78358C7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95AE17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9A9E0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FE3A00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A7EEF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52C656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0.538</w:t>
            </w:r>
          </w:p>
        </w:tc>
        <w:tc>
          <w:tcPr>
            <w:tcW w:w="1157" w:type="dxa"/>
            <w:tcBorders>
              <w:top w:val="nil"/>
              <w:left w:val="nil"/>
              <w:bottom w:val="nil"/>
              <w:right w:val="nil"/>
            </w:tcBorders>
            <w:tcMar>
              <w:top w:w="-1" w:type="dxa"/>
              <w:left w:w="-1" w:type="dxa"/>
              <w:bottom w:w="-1" w:type="dxa"/>
              <w:right w:w="-1" w:type="dxa"/>
            </w:tcMar>
            <w:vAlign w:val="center"/>
          </w:tcPr>
          <w:p w14:paraId="1DE3B27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34358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9AB6DA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50B45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C695C6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10A0C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0.699</w:t>
            </w:r>
          </w:p>
        </w:tc>
        <w:tc>
          <w:tcPr>
            <w:tcW w:w="1157" w:type="dxa"/>
            <w:tcBorders>
              <w:top w:val="nil"/>
              <w:left w:val="nil"/>
              <w:bottom w:val="nil"/>
              <w:right w:val="nil"/>
            </w:tcBorders>
            <w:tcMar>
              <w:top w:w="-1" w:type="dxa"/>
              <w:left w:w="-1" w:type="dxa"/>
              <w:bottom w:w="-1" w:type="dxa"/>
              <w:right w:w="-1" w:type="dxa"/>
            </w:tcMar>
            <w:vAlign w:val="center"/>
          </w:tcPr>
          <w:p w14:paraId="5994D9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E6DE9B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2F7AE0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9AF3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3762F9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580D802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0.231</w:t>
            </w:r>
          </w:p>
        </w:tc>
        <w:tc>
          <w:tcPr>
            <w:tcW w:w="1157" w:type="dxa"/>
            <w:tcBorders>
              <w:top w:val="nil"/>
              <w:left w:val="nil"/>
              <w:bottom w:val="nil"/>
              <w:right w:val="nil"/>
            </w:tcBorders>
            <w:tcMar>
              <w:top w:w="-1" w:type="dxa"/>
              <w:left w:w="-1" w:type="dxa"/>
              <w:bottom w:w="-1" w:type="dxa"/>
              <w:right w:w="-1" w:type="dxa"/>
            </w:tcMar>
            <w:vAlign w:val="center"/>
          </w:tcPr>
          <w:p w14:paraId="18FA94D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02CBD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0.045</w:t>
            </w:r>
          </w:p>
        </w:tc>
      </w:tr>
      <w:tr w:rsidR="000B1CCE" w14:paraId="64EBE70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7F9011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6AB980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3FF4727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1FD7962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CA8DB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D6787E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90A76B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794A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1535CD1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-0.179</w:t>
            </w:r>
          </w:p>
        </w:tc>
        <w:tc>
          <w:tcPr>
            <w:tcW w:w="1157" w:type="dxa"/>
            <w:tcBorders>
              <w:top w:val="nil"/>
              <w:left w:val="nil"/>
              <w:bottom w:val="nil"/>
              <w:right w:val="nil"/>
            </w:tcBorders>
            <w:tcMar>
              <w:top w:w="-1" w:type="dxa"/>
              <w:left w:w="-1" w:type="dxa"/>
              <w:bottom w:w="-1" w:type="dxa"/>
              <w:right w:w="-1" w:type="dxa"/>
            </w:tcMar>
            <w:vAlign w:val="center"/>
          </w:tcPr>
          <w:p w14:paraId="4C0ACD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0.040</w:t>
            </w:r>
          </w:p>
        </w:tc>
        <w:tc>
          <w:tcPr>
            <w:tcW w:w="1164" w:type="dxa"/>
            <w:tcBorders>
              <w:top w:val="nil"/>
              <w:left w:val="nil"/>
              <w:bottom w:val="nil"/>
              <w:right w:val="nil"/>
            </w:tcBorders>
            <w:tcMar>
              <w:top w:w="-1" w:type="dxa"/>
              <w:left w:w="-1" w:type="dxa"/>
              <w:bottom w:w="-1" w:type="dxa"/>
              <w:right w:w="-1" w:type="dxa"/>
            </w:tcMar>
            <w:vAlign w:val="center"/>
          </w:tcPr>
          <w:p w14:paraId="556DB9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6803457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7D6DFE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95943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0081DB8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-0.127</w:t>
            </w:r>
          </w:p>
        </w:tc>
        <w:tc>
          <w:tcPr>
            <w:tcW w:w="1157" w:type="dxa"/>
            <w:tcBorders>
              <w:top w:val="nil"/>
              <w:left w:val="nil"/>
              <w:bottom w:val="nil"/>
              <w:right w:val="nil"/>
            </w:tcBorders>
            <w:tcMar>
              <w:top w:w="-1" w:type="dxa"/>
              <w:left w:w="-1" w:type="dxa"/>
              <w:bottom w:w="-1" w:type="dxa"/>
              <w:right w:w="-1" w:type="dxa"/>
            </w:tcMar>
            <w:vAlign w:val="center"/>
          </w:tcPr>
          <w:p w14:paraId="10D0B42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0.113</w:t>
            </w:r>
          </w:p>
        </w:tc>
        <w:tc>
          <w:tcPr>
            <w:tcW w:w="1164" w:type="dxa"/>
            <w:tcBorders>
              <w:top w:val="nil"/>
              <w:left w:val="nil"/>
              <w:bottom w:val="nil"/>
              <w:right w:val="nil"/>
            </w:tcBorders>
            <w:tcMar>
              <w:top w:w="-1" w:type="dxa"/>
              <w:left w:w="-1" w:type="dxa"/>
              <w:bottom w:w="-1" w:type="dxa"/>
              <w:right w:w="-1" w:type="dxa"/>
            </w:tcMar>
            <w:vAlign w:val="center"/>
          </w:tcPr>
          <w:p w14:paraId="319CD0C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0.566</w:t>
            </w:r>
          </w:p>
        </w:tc>
      </w:tr>
      <w:tr w:rsidR="000B1CCE" w14:paraId="31713643"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8DBC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872C1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571EE4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CFB2B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0.692</w:t>
            </w:r>
          </w:p>
        </w:tc>
        <w:tc>
          <w:tcPr>
            <w:tcW w:w="1164" w:type="dxa"/>
            <w:tcBorders>
              <w:top w:val="nil"/>
              <w:left w:val="nil"/>
              <w:bottom w:val="nil"/>
              <w:right w:val="nil"/>
            </w:tcBorders>
            <w:tcMar>
              <w:top w:w="-1" w:type="dxa"/>
              <w:left w:w="-1" w:type="dxa"/>
              <w:bottom w:w="-1" w:type="dxa"/>
              <w:right w:w="-1" w:type="dxa"/>
            </w:tcMar>
            <w:vAlign w:val="center"/>
          </w:tcPr>
          <w:p w14:paraId="210755B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A6DADC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F3B72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B0AAE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298ED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-0.434</w:t>
            </w:r>
          </w:p>
        </w:tc>
        <w:tc>
          <w:tcPr>
            <w:tcW w:w="1157" w:type="dxa"/>
            <w:tcBorders>
              <w:top w:val="nil"/>
              <w:left w:val="nil"/>
              <w:bottom w:val="nil"/>
              <w:right w:val="nil"/>
            </w:tcBorders>
            <w:tcMar>
              <w:top w:w="-1" w:type="dxa"/>
              <w:left w:w="-1" w:type="dxa"/>
              <w:bottom w:w="-1" w:type="dxa"/>
              <w:right w:w="-1" w:type="dxa"/>
            </w:tcMar>
            <w:vAlign w:val="center"/>
          </w:tcPr>
          <w:p w14:paraId="7FD87CE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F3DA19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029CFF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B03F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07093F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59E86EC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-0.198</w:t>
            </w:r>
          </w:p>
        </w:tc>
        <w:tc>
          <w:tcPr>
            <w:tcW w:w="1157" w:type="dxa"/>
            <w:tcBorders>
              <w:top w:val="nil"/>
              <w:left w:val="nil"/>
              <w:bottom w:val="nil"/>
              <w:right w:val="nil"/>
            </w:tcBorders>
            <w:tcMar>
              <w:top w:w="-1" w:type="dxa"/>
              <w:left w:w="-1" w:type="dxa"/>
              <w:bottom w:w="-1" w:type="dxa"/>
              <w:right w:w="-1" w:type="dxa"/>
            </w:tcMar>
            <w:vAlign w:val="center"/>
          </w:tcPr>
          <w:p w14:paraId="44EF77A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0.042</w:t>
            </w:r>
          </w:p>
        </w:tc>
        <w:tc>
          <w:tcPr>
            <w:tcW w:w="1164" w:type="dxa"/>
            <w:tcBorders>
              <w:top w:val="nil"/>
              <w:left w:val="nil"/>
              <w:bottom w:val="nil"/>
              <w:right w:val="nil"/>
            </w:tcBorders>
            <w:tcMar>
              <w:top w:w="-1" w:type="dxa"/>
              <w:left w:w="-1" w:type="dxa"/>
              <w:bottom w:w="-1" w:type="dxa"/>
              <w:right w:w="-1" w:type="dxa"/>
            </w:tcMar>
            <w:vAlign w:val="center"/>
          </w:tcPr>
          <w:p w14:paraId="31CF13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56F3B79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1BD82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A4004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44E9E1D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B89B5C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D0F170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0C867E8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ED8123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23EF44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42E72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0.212</w:t>
            </w:r>
          </w:p>
        </w:tc>
        <w:tc>
          <w:tcPr>
            <w:tcW w:w="1157" w:type="dxa"/>
            <w:tcBorders>
              <w:top w:val="nil"/>
              <w:left w:val="nil"/>
              <w:bottom w:val="nil"/>
              <w:right w:val="nil"/>
            </w:tcBorders>
            <w:tcMar>
              <w:top w:w="-1" w:type="dxa"/>
              <w:left w:w="-1" w:type="dxa"/>
              <w:bottom w:w="-1" w:type="dxa"/>
              <w:right w:w="-1" w:type="dxa"/>
            </w:tcMar>
            <w:vAlign w:val="center"/>
          </w:tcPr>
          <w:p w14:paraId="64EAA9F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0.016</w:t>
            </w:r>
          </w:p>
        </w:tc>
        <w:tc>
          <w:tcPr>
            <w:tcW w:w="1164" w:type="dxa"/>
            <w:tcBorders>
              <w:top w:val="nil"/>
              <w:left w:val="nil"/>
              <w:bottom w:val="nil"/>
              <w:right w:val="nil"/>
            </w:tcBorders>
            <w:tcMar>
              <w:top w:w="-1" w:type="dxa"/>
              <w:left w:w="-1" w:type="dxa"/>
              <w:bottom w:w="-1" w:type="dxa"/>
              <w:right w:w="-1" w:type="dxa"/>
            </w:tcMar>
            <w:vAlign w:val="center"/>
          </w:tcPr>
          <w:p w14:paraId="1987DF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0.172</w:t>
            </w:r>
          </w:p>
        </w:tc>
      </w:tr>
      <w:tr w:rsidR="000B1CCE" w14:paraId="5D7DC5B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EB1B11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1E4100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547D7B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-0.256</w:t>
            </w:r>
          </w:p>
        </w:tc>
        <w:tc>
          <w:tcPr>
            <w:tcW w:w="1157" w:type="dxa"/>
            <w:tcBorders>
              <w:top w:val="nil"/>
              <w:left w:val="nil"/>
              <w:bottom w:val="nil"/>
              <w:right w:val="nil"/>
            </w:tcBorders>
            <w:tcMar>
              <w:top w:w="-1" w:type="dxa"/>
              <w:left w:w="-1" w:type="dxa"/>
              <w:bottom w:w="-1" w:type="dxa"/>
              <w:right w:w="-1" w:type="dxa"/>
            </w:tcMar>
            <w:vAlign w:val="center"/>
          </w:tcPr>
          <w:p w14:paraId="702BC5B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0.005</w:t>
            </w:r>
          </w:p>
        </w:tc>
        <w:tc>
          <w:tcPr>
            <w:tcW w:w="1164" w:type="dxa"/>
            <w:tcBorders>
              <w:top w:val="nil"/>
              <w:left w:val="nil"/>
              <w:bottom w:val="nil"/>
              <w:right w:val="nil"/>
            </w:tcBorders>
            <w:tcMar>
              <w:top w:w="-1" w:type="dxa"/>
              <w:left w:w="-1" w:type="dxa"/>
              <w:bottom w:w="-1" w:type="dxa"/>
              <w:right w:w="-1" w:type="dxa"/>
            </w:tcMar>
            <w:vAlign w:val="center"/>
          </w:tcPr>
          <w:p w14:paraId="5A4D2B2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0.057</w:t>
            </w:r>
          </w:p>
        </w:tc>
      </w:tr>
      <w:tr w:rsidR="000B1CCE" w14:paraId="5D37E1F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D1801E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D0E13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FFF7C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-0.019</w:t>
            </w:r>
          </w:p>
        </w:tc>
        <w:tc>
          <w:tcPr>
            <w:tcW w:w="1157" w:type="dxa"/>
            <w:tcBorders>
              <w:top w:val="nil"/>
              <w:left w:val="nil"/>
              <w:bottom w:val="nil"/>
              <w:right w:val="nil"/>
            </w:tcBorders>
            <w:tcMar>
              <w:top w:w="-1" w:type="dxa"/>
              <w:left w:w="-1" w:type="dxa"/>
              <w:bottom w:w="-1" w:type="dxa"/>
              <w:right w:w="-1" w:type="dxa"/>
            </w:tcMar>
            <w:vAlign w:val="center"/>
          </w:tcPr>
          <w:p w14:paraId="0759F83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0.845</w:t>
            </w:r>
          </w:p>
        </w:tc>
        <w:tc>
          <w:tcPr>
            <w:tcW w:w="1164" w:type="dxa"/>
            <w:tcBorders>
              <w:top w:val="nil"/>
              <w:left w:val="nil"/>
              <w:bottom w:val="nil"/>
              <w:right w:val="nil"/>
            </w:tcBorders>
            <w:tcMar>
              <w:top w:w="-1" w:type="dxa"/>
              <w:left w:w="-1" w:type="dxa"/>
              <w:bottom w:w="-1" w:type="dxa"/>
              <w:right w:w="-1" w:type="dxa"/>
            </w:tcMar>
            <w:vAlign w:val="center"/>
          </w:tcPr>
          <w:p w14:paraId="21949C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5B64A67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E440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6913F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D4D56B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0.161</w:t>
            </w:r>
          </w:p>
        </w:tc>
        <w:tc>
          <w:tcPr>
            <w:tcW w:w="1157" w:type="dxa"/>
            <w:tcBorders>
              <w:top w:val="nil"/>
              <w:left w:val="nil"/>
              <w:bottom w:val="nil"/>
              <w:right w:val="nil"/>
            </w:tcBorders>
            <w:tcMar>
              <w:top w:w="-1" w:type="dxa"/>
              <w:left w:w="-1" w:type="dxa"/>
              <w:bottom w:w="-1" w:type="dxa"/>
              <w:right w:w="-1" w:type="dxa"/>
            </w:tcMar>
            <w:vAlign w:val="center"/>
          </w:tcPr>
          <w:p w14:paraId="0B045D2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64" w:type="dxa"/>
            <w:tcBorders>
              <w:top w:val="nil"/>
              <w:left w:val="nil"/>
              <w:bottom w:val="nil"/>
              <w:right w:val="nil"/>
            </w:tcBorders>
            <w:tcMar>
              <w:top w:w="-1" w:type="dxa"/>
              <w:left w:w="-1" w:type="dxa"/>
              <w:bottom w:w="-1" w:type="dxa"/>
              <w:right w:w="-1" w:type="dxa"/>
            </w:tcMar>
            <w:vAlign w:val="center"/>
          </w:tcPr>
          <w:p w14:paraId="4175B3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543FB3B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F52072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8E955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A87FCD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-0.307</w:t>
            </w:r>
          </w:p>
        </w:tc>
        <w:tc>
          <w:tcPr>
            <w:tcW w:w="1157" w:type="dxa"/>
            <w:tcBorders>
              <w:top w:val="nil"/>
              <w:left w:val="nil"/>
              <w:bottom w:val="nil"/>
              <w:right w:val="nil"/>
            </w:tcBorders>
            <w:tcMar>
              <w:top w:w="-1" w:type="dxa"/>
              <w:left w:w="-1" w:type="dxa"/>
              <w:bottom w:w="-1" w:type="dxa"/>
              <w:right w:w="-1" w:type="dxa"/>
            </w:tcMar>
            <w:vAlign w:val="center"/>
          </w:tcPr>
          <w:p w14:paraId="0DFC03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81E0F5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r>
      <w:tr w:rsidR="000B1CCE" w14:paraId="316399A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ADEE4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E0904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90B084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-0.071</w:t>
            </w:r>
          </w:p>
        </w:tc>
        <w:tc>
          <w:tcPr>
            <w:tcW w:w="1157" w:type="dxa"/>
            <w:tcBorders>
              <w:top w:val="nil"/>
              <w:left w:val="nil"/>
              <w:bottom w:val="nil"/>
              <w:right w:val="nil"/>
            </w:tcBorders>
            <w:tcMar>
              <w:top w:w="-1" w:type="dxa"/>
              <w:left w:w="-1" w:type="dxa"/>
              <w:bottom w:w="-1" w:type="dxa"/>
              <w:right w:w="-1" w:type="dxa"/>
            </w:tcMar>
            <w:vAlign w:val="center"/>
          </w:tcPr>
          <w:p w14:paraId="574926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0.448</w:t>
            </w:r>
          </w:p>
        </w:tc>
        <w:tc>
          <w:tcPr>
            <w:tcW w:w="1164" w:type="dxa"/>
            <w:tcBorders>
              <w:top w:val="nil"/>
              <w:left w:val="nil"/>
              <w:bottom w:val="nil"/>
              <w:right w:val="nil"/>
            </w:tcBorders>
            <w:tcMar>
              <w:top w:w="-1" w:type="dxa"/>
              <w:left w:w="-1" w:type="dxa"/>
              <w:bottom w:w="-1" w:type="dxa"/>
              <w:right w:w="-1" w:type="dxa"/>
            </w:tcMar>
            <w:vAlign w:val="center"/>
          </w:tcPr>
          <w:p w14:paraId="2C4A171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18EA108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50B6C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23BE4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EB6A63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0013D2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3755FD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B39F09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689AB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A8F248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078809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-0.232</w:t>
            </w:r>
          </w:p>
        </w:tc>
        <w:tc>
          <w:tcPr>
            <w:tcW w:w="1157" w:type="dxa"/>
            <w:tcBorders>
              <w:top w:val="nil"/>
              <w:left w:val="nil"/>
              <w:bottom w:val="nil"/>
              <w:right w:val="nil"/>
            </w:tcBorders>
            <w:tcMar>
              <w:top w:w="-1" w:type="dxa"/>
              <w:left w:w="-1" w:type="dxa"/>
              <w:bottom w:w="-1" w:type="dxa"/>
              <w:right w:w="-1" w:type="dxa"/>
            </w:tcMar>
            <w:vAlign w:val="center"/>
          </w:tcPr>
          <w:p w14:paraId="59EA1A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04FD79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1AA5F12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8D016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F9C6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63BCB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0.236</w:t>
            </w:r>
          </w:p>
        </w:tc>
        <w:tc>
          <w:tcPr>
            <w:tcW w:w="1157" w:type="dxa"/>
            <w:tcBorders>
              <w:top w:val="nil"/>
              <w:left w:val="nil"/>
              <w:bottom w:val="nil"/>
              <w:right w:val="nil"/>
            </w:tcBorders>
            <w:tcMar>
              <w:top w:w="-1" w:type="dxa"/>
              <w:left w:w="-1" w:type="dxa"/>
              <w:bottom w:w="-1" w:type="dxa"/>
              <w:right w:w="-1" w:type="dxa"/>
            </w:tcMar>
            <w:vAlign w:val="center"/>
          </w:tcPr>
          <w:p w14:paraId="0EF724B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A48EC8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3ECB5B2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2101F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C544AC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78C662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DC2915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C4E316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AD7EAB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A7482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2CE469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3E77AA1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0.501</w:t>
            </w:r>
          </w:p>
        </w:tc>
        <w:tc>
          <w:tcPr>
            <w:tcW w:w="1157" w:type="dxa"/>
            <w:tcBorders>
              <w:top w:val="nil"/>
              <w:left w:val="nil"/>
              <w:bottom w:val="nil"/>
              <w:right w:val="nil"/>
            </w:tcBorders>
            <w:tcMar>
              <w:top w:w="-1" w:type="dxa"/>
              <w:left w:w="-1" w:type="dxa"/>
              <w:bottom w:w="-1" w:type="dxa"/>
              <w:right w:w="-1" w:type="dxa"/>
            </w:tcMar>
            <w:vAlign w:val="center"/>
          </w:tcPr>
          <w:p w14:paraId="0FC4D88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B459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A4E8A0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8543DD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2D4D5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7A11F69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E2CD8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9868F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2FB9C2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211A2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998D8F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7C8A42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0.605</w:t>
            </w:r>
          </w:p>
        </w:tc>
        <w:tc>
          <w:tcPr>
            <w:tcW w:w="1157" w:type="dxa"/>
            <w:tcBorders>
              <w:top w:val="nil"/>
              <w:left w:val="nil"/>
              <w:bottom w:val="nil"/>
              <w:right w:val="nil"/>
            </w:tcBorders>
            <w:tcMar>
              <w:top w:w="-1" w:type="dxa"/>
              <w:left w:w="-1" w:type="dxa"/>
              <w:bottom w:w="-1" w:type="dxa"/>
              <w:right w:w="-1" w:type="dxa"/>
            </w:tcMar>
            <w:vAlign w:val="center"/>
          </w:tcPr>
          <w:p w14:paraId="574EEC0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9C26D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4EDE82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9A26AF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6EE8E0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8CB7C8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0.229</w:t>
            </w:r>
          </w:p>
        </w:tc>
        <w:tc>
          <w:tcPr>
            <w:tcW w:w="1157" w:type="dxa"/>
            <w:tcBorders>
              <w:top w:val="nil"/>
              <w:left w:val="nil"/>
              <w:bottom w:val="nil"/>
              <w:right w:val="nil"/>
            </w:tcBorders>
            <w:tcMar>
              <w:top w:w="-1" w:type="dxa"/>
              <w:left w:w="-1" w:type="dxa"/>
              <w:bottom w:w="-1" w:type="dxa"/>
              <w:right w:w="-1" w:type="dxa"/>
            </w:tcMar>
            <w:vAlign w:val="center"/>
          </w:tcPr>
          <w:p w14:paraId="3174F10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c>
          <w:tcPr>
            <w:tcW w:w="1164" w:type="dxa"/>
            <w:tcBorders>
              <w:top w:val="nil"/>
              <w:left w:val="nil"/>
              <w:bottom w:val="nil"/>
              <w:right w:val="nil"/>
            </w:tcBorders>
            <w:tcMar>
              <w:top w:w="-1" w:type="dxa"/>
              <w:left w:w="-1" w:type="dxa"/>
              <w:bottom w:w="-1" w:type="dxa"/>
              <w:right w:w="-1" w:type="dxa"/>
            </w:tcMar>
            <w:vAlign w:val="center"/>
          </w:tcPr>
          <w:p w14:paraId="6E4E82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0.043</w:t>
            </w:r>
          </w:p>
        </w:tc>
      </w:tr>
      <w:tr w:rsidR="000B1CCE" w14:paraId="592389B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F13E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52F580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2F4C5D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0.454</w:t>
            </w:r>
          </w:p>
        </w:tc>
        <w:tc>
          <w:tcPr>
            <w:tcW w:w="1157" w:type="dxa"/>
            <w:tcBorders>
              <w:top w:val="nil"/>
              <w:left w:val="nil"/>
              <w:bottom w:val="nil"/>
              <w:right w:val="nil"/>
            </w:tcBorders>
            <w:tcMar>
              <w:top w:w="-1" w:type="dxa"/>
              <w:left w:w="-1" w:type="dxa"/>
              <w:bottom w:w="-1" w:type="dxa"/>
              <w:right w:w="-1" w:type="dxa"/>
            </w:tcMar>
            <w:vAlign w:val="center"/>
          </w:tcPr>
          <w:p w14:paraId="1F993B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490FC1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4817E3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682F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EE9229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20E1804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-0.138</w:t>
            </w:r>
          </w:p>
        </w:tc>
        <w:tc>
          <w:tcPr>
            <w:tcW w:w="1157" w:type="dxa"/>
            <w:tcBorders>
              <w:top w:val="nil"/>
              <w:left w:val="nil"/>
              <w:bottom w:val="nil"/>
              <w:right w:val="nil"/>
            </w:tcBorders>
            <w:tcMar>
              <w:top w:w="-1" w:type="dxa"/>
              <w:left w:w="-1" w:type="dxa"/>
              <w:bottom w:w="-1" w:type="dxa"/>
              <w:right w:w="-1" w:type="dxa"/>
            </w:tcMar>
            <w:vAlign w:val="center"/>
          </w:tcPr>
          <w:p w14:paraId="06031A2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0.098</w:t>
            </w:r>
          </w:p>
        </w:tc>
        <w:tc>
          <w:tcPr>
            <w:tcW w:w="1164" w:type="dxa"/>
            <w:tcBorders>
              <w:top w:val="nil"/>
              <w:left w:val="nil"/>
              <w:bottom w:val="nil"/>
              <w:right w:val="nil"/>
            </w:tcBorders>
            <w:tcMar>
              <w:top w:w="-1" w:type="dxa"/>
              <w:left w:w="-1" w:type="dxa"/>
              <w:bottom w:w="-1" w:type="dxa"/>
              <w:right w:w="-1" w:type="dxa"/>
            </w:tcMar>
            <w:vAlign w:val="center"/>
          </w:tcPr>
          <w:p w14:paraId="4010304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0.782</w:t>
            </w:r>
          </w:p>
        </w:tc>
      </w:tr>
      <w:tr w:rsidR="000B1CCE" w14:paraId="4980F84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77C1D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F72158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66B14F5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-0.156</w:t>
            </w:r>
          </w:p>
        </w:tc>
        <w:tc>
          <w:tcPr>
            <w:tcW w:w="1157" w:type="dxa"/>
            <w:tcBorders>
              <w:top w:val="nil"/>
              <w:left w:val="nil"/>
              <w:bottom w:val="nil"/>
              <w:right w:val="nil"/>
            </w:tcBorders>
            <w:tcMar>
              <w:top w:w="-1" w:type="dxa"/>
              <w:left w:w="-1" w:type="dxa"/>
              <w:bottom w:w="-1" w:type="dxa"/>
              <w:right w:w="-1" w:type="dxa"/>
            </w:tcMar>
            <w:vAlign w:val="center"/>
          </w:tcPr>
          <w:p w14:paraId="3B3D67E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0.048</w:t>
            </w:r>
          </w:p>
        </w:tc>
        <w:tc>
          <w:tcPr>
            <w:tcW w:w="1164" w:type="dxa"/>
            <w:tcBorders>
              <w:top w:val="nil"/>
              <w:left w:val="nil"/>
              <w:bottom w:val="nil"/>
              <w:right w:val="nil"/>
            </w:tcBorders>
            <w:tcMar>
              <w:top w:w="-1" w:type="dxa"/>
              <w:left w:w="-1" w:type="dxa"/>
              <w:bottom w:w="-1" w:type="dxa"/>
              <w:right w:w="-1" w:type="dxa"/>
            </w:tcMar>
            <w:vAlign w:val="center"/>
          </w:tcPr>
          <w:p w14:paraId="3DC8556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0.478</w:t>
            </w:r>
          </w:p>
        </w:tc>
      </w:tr>
      <w:tr w:rsidR="000B1CCE" w14:paraId="28FF38A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C1ADE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398F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0347A7A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6EF7397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D64398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382B93D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22DEF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746493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E73940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-0.410</w:t>
            </w:r>
          </w:p>
        </w:tc>
        <w:tc>
          <w:tcPr>
            <w:tcW w:w="1157" w:type="dxa"/>
            <w:tcBorders>
              <w:top w:val="nil"/>
              <w:left w:val="nil"/>
              <w:bottom w:val="nil"/>
              <w:right w:val="nil"/>
            </w:tcBorders>
            <w:tcMar>
              <w:top w:w="-1" w:type="dxa"/>
              <w:left w:w="-1" w:type="dxa"/>
              <w:bottom w:w="-1" w:type="dxa"/>
              <w:right w:w="-1" w:type="dxa"/>
            </w:tcMar>
            <w:vAlign w:val="center"/>
          </w:tcPr>
          <w:p w14:paraId="3303A5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DE152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5CFD09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AD3CFD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ADA179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BC6FE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-0.185</w:t>
            </w:r>
          </w:p>
        </w:tc>
        <w:tc>
          <w:tcPr>
            <w:tcW w:w="1157" w:type="dxa"/>
            <w:tcBorders>
              <w:top w:val="nil"/>
              <w:left w:val="nil"/>
              <w:bottom w:val="nil"/>
              <w:right w:val="nil"/>
            </w:tcBorders>
            <w:tcMar>
              <w:top w:w="-1" w:type="dxa"/>
              <w:left w:w="-1" w:type="dxa"/>
              <w:bottom w:w="-1" w:type="dxa"/>
              <w:right w:w="-1" w:type="dxa"/>
            </w:tcMar>
            <w:vAlign w:val="center"/>
          </w:tcPr>
          <w:p w14:paraId="6C0D138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CB34E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0.484</w:t>
            </w:r>
          </w:p>
        </w:tc>
      </w:tr>
      <w:tr w:rsidR="000B1CCE" w14:paraId="05C95C8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820AE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7E9BFF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5D759A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57" w:type="dxa"/>
            <w:tcBorders>
              <w:top w:val="nil"/>
              <w:left w:val="nil"/>
              <w:bottom w:val="nil"/>
              <w:right w:val="nil"/>
            </w:tcBorders>
            <w:tcMar>
              <w:top w:w="-1" w:type="dxa"/>
              <w:left w:w="-1" w:type="dxa"/>
              <w:bottom w:w="-1" w:type="dxa"/>
              <w:right w:w="-1" w:type="dxa"/>
            </w:tcMar>
            <w:vAlign w:val="center"/>
          </w:tcPr>
          <w:p w14:paraId="03AD71B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0.821</w:t>
            </w:r>
          </w:p>
        </w:tc>
        <w:tc>
          <w:tcPr>
            <w:tcW w:w="1164" w:type="dxa"/>
            <w:tcBorders>
              <w:top w:val="nil"/>
              <w:left w:val="nil"/>
              <w:bottom w:val="nil"/>
              <w:right w:val="nil"/>
            </w:tcBorders>
            <w:tcMar>
              <w:top w:w="-1" w:type="dxa"/>
              <w:left w:w="-1" w:type="dxa"/>
              <w:bottom w:w="-1" w:type="dxa"/>
              <w:right w:w="-1" w:type="dxa"/>
            </w:tcMar>
            <w:vAlign w:val="center"/>
          </w:tcPr>
          <w:p w14:paraId="2FEF2E2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AC3290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8EEF4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21702C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7D25FC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0.104</w:t>
            </w:r>
          </w:p>
        </w:tc>
        <w:tc>
          <w:tcPr>
            <w:tcW w:w="1157" w:type="dxa"/>
            <w:tcBorders>
              <w:top w:val="nil"/>
              <w:left w:val="nil"/>
              <w:bottom w:val="nil"/>
              <w:right w:val="nil"/>
            </w:tcBorders>
            <w:tcMar>
              <w:top w:w="-1" w:type="dxa"/>
              <w:left w:w="-1" w:type="dxa"/>
              <w:bottom w:w="-1" w:type="dxa"/>
              <w:right w:w="-1" w:type="dxa"/>
            </w:tcMar>
            <w:vAlign w:val="center"/>
          </w:tcPr>
          <w:p w14:paraId="0CB0A3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0.224</w:t>
            </w:r>
          </w:p>
        </w:tc>
        <w:tc>
          <w:tcPr>
            <w:tcW w:w="1164" w:type="dxa"/>
            <w:tcBorders>
              <w:top w:val="nil"/>
              <w:left w:val="nil"/>
              <w:bottom w:val="nil"/>
              <w:right w:val="nil"/>
            </w:tcBorders>
            <w:tcMar>
              <w:top w:w="-1" w:type="dxa"/>
              <w:left w:w="-1" w:type="dxa"/>
              <w:bottom w:w="-1" w:type="dxa"/>
              <w:right w:w="-1" w:type="dxa"/>
            </w:tcMar>
            <w:vAlign w:val="center"/>
          </w:tcPr>
          <w:p w14:paraId="6F6AAED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3D9A6DD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C09DC2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150234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A673E5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-0.272</w:t>
            </w:r>
          </w:p>
        </w:tc>
        <w:tc>
          <w:tcPr>
            <w:tcW w:w="1157" w:type="dxa"/>
            <w:tcBorders>
              <w:top w:val="nil"/>
              <w:left w:val="nil"/>
              <w:bottom w:val="nil"/>
              <w:right w:val="nil"/>
            </w:tcBorders>
            <w:tcMar>
              <w:top w:w="-1" w:type="dxa"/>
              <w:left w:w="-1" w:type="dxa"/>
              <w:bottom w:w="-1" w:type="dxa"/>
              <w:right w:w="-1" w:type="dxa"/>
            </w:tcMar>
            <w:vAlign w:val="center"/>
          </w:tcPr>
          <w:p w14:paraId="65CEF1E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4F2445E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r>
      <w:tr w:rsidR="000B1CCE" w14:paraId="3801D59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8755A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920A8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4EAFE9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57" w:type="dxa"/>
            <w:tcBorders>
              <w:top w:val="nil"/>
              <w:left w:val="nil"/>
              <w:bottom w:val="nil"/>
              <w:right w:val="nil"/>
            </w:tcBorders>
            <w:tcMar>
              <w:top w:w="-1" w:type="dxa"/>
              <w:left w:w="-1" w:type="dxa"/>
              <w:bottom w:w="-1" w:type="dxa"/>
              <w:right w:w="-1" w:type="dxa"/>
            </w:tcMar>
            <w:vAlign w:val="center"/>
          </w:tcPr>
          <w:p w14:paraId="7635FDA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05215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9D840E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96B5DE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FDC6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30B3F73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57" w:type="dxa"/>
            <w:tcBorders>
              <w:top w:val="nil"/>
              <w:left w:val="nil"/>
              <w:bottom w:val="nil"/>
              <w:right w:val="nil"/>
            </w:tcBorders>
            <w:tcMar>
              <w:top w:w="-1" w:type="dxa"/>
              <w:left w:w="-1" w:type="dxa"/>
              <w:bottom w:w="-1" w:type="dxa"/>
              <w:right w:w="-1" w:type="dxa"/>
            </w:tcMar>
            <w:vAlign w:val="center"/>
          </w:tcPr>
          <w:p w14:paraId="031F91A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0.133</w:t>
            </w:r>
          </w:p>
        </w:tc>
        <w:tc>
          <w:tcPr>
            <w:tcW w:w="1164" w:type="dxa"/>
            <w:tcBorders>
              <w:top w:val="nil"/>
              <w:left w:val="nil"/>
              <w:bottom w:val="nil"/>
              <w:right w:val="nil"/>
            </w:tcBorders>
            <w:tcMar>
              <w:top w:w="-1" w:type="dxa"/>
              <w:left w:w="-1" w:type="dxa"/>
              <w:bottom w:w="-1" w:type="dxa"/>
              <w:right w:w="-1" w:type="dxa"/>
            </w:tcMar>
            <w:vAlign w:val="center"/>
          </w:tcPr>
          <w:p w14:paraId="6D22C4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6D281C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83DF0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B3877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049F5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05266B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543AC1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0.032</w:t>
            </w:r>
          </w:p>
        </w:tc>
      </w:tr>
      <w:tr w:rsidR="000B1CCE" w14:paraId="5FAF16EA"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6D7391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lastRenderedPageBreak/>
              <w:t>情绪调节</w:t>
            </w:r>
          </w:p>
        </w:tc>
        <w:tc>
          <w:tcPr>
            <w:tcW w:w="3242" w:type="dxa"/>
            <w:tcBorders>
              <w:top w:val="nil"/>
              <w:left w:val="nil"/>
              <w:bottom w:val="nil"/>
              <w:right w:val="nil"/>
            </w:tcBorders>
            <w:tcMar>
              <w:top w:w="-1" w:type="dxa"/>
              <w:left w:w="-1" w:type="dxa"/>
              <w:bottom w:w="-1" w:type="dxa"/>
              <w:right w:w="-1" w:type="dxa"/>
            </w:tcMar>
            <w:vAlign w:val="center"/>
          </w:tcPr>
          <w:p w14:paraId="79B724A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20675C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c>
          <w:tcPr>
            <w:tcW w:w="1157" w:type="dxa"/>
            <w:tcBorders>
              <w:top w:val="nil"/>
              <w:left w:val="nil"/>
              <w:bottom w:val="nil"/>
              <w:right w:val="nil"/>
            </w:tcBorders>
            <w:tcMar>
              <w:top w:w="-1" w:type="dxa"/>
              <w:left w:w="-1" w:type="dxa"/>
              <w:bottom w:w="-1" w:type="dxa"/>
              <w:right w:w="-1" w:type="dxa"/>
            </w:tcMar>
            <w:vAlign w:val="center"/>
          </w:tcPr>
          <w:p w14:paraId="4CE071D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0.760</w:t>
            </w:r>
          </w:p>
        </w:tc>
        <w:tc>
          <w:tcPr>
            <w:tcW w:w="1164" w:type="dxa"/>
            <w:tcBorders>
              <w:top w:val="nil"/>
              <w:left w:val="nil"/>
              <w:bottom w:val="nil"/>
              <w:right w:val="nil"/>
            </w:tcBorders>
            <w:tcMar>
              <w:top w:w="-1" w:type="dxa"/>
              <w:left w:w="-1" w:type="dxa"/>
              <w:bottom w:w="-1" w:type="dxa"/>
              <w:right w:w="-1" w:type="dxa"/>
            </w:tcMar>
            <w:vAlign w:val="center"/>
          </w:tcPr>
          <w:p w14:paraId="597B06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433D27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B0EEAA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4C9B6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23F281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-0.376</w:t>
            </w:r>
          </w:p>
        </w:tc>
        <w:tc>
          <w:tcPr>
            <w:tcW w:w="1157" w:type="dxa"/>
            <w:tcBorders>
              <w:top w:val="nil"/>
              <w:left w:val="nil"/>
              <w:bottom w:val="nil"/>
              <w:right w:val="nil"/>
            </w:tcBorders>
            <w:tcMar>
              <w:top w:w="-1" w:type="dxa"/>
              <w:left w:w="-1" w:type="dxa"/>
              <w:bottom w:w="-1" w:type="dxa"/>
              <w:right w:w="-1" w:type="dxa"/>
            </w:tcMar>
            <w:vAlign w:val="center"/>
          </w:tcPr>
          <w:p w14:paraId="2963D4B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5E3E7B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704A55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C2719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2FC74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4A08D80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-0.151</w:t>
            </w:r>
          </w:p>
        </w:tc>
        <w:tc>
          <w:tcPr>
            <w:tcW w:w="1157" w:type="dxa"/>
            <w:tcBorders>
              <w:top w:val="nil"/>
              <w:left w:val="nil"/>
              <w:bottom w:val="nil"/>
              <w:right w:val="nil"/>
            </w:tcBorders>
            <w:tcMar>
              <w:top w:w="-1" w:type="dxa"/>
              <w:left w:w="-1" w:type="dxa"/>
              <w:bottom w:w="-1" w:type="dxa"/>
              <w:right w:w="-1" w:type="dxa"/>
            </w:tcMar>
            <w:vAlign w:val="center"/>
          </w:tcPr>
          <w:p w14:paraId="50550A0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64" w:type="dxa"/>
            <w:tcBorders>
              <w:top w:val="nil"/>
              <w:left w:val="nil"/>
              <w:bottom w:val="nil"/>
              <w:right w:val="nil"/>
            </w:tcBorders>
            <w:tcMar>
              <w:top w:w="-1" w:type="dxa"/>
              <w:left w:w="-1" w:type="dxa"/>
              <w:bottom w:w="-1" w:type="dxa"/>
              <w:right w:w="-1" w:type="dxa"/>
            </w:tcMar>
            <w:vAlign w:val="center"/>
          </w:tcPr>
          <w:p w14:paraId="696F1E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582B52E2" w14:textId="77777777">
        <w:trPr>
          <w:jc w:val="center"/>
        </w:trPr>
        <w:tc>
          <w:tcPr>
            <w:tcW w:w="1637" w:type="dxa"/>
            <w:tcBorders>
              <w:top w:val="nil"/>
              <w:left w:val="nil"/>
              <w:bottom w:val="single" w:sz="12" w:space="0" w:color="000000"/>
              <w:right w:val="nil"/>
            </w:tcBorders>
            <w:tcMar>
              <w:top w:w="-1" w:type="dxa"/>
              <w:left w:w="-1" w:type="dxa"/>
              <w:bottom w:w="-1" w:type="dxa"/>
              <w:right w:w="-1" w:type="dxa"/>
            </w:tcMar>
            <w:vAlign w:val="center"/>
          </w:tcPr>
          <w:p w14:paraId="384764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single" w:sz="12" w:space="0" w:color="000000"/>
              <w:right w:val="nil"/>
            </w:tcBorders>
            <w:tcMar>
              <w:top w:w="-1" w:type="dxa"/>
              <w:left w:w="-1" w:type="dxa"/>
              <w:bottom w:w="-1" w:type="dxa"/>
              <w:right w:w="-1" w:type="dxa"/>
            </w:tcMar>
            <w:vAlign w:val="center"/>
          </w:tcPr>
          <w:p w14:paraId="25D62D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single" w:sz="12" w:space="0" w:color="000000"/>
              <w:right w:val="nil"/>
            </w:tcBorders>
            <w:tcMar>
              <w:top w:w="-1" w:type="dxa"/>
              <w:left w:w="-1" w:type="dxa"/>
              <w:bottom w:w="-1" w:type="dxa"/>
              <w:right w:w="-1" w:type="dxa"/>
            </w:tcMar>
            <w:vAlign w:val="center"/>
          </w:tcPr>
          <w:p w14:paraId="248C10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0.225</w:t>
            </w:r>
          </w:p>
        </w:tc>
        <w:tc>
          <w:tcPr>
            <w:tcW w:w="1157" w:type="dxa"/>
            <w:tcBorders>
              <w:top w:val="nil"/>
              <w:left w:val="nil"/>
              <w:bottom w:val="single" w:sz="12" w:space="0" w:color="000000"/>
              <w:right w:val="nil"/>
            </w:tcBorders>
            <w:tcMar>
              <w:top w:w="-1" w:type="dxa"/>
              <w:left w:w="-1" w:type="dxa"/>
              <w:bottom w:w="-1" w:type="dxa"/>
              <w:right w:w="-1" w:type="dxa"/>
            </w:tcMar>
            <w:vAlign w:val="center"/>
          </w:tcPr>
          <w:p w14:paraId="2C5D81A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0.024</w:t>
            </w:r>
          </w:p>
        </w:tc>
        <w:tc>
          <w:tcPr>
            <w:tcW w:w="1164" w:type="dxa"/>
            <w:tcBorders>
              <w:top w:val="nil"/>
              <w:left w:val="nil"/>
              <w:bottom w:val="single" w:sz="12" w:space="0" w:color="000000"/>
              <w:right w:val="nil"/>
            </w:tcBorders>
            <w:tcMar>
              <w:top w:w="-1" w:type="dxa"/>
              <w:left w:w="-1" w:type="dxa"/>
              <w:bottom w:w="-1" w:type="dxa"/>
              <w:right w:w="-1" w:type="dxa"/>
            </w:tcMar>
            <w:vAlign w:val="center"/>
          </w:tcPr>
          <w:p w14:paraId="1A44B04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0.262</w:t>
            </w:r>
          </w:p>
        </w:tc>
      </w:tr>
    </w:tbl>
    <w:p w14:paraId="11177FB2"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合作共情在七个年级均为各自七维中的相对高分项，创造在七至十二年级均为相对低分项，表明多方案生成具有跨年级的培育需求。</w:t>
      </w:r>
      <w:r>
        <w:rPr>
          <w:rFonts w:ascii="Times New Roman" w:eastAsia="宋体" w:hAnsi="Times New Roman" w:cs="Times New Roman"/>
          <w:kern w:val="0"/>
          <w:sz w:val="24"/>
        </w:rPr>
        <w:t>六年级总体自评较积极，七年级和十年级部分内容相对较低，十一年级在高中阶段相对较高。两两比较采用</w:t>
      </w:r>
      <w:r>
        <w:rPr>
          <w:rFonts w:ascii="Times New Roman" w:eastAsia="宋体" w:hAnsi="Times New Roman" w:cs="Times New Roman"/>
          <w:kern w:val="0"/>
          <w:sz w:val="24"/>
        </w:rPr>
        <w:t>Welch t</w:t>
      </w:r>
      <w:r>
        <w:rPr>
          <w:rFonts w:ascii="Times New Roman" w:eastAsia="宋体" w:hAnsi="Times New Roman" w:cs="Times New Roman"/>
          <w:kern w:val="0"/>
          <w:sz w:val="24"/>
        </w:rPr>
        <w:t>检验，分别在每个维度的</w:t>
      </w:r>
      <w:r>
        <w:rPr>
          <w:rFonts w:ascii="Times New Roman" w:eastAsia="宋体" w:hAnsi="Times New Roman" w:cs="Times New Roman"/>
          <w:kern w:val="0"/>
          <w:sz w:val="24"/>
        </w:rPr>
        <w:t>21</w:t>
      </w:r>
      <w:r>
        <w:rPr>
          <w:rFonts w:ascii="Times New Roman" w:eastAsia="宋体" w:hAnsi="Times New Roman" w:cs="Times New Roman"/>
          <w:kern w:val="0"/>
          <w:sz w:val="24"/>
        </w:rPr>
        <w:t>组比较中进行</w:t>
      </w:r>
      <w:r>
        <w:rPr>
          <w:rFonts w:ascii="Times New Roman" w:eastAsia="宋体" w:hAnsi="Times New Roman" w:cs="Times New Roman"/>
          <w:kern w:val="0"/>
          <w:sz w:val="24"/>
        </w:rPr>
        <w:t>Holm</w:t>
      </w:r>
      <w:r>
        <w:rPr>
          <w:rFonts w:ascii="Times New Roman" w:eastAsia="宋体" w:hAnsi="Times New Roman" w:cs="Times New Roman"/>
          <w:kern w:val="0"/>
          <w:sz w:val="24"/>
        </w:rPr>
        <w:t>校正。结果为分层支持提供线索，年级差异的形成原因仍需结合课程任务和学生学习经历考察。</w:t>
      </w:r>
    </w:p>
    <w:p w14:paraId="4D8A901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3-12  </w:t>
      </w:r>
      <w:r>
        <w:rPr>
          <w:rFonts w:ascii="Times New Roman" w:eastAsia="黑体" w:hAnsi="Times New Roman" w:cs="Times New Roman"/>
          <w:kern w:val="0"/>
        </w:rPr>
        <w:t>学生高阶能力前测得分的初高中差异检验结果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99"/>
        <w:gridCol w:w="1481"/>
        <w:gridCol w:w="1481"/>
        <w:gridCol w:w="1379"/>
        <w:gridCol w:w="1379"/>
      </w:tblGrid>
      <w:tr w:rsidR="000B1CCE" w14:paraId="47A0F18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7C7176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D8A73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初中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1941E6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高中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5E65E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1379"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790426"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r>
      <w:tr w:rsidR="000B1CCE" w14:paraId="63BDF2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5FC6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695F52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3.991</w:t>
            </w:r>
          </w:p>
        </w:tc>
        <w:tc>
          <w:tcPr>
            <w:tcW w:w="0" w:type="auto"/>
            <w:tcBorders>
              <w:top w:val="nil"/>
              <w:left w:val="nil"/>
              <w:bottom w:val="nil"/>
              <w:right w:val="nil"/>
            </w:tcBorders>
            <w:tcMar>
              <w:top w:w="-1" w:type="dxa"/>
              <w:left w:w="-1" w:type="dxa"/>
              <w:bottom w:w="-1" w:type="dxa"/>
              <w:right w:w="-1" w:type="dxa"/>
            </w:tcMar>
            <w:vAlign w:val="center"/>
          </w:tcPr>
          <w:p w14:paraId="08FF3B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4.004</w:t>
            </w:r>
          </w:p>
        </w:tc>
        <w:tc>
          <w:tcPr>
            <w:tcW w:w="0" w:type="auto"/>
            <w:tcBorders>
              <w:top w:val="nil"/>
              <w:left w:val="nil"/>
              <w:bottom w:val="nil"/>
              <w:right w:val="nil"/>
            </w:tcBorders>
            <w:tcMar>
              <w:top w:w="-1" w:type="dxa"/>
              <w:left w:w="-1" w:type="dxa"/>
              <w:bottom w:w="-1" w:type="dxa"/>
              <w:right w:w="-1" w:type="dxa"/>
            </w:tcMar>
            <w:vAlign w:val="center"/>
          </w:tcPr>
          <w:p w14:paraId="42A23E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0.763</w:t>
            </w:r>
          </w:p>
        </w:tc>
        <w:tc>
          <w:tcPr>
            <w:tcW w:w="1379" w:type="dxa"/>
            <w:tcBorders>
              <w:top w:val="nil"/>
              <w:left w:val="nil"/>
              <w:bottom w:val="nil"/>
              <w:right w:val="nil"/>
            </w:tcBorders>
            <w:tcMar>
              <w:top w:w="-1" w:type="dxa"/>
              <w:left w:w="-1" w:type="dxa"/>
              <w:bottom w:w="-1" w:type="dxa"/>
              <w:right w:w="-1" w:type="dxa"/>
            </w:tcMar>
            <w:vAlign w:val="center"/>
          </w:tcPr>
          <w:p w14:paraId="6532AA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528EED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06136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923013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5EF1F6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039867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08C1FD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E1A64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5FF8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22DAF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46434D1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1EF214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48187A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073C0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57D17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B00F5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5ED234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414616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38D1B7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B13AB6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AAE3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5DF6E7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6416ED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5E90AE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6F7FF6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253E3B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A3A2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0C9459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323C4A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4DF251D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643A22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D1B06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F84CE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04E8EB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7697CD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38B1A4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20ECE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4F05C9A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D380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D052C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4A80A4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43343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7DB620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C67F1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1551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8DCBD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57668E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46A96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580BEB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78C4B794" w14:textId="77777777">
        <w:trPr>
          <w:jc w:val="center"/>
        </w:trPr>
        <w:tc>
          <w:tcPr>
            <w:tcW w:w="2799" w:type="dxa"/>
            <w:tcBorders>
              <w:top w:val="nil"/>
              <w:left w:val="nil"/>
              <w:bottom w:val="single" w:sz="12" w:space="0" w:color="000000"/>
              <w:right w:val="nil"/>
            </w:tcBorders>
            <w:tcMar>
              <w:top w:w="-1" w:type="dxa"/>
              <w:left w:w="-1" w:type="dxa"/>
              <w:bottom w:w="-1" w:type="dxa"/>
              <w:right w:w="-1" w:type="dxa"/>
            </w:tcMar>
            <w:vAlign w:val="center"/>
          </w:tcPr>
          <w:p w14:paraId="1AA560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557105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4.010</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6BE03F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14E0B0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0.404</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0AEB1D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bl>
    <w:p w14:paraId="2DC3B183"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初高中比较提供学段层面的概括，年级分析则进一步呈现学段内部的差异。两者共同用于确定学校教学支持的安排。</w:t>
      </w:r>
    </w:p>
    <w:p w14:paraId="477DB51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初高中整体均值分别为</w:t>
      </w:r>
      <w:r>
        <w:rPr>
          <w:rFonts w:ascii="Times New Roman" w:eastAsia="宋体" w:hAnsi="Times New Roman" w:cs="Times New Roman"/>
          <w:kern w:val="0"/>
          <w:sz w:val="24"/>
        </w:rPr>
        <w:t>3.991</w:t>
      </w:r>
      <w:r>
        <w:rPr>
          <w:rFonts w:ascii="Times New Roman" w:eastAsia="宋体" w:hAnsi="Times New Roman" w:cs="Times New Roman"/>
          <w:kern w:val="0"/>
          <w:sz w:val="24"/>
        </w:rPr>
        <w:t>和</w:t>
      </w:r>
      <w:r>
        <w:rPr>
          <w:rFonts w:ascii="Times New Roman" w:eastAsia="宋体" w:hAnsi="Times New Roman" w:cs="Times New Roman"/>
          <w:kern w:val="0"/>
          <w:sz w:val="24"/>
        </w:rPr>
        <w:t>4.004</w:t>
      </w:r>
      <w:r>
        <w:rPr>
          <w:rFonts w:ascii="Times New Roman" w:eastAsia="宋体" w:hAnsi="Times New Roman" w:cs="Times New Roman"/>
          <w:kern w:val="0"/>
          <w:sz w:val="24"/>
        </w:rPr>
        <w:t>，十项比较经校正均未达到统计显著水平；七个年级的总体比较则均达到校正后的显著水平，创造的描述性</w:t>
      </w:r>
      <w:r>
        <w:rPr>
          <w:rFonts w:ascii="Times New Roman" w:eastAsia="宋体" w:hAnsi="Times New Roman" w:cs="Times New Roman"/>
          <w:kern w:val="0"/>
          <w:sz w:val="24"/>
        </w:rPr>
        <w:t>η²</w:t>
      </w:r>
      <w:r>
        <w:rPr>
          <w:rFonts w:ascii="Times New Roman" w:eastAsia="宋体" w:hAnsi="Times New Roman" w:cs="Times New Roman"/>
          <w:kern w:val="0"/>
          <w:sz w:val="24"/>
        </w:rPr>
        <w:t>为</w:t>
      </w:r>
      <w:r>
        <w:rPr>
          <w:rFonts w:ascii="Times New Roman" w:eastAsia="宋体" w:hAnsi="Times New Roman" w:cs="Times New Roman"/>
          <w:kern w:val="0"/>
          <w:sz w:val="24"/>
        </w:rPr>
        <w:t>0.074</w:t>
      </w:r>
      <w:r>
        <w:rPr>
          <w:rFonts w:ascii="Times New Roman" w:eastAsia="宋体" w:hAnsi="Times New Roman" w:cs="Times New Roman"/>
          <w:kern w:val="0"/>
          <w:sz w:val="24"/>
        </w:rPr>
        <w:t>。仅按学段汇总，容易忽略具体年级的特点。学校在保持共同能力目标的同时，应结合年级和班级任务表现调整探究难度、准备资源及反馈方式。</w:t>
      </w:r>
    </w:p>
    <w:p w14:paraId="3C99570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）性别差异与效应量</w:t>
      </w:r>
    </w:p>
    <w:p w14:paraId="61AB697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3-13  </w:t>
      </w:r>
      <w:r>
        <w:rPr>
          <w:rFonts w:ascii="Times New Roman" w:eastAsia="黑体" w:hAnsi="Times New Roman" w:cs="Times New Roman"/>
          <w:kern w:val="0"/>
        </w:rPr>
        <w:t>学生高阶能力前测得分的性别差异检验与效应量</w:t>
      </w:r>
    </w:p>
    <w:tbl>
      <w:tblPr>
        <w:tblW w:w="9606"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6"/>
        <w:gridCol w:w="936"/>
        <w:gridCol w:w="936"/>
        <w:gridCol w:w="1058"/>
        <w:gridCol w:w="1842"/>
        <w:gridCol w:w="936"/>
        <w:gridCol w:w="940"/>
        <w:gridCol w:w="1182"/>
      </w:tblGrid>
      <w:tr w:rsidR="000B1CCE" w14:paraId="5FD3283D" w14:textId="77777777">
        <w:trPr>
          <w:tblHeader/>
          <w:jc w:val="center"/>
        </w:trPr>
        <w:tc>
          <w:tcPr>
            <w:tcW w:w="17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F9417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内容</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50254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w:t>
            </w:r>
            <w:r>
              <w:rPr>
                <w:rFonts w:ascii="Times New Roman" w:eastAsia="宋体" w:hAnsi="Times New Roman" w:cs="Times New Roman"/>
                <w:b/>
                <w:kern w:val="0"/>
                <w:szCs w:val="21"/>
              </w:rPr>
              <w:t>M</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B3DCF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w:t>
            </w:r>
            <w:r>
              <w:rPr>
                <w:rFonts w:ascii="Times New Roman" w:eastAsia="宋体" w:hAnsi="Times New Roman" w:cs="Times New Roman"/>
                <w:b/>
                <w:kern w:val="0"/>
                <w:szCs w:val="21"/>
              </w:rPr>
              <w:t>M</w:t>
            </w:r>
          </w:p>
        </w:tc>
        <w:tc>
          <w:tcPr>
            <w:tcW w:w="10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31532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均值差</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4F58A8"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08F0E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9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0FDABD"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18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475D4D"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Hedgesg</w:t>
            </w:r>
            <w:proofErr w:type="spellEnd"/>
          </w:p>
        </w:tc>
      </w:tr>
      <w:tr w:rsidR="000B1CCE" w14:paraId="2866FD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2BBA12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936" w:type="dxa"/>
            <w:tcBorders>
              <w:top w:val="nil"/>
              <w:left w:val="nil"/>
              <w:bottom w:val="nil"/>
              <w:right w:val="nil"/>
            </w:tcBorders>
            <w:tcMar>
              <w:top w:w="-1" w:type="dxa"/>
              <w:left w:w="-1" w:type="dxa"/>
              <w:bottom w:w="-1" w:type="dxa"/>
              <w:right w:w="-1" w:type="dxa"/>
            </w:tcMar>
            <w:vAlign w:val="center"/>
          </w:tcPr>
          <w:p w14:paraId="332110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936" w:type="dxa"/>
            <w:tcBorders>
              <w:top w:val="nil"/>
              <w:left w:val="nil"/>
              <w:bottom w:val="nil"/>
              <w:right w:val="nil"/>
            </w:tcBorders>
            <w:tcMar>
              <w:top w:w="-1" w:type="dxa"/>
              <w:left w:w="-1" w:type="dxa"/>
              <w:bottom w:w="-1" w:type="dxa"/>
              <w:right w:w="-1" w:type="dxa"/>
            </w:tcMar>
            <w:vAlign w:val="center"/>
          </w:tcPr>
          <w:p w14:paraId="16907F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3.964</w:t>
            </w:r>
          </w:p>
        </w:tc>
        <w:tc>
          <w:tcPr>
            <w:tcW w:w="1058" w:type="dxa"/>
            <w:tcBorders>
              <w:top w:val="nil"/>
              <w:left w:val="nil"/>
              <w:bottom w:val="nil"/>
              <w:right w:val="nil"/>
            </w:tcBorders>
            <w:tcMar>
              <w:top w:w="-1" w:type="dxa"/>
              <w:left w:w="-1" w:type="dxa"/>
              <w:bottom w:w="-1" w:type="dxa"/>
              <w:right w:w="-1" w:type="dxa"/>
            </w:tcMar>
            <w:vAlign w:val="center"/>
          </w:tcPr>
          <w:p w14:paraId="407043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0.062</w:t>
            </w:r>
          </w:p>
        </w:tc>
        <w:tc>
          <w:tcPr>
            <w:tcW w:w="0" w:type="auto"/>
            <w:tcBorders>
              <w:top w:val="nil"/>
              <w:left w:val="nil"/>
              <w:bottom w:val="nil"/>
              <w:right w:val="nil"/>
            </w:tcBorders>
            <w:tcMar>
              <w:top w:w="-1" w:type="dxa"/>
              <w:left w:w="-1" w:type="dxa"/>
              <w:bottom w:w="-1" w:type="dxa"/>
              <w:right w:w="-1" w:type="dxa"/>
            </w:tcMar>
            <w:vAlign w:val="center"/>
          </w:tcPr>
          <w:p w14:paraId="2DC740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[-0.019,0.142]</w:t>
            </w:r>
          </w:p>
        </w:tc>
        <w:tc>
          <w:tcPr>
            <w:tcW w:w="936" w:type="dxa"/>
            <w:tcBorders>
              <w:top w:val="nil"/>
              <w:left w:val="nil"/>
              <w:bottom w:val="nil"/>
              <w:right w:val="nil"/>
            </w:tcBorders>
            <w:tcMar>
              <w:top w:w="-1" w:type="dxa"/>
              <w:left w:w="-1" w:type="dxa"/>
              <w:bottom w:w="-1" w:type="dxa"/>
              <w:right w:w="-1" w:type="dxa"/>
            </w:tcMar>
            <w:vAlign w:val="center"/>
          </w:tcPr>
          <w:p w14:paraId="4FF99F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0.132</w:t>
            </w:r>
          </w:p>
        </w:tc>
        <w:tc>
          <w:tcPr>
            <w:tcW w:w="940" w:type="dxa"/>
            <w:tcBorders>
              <w:top w:val="nil"/>
              <w:left w:val="nil"/>
              <w:bottom w:val="nil"/>
              <w:right w:val="nil"/>
            </w:tcBorders>
            <w:tcMar>
              <w:top w:w="-1" w:type="dxa"/>
              <w:left w:w="-1" w:type="dxa"/>
              <w:bottom w:w="-1" w:type="dxa"/>
              <w:right w:w="-1" w:type="dxa"/>
            </w:tcMar>
            <w:vAlign w:val="center"/>
          </w:tcPr>
          <w:p w14:paraId="365AD6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55D6B1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0.082</w:t>
            </w:r>
          </w:p>
        </w:tc>
      </w:tr>
      <w:tr w:rsidR="000B1CCE" w14:paraId="099A5A09"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0DE6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3A5B1D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5476AE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6805CDF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41BC5F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2AC07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CA056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3E2E19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0.123</w:t>
            </w:r>
          </w:p>
        </w:tc>
      </w:tr>
      <w:tr w:rsidR="000B1CCE" w14:paraId="46B2908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017CBA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01FE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4C9982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382C6C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B51A3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26010F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11C01B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11F387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0.054</w:t>
            </w:r>
          </w:p>
        </w:tc>
      </w:tr>
      <w:tr w:rsidR="000B1CCE" w14:paraId="2B7636C6"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B5E4C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7BAC87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24DA33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61F0BD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6BA159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7FE99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6D4980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37D6187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0.077</w:t>
            </w:r>
          </w:p>
        </w:tc>
      </w:tr>
      <w:tr w:rsidR="000B1CCE" w14:paraId="6467715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12008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评价</w:t>
            </w:r>
          </w:p>
        </w:tc>
        <w:tc>
          <w:tcPr>
            <w:tcW w:w="936" w:type="dxa"/>
            <w:tcBorders>
              <w:top w:val="nil"/>
              <w:left w:val="nil"/>
              <w:bottom w:val="nil"/>
              <w:right w:val="nil"/>
            </w:tcBorders>
            <w:tcMar>
              <w:top w:w="-1" w:type="dxa"/>
              <w:left w:w="-1" w:type="dxa"/>
              <w:bottom w:w="-1" w:type="dxa"/>
              <w:right w:w="-1" w:type="dxa"/>
            </w:tcMar>
            <w:vAlign w:val="center"/>
          </w:tcPr>
          <w:p w14:paraId="74FB5C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6A28C1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38849D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528F5B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60A61F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6009C6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72092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0.098</w:t>
            </w:r>
          </w:p>
        </w:tc>
      </w:tr>
      <w:tr w:rsidR="000B1CCE" w14:paraId="4EB352A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F74D9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70C205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5E4C14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BDB4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33B310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78BF9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4FF553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19651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0.172</w:t>
            </w:r>
          </w:p>
        </w:tc>
      </w:tr>
      <w:tr w:rsidR="000B1CCE" w14:paraId="1CB18436"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077A2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1891639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1CA70D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4FC53E1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5CEB6B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4E9ACA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234D4D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679A12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0.009</w:t>
            </w:r>
          </w:p>
        </w:tc>
      </w:tr>
      <w:tr w:rsidR="000B1CCE" w14:paraId="1169CA1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129C8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B0D5C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6AA07E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2A1DC1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29A2E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7FFBBAF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774085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015ABF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0.138</w:t>
            </w:r>
          </w:p>
        </w:tc>
      </w:tr>
      <w:tr w:rsidR="000B1CCE" w14:paraId="7F889D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227B65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72F374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00D7A2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6B8AD1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4780CA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2E5DC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375B57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63522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-0.044</w:t>
            </w:r>
          </w:p>
        </w:tc>
      </w:tr>
      <w:tr w:rsidR="000B1CCE" w14:paraId="60EDE5F6" w14:textId="77777777">
        <w:trPr>
          <w:jc w:val="center"/>
        </w:trPr>
        <w:tc>
          <w:tcPr>
            <w:tcW w:w="1776" w:type="dxa"/>
            <w:tcBorders>
              <w:top w:val="nil"/>
              <w:left w:val="nil"/>
              <w:bottom w:val="single" w:sz="12" w:space="0" w:color="000000"/>
              <w:right w:val="nil"/>
            </w:tcBorders>
            <w:tcMar>
              <w:top w:w="-1" w:type="dxa"/>
              <w:left w:w="-1" w:type="dxa"/>
              <w:bottom w:w="-1" w:type="dxa"/>
              <w:right w:w="-1" w:type="dxa"/>
            </w:tcMar>
            <w:vAlign w:val="center"/>
          </w:tcPr>
          <w:p w14:paraId="37104B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7252A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7DB66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1058" w:type="dxa"/>
            <w:tcBorders>
              <w:top w:val="nil"/>
              <w:left w:val="nil"/>
              <w:bottom w:val="single" w:sz="12" w:space="0" w:color="000000"/>
              <w:right w:val="nil"/>
            </w:tcBorders>
            <w:tcMar>
              <w:top w:w="-1" w:type="dxa"/>
              <w:left w:w="-1" w:type="dxa"/>
              <w:bottom w:w="-1" w:type="dxa"/>
              <w:right w:w="-1" w:type="dxa"/>
            </w:tcMar>
            <w:vAlign w:val="center"/>
          </w:tcPr>
          <w:p w14:paraId="7708A5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0.075</w:t>
            </w:r>
          </w:p>
        </w:tc>
        <w:tc>
          <w:tcPr>
            <w:tcW w:w="1842" w:type="dxa"/>
            <w:tcBorders>
              <w:top w:val="nil"/>
              <w:left w:val="nil"/>
              <w:bottom w:val="single" w:sz="12" w:space="0" w:color="000000"/>
              <w:right w:val="nil"/>
            </w:tcBorders>
            <w:tcMar>
              <w:top w:w="-1" w:type="dxa"/>
              <w:left w:w="-1" w:type="dxa"/>
              <w:bottom w:w="-1" w:type="dxa"/>
              <w:right w:w="-1" w:type="dxa"/>
            </w:tcMar>
            <w:vAlign w:val="center"/>
          </w:tcPr>
          <w:p w14:paraId="21CCC4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[-0.012,0.162]</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788CF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0.090</w:t>
            </w:r>
          </w:p>
        </w:tc>
        <w:tc>
          <w:tcPr>
            <w:tcW w:w="940" w:type="dxa"/>
            <w:tcBorders>
              <w:top w:val="nil"/>
              <w:left w:val="nil"/>
              <w:bottom w:val="single" w:sz="12" w:space="0" w:color="000000"/>
              <w:right w:val="nil"/>
            </w:tcBorders>
            <w:tcMar>
              <w:top w:w="-1" w:type="dxa"/>
              <w:left w:w="-1" w:type="dxa"/>
              <w:bottom w:w="-1" w:type="dxa"/>
              <w:right w:w="-1" w:type="dxa"/>
            </w:tcMar>
            <w:vAlign w:val="center"/>
          </w:tcPr>
          <w:p w14:paraId="669CB3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0.541</w:t>
            </w:r>
          </w:p>
        </w:tc>
        <w:tc>
          <w:tcPr>
            <w:tcW w:w="1182" w:type="dxa"/>
            <w:tcBorders>
              <w:top w:val="nil"/>
              <w:left w:val="nil"/>
              <w:bottom w:val="single" w:sz="12" w:space="0" w:color="000000"/>
              <w:right w:val="nil"/>
            </w:tcBorders>
            <w:tcMar>
              <w:top w:w="-1" w:type="dxa"/>
              <w:left w:w="-1" w:type="dxa"/>
              <w:bottom w:w="-1" w:type="dxa"/>
              <w:right w:w="-1" w:type="dxa"/>
            </w:tcMar>
            <w:vAlign w:val="center"/>
          </w:tcPr>
          <w:p w14:paraId="24AB76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0.092</w:t>
            </w:r>
          </w:p>
        </w:tc>
      </w:tr>
    </w:tbl>
    <w:p w14:paraId="219C09ED"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性别比较同时报告均值差、置信区间和</w:t>
      </w:r>
      <w:r>
        <w:rPr>
          <w:rFonts w:ascii="Times New Roman" w:eastAsia="宋体" w:hAnsi="Times New Roman" w:cs="Times New Roman"/>
          <w:kern w:val="0"/>
          <w:sz w:val="24"/>
        </w:rPr>
        <w:t>Hedges g</w:t>
      </w:r>
      <w:r>
        <w:rPr>
          <w:rFonts w:ascii="Times New Roman" w:eastAsia="宋体" w:hAnsi="Times New Roman" w:cs="Times New Roman"/>
          <w:kern w:val="0"/>
          <w:sz w:val="24"/>
        </w:rPr>
        <w:t>，考察差异的方向、精度与幅度。均值差按男生减女生计算，</w:t>
      </w:r>
      <w:r>
        <w:rPr>
          <w:rFonts w:ascii="Times New Roman" w:eastAsia="宋体" w:hAnsi="Times New Roman" w:cs="Times New Roman"/>
          <w:kern w:val="0"/>
          <w:sz w:val="24"/>
        </w:rPr>
        <w:t>95%</w:t>
      </w:r>
      <w:r>
        <w:rPr>
          <w:rFonts w:ascii="Times New Roman" w:eastAsia="宋体" w:hAnsi="Times New Roman" w:cs="Times New Roman"/>
          <w:kern w:val="0"/>
          <w:sz w:val="24"/>
        </w:rPr>
        <w:t>置信区间为逐项未校正区间，十项检验采用</w:t>
      </w:r>
      <w:r>
        <w:rPr>
          <w:rFonts w:ascii="Times New Roman" w:eastAsia="宋体" w:hAnsi="Times New Roman" w:cs="Times New Roman"/>
          <w:kern w:val="0"/>
          <w:sz w:val="24"/>
        </w:rPr>
        <w:t>Holm</w:t>
      </w:r>
      <w:r>
        <w:rPr>
          <w:rFonts w:ascii="Times New Roman" w:eastAsia="宋体" w:hAnsi="Times New Roman" w:cs="Times New Roman"/>
          <w:kern w:val="0"/>
          <w:sz w:val="24"/>
        </w:rPr>
        <w:t>校正。</w:t>
      </w:r>
    </w:p>
    <w:p w14:paraId="7A3590B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校正后，创造维度的性别差异达到统计显著水平，男生和女生均值分别为</w:t>
      </w:r>
      <w:r>
        <w:rPr>
          <w:rFonts w:ascii="Times New Roman" w:eastAsia="宋体" w:hAnsi="Times New Roman" w:cs="Times New Roman"/>
          <w:kern w:val="0"/>
          <w:sz w:val="24"/>
        </w:rPr>
        <w:t>3.951</w:t>
      </w:r>
      <w:r>
        <w:rPr>
          <w:rFonts w:ascii="Times New Roman" w:eastAsia="宋体" w:hAnsi="Times New Roman" w:cs="Times New Roman"/>
          <w:kern w:val="0"/>
          <w:sz w:val="24"/>
        </w:rPr>
        <w:t>和</w:t>
      </w:r>
      <w:r>
        <w:rPr>
          <w:rFonts w:ascii="Times New Roman" w:eastAsia="宋体" w:hAnsi="Times New Roman" w:cs="Times New Roman"/>
          <w:kern w:val="0"/>
          <w:sz w:val="24"/>
        </w:rPr>
        <w:t>3.803</w:t>
      </w:r>
      <w:r>
        <w:rPr>
          <w:rFonts w:ascii="Times New Roman" w:eastAsia="宋体" w:hAnsi="Times New Roman" w:cs="Times New Roman"/>
          <w:kern w:val="0"/>
          <w:sz w:val="24"/>
        </w:rPr>
        <w:t>，均值差为</w:t>
      </w:r>
      <w:r>
        <w:rPr>
          <w:rFonts w:ascii="Times New Roman" w:eastAsia="宋体" w:hAnsi="Times New Roman" w:cs="Times New Roman"/>
          <w:kern w:val="0"/>
          <w:sz w:val="24"/>
        </w:rPr>
        <w:t>0.148</w:t>
      </w:r>
      <w:r>
        <w:rPr>
          <w:rFonts w:ascii="Times New Roman" w:eastAsia="宋体" w:hAnsi="Times New Roman" w:cs="Times New Roman"/>
          <w:kern w:val="0"/>
          <w:sz w:val="24"/>
        </w:rPr>
        <w:t>，</w:t>
      </w:r>
      <w:r>
        <w:rPr>
          <w:rFonts w:ascii="Times New Roman" w:eastAsia="宋体" w:hAnsi="Times New Roman" w:cs="Times New Roman"/>
          <w:kern w:val="0"/>
          <w:sz w:val="24"/>
        </w:rPr>
        <w:t>Hedges g</w:t>
      </w:r>
      <w:r>
        <w:rPr>
          <w:rFonts w:ascii="Times New Roman" w:eastAsia="宋体" w:hAnsi="Times New Roman" w:cs="Times New Roman"/>
          <w:kern w:val="0"/>
          <w:sz w:val="24"/>
        </w:rPr>
        <w:t>为</w:t>
      </w:r>
      <w:r>
        <w:rPr>
          <w:rFonts w:ascii="Times New Roman" w:eastAsia="宋体" w:hAnsi="Times New Roman" w:cs="Times New Roman"/>
          <w:kern w:val="0"/>
          <w:sz w:val="24"/>
        </w:rPr>
        <w:t>0.172</w:t>
      </w:r>
      <w:r>
        <w:rPr>
          <w:rFonts w:ascii="Times New Roman" w:eastAsia="宋体" w:hAnsi="Times New Roman" w:cs="Times New Roman"/>
          <w:kern w:val="0"/>
          <w:sz w:val="24"/>
        </w:rPr>
        <w:t>，差异幅度较小。情绪调节的校正</w:t>
      </w:r>
      <w:r>
        <w:rPr>
          <w:rFonts w:ascii="Times New Roman" w:eastAsia="宋体" w:hAnsi="Times New Roman" w:cs="Times New Roman"/>
          <w:kern w:val="0"/>
          <w:sz w:val="24"/>
        </w:rPr>
        <w:t>p</w:t>
      </w:r>
      <w:r>
        <w:rPr>
          <w:rFonts w:ascii="Times New Roman" w:eastAsia="宋体" w:hAnsi="Times New Roman" w:cs="Times New Roman"/>
          <w:kern w:val="0"/>
          <w:sz w:val="24"/>
        </w:rPr>
        <w:t>为</w:t>
      </w:r>
      <w:r>
        <w:rPr>
          <w:rFonts w:ascii="Times New Roman" w:eastAsia="宋体" w:hAnsi="Times New Roman" w:cs="Times New Roman"/>
          <w:kern w:val="0"/>
          <w:sz w:val="24"/>
        </w:rPr>
        <w:t>0.101</w:t>
      </w:r>
      <w:r>
        <w:rPr>
          <w:rFonts w:ascii="Times New Roman" w:eastAsia="宋体" w:hAnsi="Times New Roman" w:cs="Times New Roman"/>
          <w:kern w:val="0"/>
          <w:sz w:val="24"/>
        </w:rPr>
        <w:t>，尚不足以支持组间差异的判断。学校据此宜进一步观察不同学生是否获得充分的方案尝试和表达机会，教学支持仍以个体任务表现为依据，共同培育目标面向全体学生。</w:t>
      </w:r>
    </w:p>
    <w:p w14:paraId="73FE224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）创造与情绪调节的性别和年级交互效应</w:t>
      </w:r>
    </w:p>
    <w:p w14:paraId="777627F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3-14  </w:t>
      </w:r>
      <w:r>
        <w:rPr>
          <w:rFonts w:ascii="Times New Roman" w:eastAsia="黑体" w:hAnsi="Times New Roman" w:cs="Times New Roman"/>
          <w:kern w:val="0"/>
        </w:rPr>
        <w:t>创造与情绪调节前测题均分的年级与性别分层统计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35"/>
        <w:gridCol w:w="1621"/>
        <w:gridCol w:w="1621"/>
        <w:gridCol w:w="1621"/>
        <w:gridCol w:w="1621"/>
      </w:tblGrid>
      <w:tr w:rsidR="000B1CCE" w14:paraId="6A9E76E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E7A8F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49BFC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C5024E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A41D9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男调节</w:t>
            </w:r>
          </w:p>
        </w:tc>
        <w:tc>
          <w:tcPr>
            <w:tcW w:w="162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10E14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女调节</w:t>
            </w:r>
          </w:p>
        </w:tc>
      </w:tr>
      <w:tr w:rsidR="000B1CCE" w14:paraId="3374CEA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44FC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5D90C5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4.460</w:t>
            </w:r>
          </w:p>
        </w:tc>
        <w:tc>
          <w:tcPr>
            <w:tcW w:w="0" w:type="auto"/>
            <w:tcBorders>
              <w:top w:val="nil"/>
              <w:left w:val="nil"/>
              <w:bottom w:val="nil"/>
              <w:right w:val="nil"/>
            </w:tcBorders>
            <w:tcMar>
              <w:top w:w="-1" w:type="dxa"/>
              <w:left w:w="-1" w:type="dxa"/>
              <w:bottom w:w="-1" w:type="dxa"/>
              <w:right w:w="-1" w:type="dxa"/>
            </w:tcMar>
            <w:vAlign w:val="center"/>
          </w:tcPr>
          <w:p w14:paraId="15FB9F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4.174</w:t>
            </w:r>
          </w:p>
        </w:tc>
        <w:tc>
          <w:tcPr>
            <w:tcW w:w="0" w:type="auto"/>
            <w:tcBorders>
              <w:top w:val="nil"/>
              <w:left w:val="nil"/>
              <w:bottom w:val="nil"/>
              <w:right w:val="nil"/>
            </w:tcBorders>
            <w:tcMar>
              <w:top w:w="-1" w:type="dxa"/>
              <w:left w:w="-1" w:type="dxa"/>
              <w:bottom w:w="-1" w:type="dxa"/>
              <w:right w:w="-1" w:type="dxa"/>
            </w:tcMar>
            <w:vAlign w:val="center"/>
          </w:tcPr>
          <w:p w14:paraId="7114EB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4.405</w:t>
            </w:r>
          </w:p>
        </w:tc>
        <w:tc>
          <w:tcPr>
            <w:tcW w:w="1621" w:type="dxa"/>
            <w:tcBorders>
              <w:top w:val="nil"/>
              <w:left w:val="nil"/>
              <w:bottom w:val="nil"/>
              <w:right w:val="nil"/>
            </w:tcBorders>
            <w:tcMar>
              <w:top w:w="-1" w:type="dxa"/>
              <w:left w:w="-1" w:type="dxa"/>
              <w:bottom w:w="-1" w:type="dxa"/>
              <w:right w:w="-1" w:type="dxa"/>
            </w:tcMar>
            <w:vAlign w:val="center"/>
          </w:tcPr>
          <w:p w14:paraId="4A8D8D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4.300</w:t>
            </w:r>
          </w:p>
        </w:tc>
      </w:tr>
      <w:tr w:rsidR="000B1CCE" w14:paraId="77443E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279F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4220AC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7A81DC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62E1F9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122382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3.642</w:t>
            </w:r>
          </w:p>
        </w:tc>
      </w:tr>
      <w:tr w:rsidR="000B1CCE" w14:paraId="0854E6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2065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45EDC3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4D7702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6998A0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1F6532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3.837</w:t>
            </w:r>
          </w:p>
        </w:tc>
      </w:tr>
      <w:tr w:rsidR="000B1CCE" w14:paraId="6EFC44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11AD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0D3993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74EA5D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5E2502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4CD3A8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3.722</w:t>
            </w:r>
          </w:p>
        </w:tc>
      </w:tr>
      <w:tr w:rsidR="000B1CCE" w14:paraId="3339507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A32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453FEA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400CC74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454665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8C330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3.700</w:t>
            </w:r>
          </w:p>
        </w:tc>
      </w:tr>
      <w:tr w:rsidR="000B1CCE" w14:paraId="1895B1C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D0A0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36ACFBD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254682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1D09846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112A23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r>
      <w:tr w:rsidR="000B1CCE" w14:paraId="0D981720" w14:textId="77777777">
        <w:trPr>
          <w:jc w:val="center"/>
        </w:trPr>
        <w:tc>
          <w:tcPr>
            <w:tcW w:w="2035" w:type="dxa"/>
            <w:tcBorders>
              <w:top w:val="nil"/>
              <w:left w:val="nil"/>
              <w:bottom w:val="single" w:sz="12" w:space="0" w:color="000000"/>
              <w:right w:val="nil"/>
            </w:tcBorders>
            <w:tcMar>
              <w:top w:w="-1" w:type="dxa"/>
              <w:left w:w="-1" w:type="dxa"/>
              <w:bottom w:w="-1" w:type="dxa"/>
              <w:right w:w="-1" w:type="dxa"/>
            </w:tcMar>
            <w:vAlign w:val="center"/>
          </w:tcPr>
          <w:p w14:paraId="41D0D2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十二年级</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031A7C2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3.816</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2A1AC70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60523AF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4DAD54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r>
    </w:tbl>
    <w:p w14:paraId="1EBBD8E7"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3-15  </w:t>
      </w:r>
      <w:r>
        <w:rPr>
          <w:rFonts w:ascii="Times New Roman" w:eastAsia="黑体" w:hAnsi="Times New Roman" w:cs="Times New Roman"/>
          <w:kern w:val="0"/>
        </w:rPr>
        <w:t>创造与情绪调节前测得分的性别与年级交互效应检验</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32"/>
        <w:gridCol w:w="1407"/>
        <w:gridCol w:w="1354"/>
        <w:gridCol w:w="1391"/>
        <w:gridCol w:w="1407"/>
        <w:gridCol w:w="1415"/>
      </w:tblGrid>
      <w:tr w:rsidR="000B1CCE" w14:paraId="4BF2B2A9" w14:textId="77777777">
        <w:trPr>
          <w:cantSplit/>
          <w:tblHeader/>
          <w:jc w:val="center"/>
        </w:trPr>
        <w:tc>
          <w:tcPr>
            <w:tcW w:w="1704" w:type="dxa"/>
            <w:tcBorders>
              <w:top w:val="single" w:sz="12" w:space="0" w:color="000000"/>
              <w:left w:val="nil"/>
              <w:bottom w:val="single" w:sz="6" w:space="0" w:color="000000"/>
              <w:right w:val="nil"/>
            </w:tcBorders>
            <w:vAlign w:val="center"/>
          </w:tcPr>
          <w:p w14:paraId="277CEB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维度</w:t>
            </w:r>
          </w:p>
        </w:tc>
        <w:tc>
          <w:tcPr>
            <w:tcW w:w="1704" w:type="dxa"/>
            <w:tcBorders>
              <w:top w:val="single" w:sz="12" w:space="0" w:color="000000"/>
              <w:left w:val="nil"/>
              <w:bottom w:val="single" w:sz="6" w:space="0" w:color="000000"/>
              <w:right w:val="nil"/>
            </w:tcBorders>
            <w:vAlign w:val="center"/>
          </w:tcPr>
          <w:p w14:paraId="7E575F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F</w:t>
            </w:r>
          </w:p>
        </w:tc>
        <w:tc>
          <w:tcPr>
            <w:tcW w:w="1704" w:type="dxa"/>
            <w:tcBorders>
              <w:top w:val="single" w:sz="12" w:space="0" w:color="000000"/>
              <w:left w:val="nil"/>
              <w:bottom w:val="single" w:sz="6" w:space="0" w:color="000000"/>
              <w:right w:val="nil"/>
            </w:tcBorders>
            <w:vAlign w:val="center"/>
          </w:tcPr>
          <w:p w14:paraId="78E5CA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df1</w:t>
            </w:r>
          </w:p>
        </w:tc>
        <w:tc>
          <w:tcPr>
            <w:tcW w:w="1704" w:type="dxa"/>
            <w:tcBorders>
              <w:top w:val="single" w:sz="12" w:space="0" w:color="000000"/>
              <w:left w:val="nil"/>
              <w:bottom w:val="single" w:sz="6" w:space="0" w:color="000000"/>
              <w:right w:val="nil"/>
            </w:tcBorders>
            <w:vAlign w:val="center"/>
          </w:tcPr>
          <w:p w14:paraId="22A45E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df2</w:t>
            </w:r>
          </w:p>
        </w:tc>
        <w:tc>
          <w:tcPr>
            <w:tcW w:w="1704" w:type="dxa"/>
            <w:tcBorders>
              <w:top w:val="single" w:sz="12" w:space="0" w:color="000000"/>
              <w:left w:val="nil"/>
              <w:bottom w:val="single" w:sz="6" w:space="0" w:color="000000"/>
              <w:right w:val="nil"/>
            </w:tcBorders>
            <w:vAlign w:val="center"/>
          </w:tcPr>
          <w:p w14:paraId="16B7C8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p</w:t>
            </w:r>
          </w:p>
        </w:tc>
        <w:tc>
          <w:tcPr>
            <w:tcW w:w="1704" w:type="dxa"/>
            <w:tcBorders>
              <w:top w:val="single" w:sz="12" w:space="0" w:color="000000"/>
              <w:left w:val="nil"/>
              <w:bottom w:val="single" w:sz="6" w:space="0" w:color="000000"/>
              <w:right w:val="nil"/>
            </w:tcBorders>
            <w:vAlign w:val="center"/>
          </w:tcPr>
          <w:p w14:paraId="239952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Holm p</w:t>
            </w:r>
          </w:p>
        </w:tc>
      </w:tr>
      <w:tr w:rsidR="000B1CCE" w14:paraId="10E282C2" w14:textId="77777777">
        <w:trPr>
          <w:cantSplit/>
          <w:jc w:val="center"/>
        </w:trPr>
        <w:tc>
          <w:tcPr>
            <w:tcW w:w="1704" w:type="dxa"/>
            <w:tcBorders>
              <w:top w:val="nil"/>
              <w:left w:val="nil"/>
              <w:bottom w:val="nil"/>
              <w:right w:val="nil"/>
            </w:tcBorders>
            <w:vAlign w:val="center"/>
          </w:tcPr>
          <w:p w14:paraId="38BCD2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1704" w:type="dxa"/>
            <w:tcBorders>
              <w:top w:val="nil"/>
              <w:left w:val="nil"/>
              <w:bottom w:val="nil"/>
              <w:right w:val="nil"/>
            </w:tcBorders>
            <w:vAlign w:val="center"/>
          </w:tcPr>
          <w:p w14:paraId="3ED953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1.149</w:t>
            </w:r>
          </w:p>
        </w:tc>
        <w:tc>
          <w:tcPr>
            <w:tcW w:w="1704" w:type="dxa"/>
            <w:tcBorders>
              <w:top w:val="nil"/>
              <w:left w:val="nil"/>
              <w:bottom w:val="nil"/>
              <w:right w:val="nil"/>
            </w:tcBorders>
            <w:vAlign w:val="center"/>
          </w:tcPr>
          <w:p w14:paraId="325720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nil"/>
              <w:right w:val="nil"/>
            </w:tcBorders>
            <w:vAlign w:val="center"/>
          </w:tcPr>
          <w:p w14:paraId="537F52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nil"/>
              <w:right w:val="nil"/>
            </w:tcBorders>
            <w:vAlign w:val="center"/>
          </w:tcPr>
          <w:p w14:paraId="5680CC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0.331</w:t>
            </w:r>
          </w:p>
        </w:tc>
        <w:tc>
          <w:tcPr>
            <w:tcW w:w="1704" w:type="dxa"/>
            <w:tcBorders>
              <w:top w:val="nil"/>
              <w:left w:val="nil"/>
              <w:bottom w:val="nil"/>
              <w:right w:val="nil"/>
            </w:tcBorders>
            <w:vAlign w:val="center"/>
          </w:tcPr>
          <w:p w14:paraId="2643C4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0.662</w:t>
            </w:r>
          </w:p>
        </w:tc>
      </w:tr>
      <w:tr w:rsidR="000B1CCE" w14:paraId="4BA7F793" w14:textId="77777777">
        <w:trPr>
          <w:cantSplit/>
          <w:jc w:val="center"/>
        </w:trPr>
        <w:tc>
          <w:tcPr>
            <w:tcW w:w="1704" w:type="dxa"/>
            <w:tcBorders>
              <w:top w:val="nil"/>
              <w:left w:val="nil"/>
              <w:bottom w:val="single" w:sz="12" w:space="0" w:color="000000"/>
              <w:right w:val="nil"/>
            </w:tcBorders>
            <w:vAlign w:val="center"/>
          </w:tcPr>
          <w:p w14:paraId="5CBF17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704" w:type="dxa"/>
            <w:tcBorders>
              <w:top w:val="nil"/>
              <w:left w:val="nil"/>
              <w:bottom w:val="single" w:sz="12" w:space="0" w:color="000000"/>
              <w:right w:val="nil"/>
            </w:tcBorders>
            <w:vAlign w:val="center"/>
          </w:tcPr>
          <w:p w14:paraId="29F49C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0.629</w:t>
            </w:r>
          </w:p>
        </w:tc>
        <w:tc>
          <w:tcPr>
            <w:tcW w:w="1704" w:type="dxa"/>
            <w:tcBorders>
              <w:top w:val="nil"/>
              <w:left w:val="nil"/>
              <w:bottom w:val="single" w:sz="12" w:space="0" w:color="000000"/>
              <w:right w:val="nil"/>
            </w:tcBorders>
            <w:vAlign w:val="center"/>
          </w:tcPr>
          <w:p w14:paraId="282C89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single" w:sz="12" w:space="0" w:color="000000"/>
              <w:right w:val="nil"/>
            </w:tcBorders>
            <w:vAlign w:val="center"/>
          </w:tcPr>
          <w:p w14:paraId="4F953B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single" w:sz="12" w:space="0" w:color="000000"/>
              <w:right w:val="nil"/>
            </w:tcBorders>
            <w:vAlign w:val="center"/>
          </w:tcPr>
          <w:p w14:paraId="2B069A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c>
          <w:tcPr>
            <w:tcW w:w="1704" w:type="dxa"/>
            <w:tcBorders>
              <w:top w:val="nil"/>
              <w:left w:val="nil"/>
              <w:bottom w:val="single" w:sz="12" w:space="0" w:color="000000"/>
              <w:right w:val="nil"/>
            </w:tcBorders>
            <w:vAlign w:val="center"/>
          </w:tcPr>
          <w:p w14:paraId="376C2A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r>
    </w:tbl>
    <w:p w14:paraId="05D1924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为进一步考察性别差异是否随年级而变化，研究对创造与情绪调节建立包含性别、年级及其交互项的线性模型，采用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异方差稳健检验，并对两个交互项进行</w:t>
      </w:r>
      <w:r>
        <w:rPr>
          <w:rFonts w:ascii="Times New Roman" w:eastAsia="宋体" w:hAnsi="Times New Roman" w:cs="Times New Roman"/>
          <w:kern w:val="0"/>
          <w:sz w:val="24"/>
        </w:rPr>
        <w:t>Holm</w:t>
      </w:r>
      <w:r>
        <w:rPr>
          <w:rFonts w:ascii="Times New Roman" w:eastAsia="宋体" w:hAnsi="Times New Roman" w:cs="Times New Roman"/>
          <w:kern w:val="0"/>
          <w:sz w:val="24"/>
        </w:rPr>
        <w:t>校正。这一分析补充描述不同年级男女生的特点，未校正班级聚集性。</w:t>
      </w:r>
    </w:p>
    <w:p w14:paraId="53E579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创造与情绪调节交互项的校正</w:t>
      </w:r>
      <w:r>
        <w:rPr>
          <w:rFonts w:ascii="Times New Roman" w:eastAsia="宋体" w:hAnsi="Times New Roman" w:cs="Times New Roman"/>
          <w:kern w:val="0"/>
          <w:sz w:val="24"/>
        </w:rPr>
        <w:t>p</w:t>
      </w:r>
      <w:r>
        <w:rPr>
          <w:rFonts w:ascii="Times New Roman" w:eastAsia="宋体" w:hAnsi="Times New Roman" w:cs="Times New Roman"/>
          <w:kern w:val="0"/>
          <w:sz w:val="24"/>
        </w:rPr>
        <w:t>分别为</w:t>
      </w:r>
      <w:r>
        <w:rPr>
          <w:rFonts w:ascii="Times New Roman" w:eastAsia="宋体" w:hAnsi="Times New Roman" w:cs="Times New Roman"/>
          <w:kern w:val="0"/>
          <w:sz w:val="24"/>
        </w:rPr>
        <w:t>0.662</w:t>
      </w:r>
      <w:r>
        <w:rPr>
          <w:rFonts w:ascii="Times New Roman" w:eastAsia="宋体" w:hAnsi="Times New Roman" w:cs="Times New Roman"/>
          <w:kern w:val="0"/>
          <w:sz w:val="24"/>
        </w:rPr>
        <w:t>和</w:t>
      </w:r>
      <w:r>
        <w:rPr>
          <w:rFonts w:ascii="Times New Roman" w:eastAsia="宋体" w:hAnsi="Times New Roman" w:cs="Times New Roman"/>
          <w:kern w:val="0"/>
          <w:sz w:val="24"/>
        </w:rPr>
        <w:t>0.707</w:t>
      </w:r>
      <w:r>
        <w:rPr>
          <w:rFonts w:ascii="Times New Roman" w:eastAsia="宋体" w:hAnsi="Times New Roman" w:cs="Times New Roman"/>
          <w:kern w:val="0"/>
          <w:sz w:val="24"/>
        </w:rPr>
        <w:t>，未发现充分证据表</w:t>
      </w:r>
      <w:r>
        <w:rPr>
          <w:rFonts w:ascii="Times New Roman" w:eastAsia="宋体" w:hAnsi="Times New Roman" w:cs="Times New Roman"/>
          <w:kern w:val="0"/>
          <w:sz w:val="24"/>
        </w:rPr>
        <w:lastRenderedPageBreak/>
        <w:t>明性别差异随年级改变。个别分组的较低均值可以引导后续观察，但分层教学支持仍需落实到学生具体的分析、尝试、表达和调节表现。</w:t>
      </w:r>
    </w:p>
    <w:p w14:paraId="256EFC1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）开放回答中的学习困难</w:t>
      </w:r>
    </w:p>
    <w:p w14:paraId="2DCA0DD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3-16  </w:t>
      </w:r>
      <w:r>
        <w:rPr>
          <w:rFonts w:ascii="Times New Roman" w:eastAsia="黑体" w:hAnsi="Times New Roman" w:cs="Times New Roman"/>
          <w:kern w:val="0"/>
        </w:rPr>
        <w:t>学生学习困难开放回答的关键词频次与涉及回答条数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14"/>
        <w:gridCol w:w="2659"/>
        <w:gridCol w:w="3746"/>
      </w:tblGrid>
      <w:tr w:rsidR="000B1CCE" w14:paraId="113449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B81EB3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关键词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2A5FD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出现次数</w:t>
            </w:r>
          </w:p>
        </w:tc>
        <w:tc>
          <w:tcPr>
            <w:tcW w:w="374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EABD5C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涉及回答条数</w:t>
            </w:r>
          </w:p>
        </w:tc>
      </w:tr>
      <w:tr w:rsidR="000B1CCE" w14:paraId="581ED1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D0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数学</w:t>
            </w:r>
          </w:p>
        </w:tc>
        <w:tc>
          <w:tcPr>
            <w:tcW w:w="0" w:type="auto"/>
            <w:tcBorders>
              <w:top w:val="nil"/>
              <w:left w:val="nil"/>
              <w:bottom w:val="nil"/>
              <w:right w:val="nil"/>
            </w:tcBorders>
            <w:tcMar>
              <w:top w:w="-1" w:type="dxa"/>
              <w:left w:w="-1" w:type="dxa"/>
              <w:bottom w:w="-1" w:type="dxa"/>
              <w:right w:w="-1" w:type="dxa"/>
            </w:tcMar>
            <w:vAlign w:val="center"/>
          </w:tcPr>
          <w:p w14:paraId="0FA7AC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89</w:t>
            </w:r>
          </w:p>
        </w:tc>
        <w:tc>
          <w:tcPr>
            <w:tcW w:w="3746" w:type="dxa"/>
            <w:tcBorders>
              <w:top w:val="nil"/>
              <w:left w:val="nil"/>
              <w:bottom w:val="nil"/>
              <w:right w:val="nil"/>
            </w:tcBorders>
            <w:tcMar>
              <w:top w:w="-1" w:type="dxa"/>
              <w:left w:w="-1" w:type="dxa"/>
              <w:bottom w:w="-1" w:type="dxa"/>
              <w:right w:w="-1" w:type="dxa"/>
            </w:tcMar>
            <w:vAlign w:val="center"/>
          </w:tcPr>
          <w:p w14:paraId="2E7EF8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88</w:t>
            </w:r>
          </w:p>
        </w:tc>
      </w:tr>
      <w:tr w:rsidR="000B1CCE" w14:paraId="03B605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52BF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4E939A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0F8887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r>
      <w:tr w:rsidR="000B1CCE" w14:paraId="218CF1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8FC6A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068869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3A4C70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67</w:t>
            </w:r>
          </w:p>
        </w:tc>
      </w:tr>
      <w:tr w:rsidR="000B1CCE" w14:paraId="156A59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0C22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78FF2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18627D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r>
      <w:tr w:rsidR="000B1CCE" w14:paraId="76FEEDF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EC2E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1EBBEB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2A4A14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r>
      <w:tr w:rsidR="000B1CCE" w14:paraId="100887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B2D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3B1D2B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690C18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r>
      <w:tr w:rsidR="000B1CCE" w14:paraId="3BCC45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3CB3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5DCF62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77F2E1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w:t>
            </w:r>
          </w:p>
        </w:tc>
      </w:tr>
      <w:tr w:rsidR="000B1CCE" w14:paraId="45FEAE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91CC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42652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3EB522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2B73F7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6B16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3CAFE5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31583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71B72940" w14:textId="77777777">
        <w:trPr>
          <w:jc w:val="center"/>
        </w:trPr>
        <w:tc>
          <w:tcPr>
            <w:tcW w:w="2114" w:type="dxa"/>
            <w:tcBorders>
              <w:top w:val="nil"/>
              <w:left w:val="nil"/>
              <w:bottom w:val="single" w:sz="12" w:space="0" w:color="000000"/>
              <w:right w:val="nil"/>
            </w:tcBorders>
            <w:tcMar>
              <w:top w:w="-1" w:type="dxa"/>
              <w:left w:w="-1" w:type="dxa"/>
              <w:bottom w:w="-1" w:type="dxa"/>
              <w:right w:w="-1" w:type="dxa"/>
            </w:tcMar>
            <w:vAlign w:val="center"/>
          </w:tcPr>
          <w:p w14:paraId="1AFC8D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思路</w:t>
            </w:r>
          </w:p>
        </w:tc>
        <w:tc>
          <w:tcPr>
            <w:tcW w:w="2659" w:type="dxa"/>
            <w:tcBorders>
              <w:top w:val="nil"/>
              <w:left w:val="nil"/>
              <w:bottom w:val="single" w:sz="12" w:space="0" w:color="000000"/>
              <w:right w:val="nil"/>
            </w:tcBorders>
            <w:tcMar>
              <w:top w:w="-1" w:type="dxa"/>
              <w:left w:w="-1" w:type="dxa"/>
              <w:bottom w:w="-1" w:type="dxa"/>
              <w:right w:w="-1" w:type="dxa"/>
            </w:tcMar>
            <w:vAlign w:val="center"/>
          </w:tcPr>
          <w:p w14:paraId="65D7FD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c>
          <w:tcPr>
            <w:tcW w:w="3746" w:type="dxa"/>
            <w:tcBorders>
              <w:top w:val="nil"/>
              <w:left w:val="nil"/>
              <w:bottom w:val="single" w:sz="12" w:space="0" w:color="000000"/>
              <w:right w:val="nil"/>
            </w:tcBorders>
            <w:tcMar>
              <w:top w:w="-1" w:type="dxa"/>
              <w:left w:w="-1" w:type="dxa"/>
              <w:bottom w:w="-1" w:type="dxa"/>
              <w:right w:w="-1" w:type="dxa"/>
            </w:tcMar>
            <w:vAlign w:val="center"/>
          </w:tcPr>
          <w:p w14:paraId="2A1E91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r>
    </w:tbl>
    <w:p w14:paraId="1AB676C3"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开放题围绕学生在学习中感到困难的事情展开。整理后保留</w:t>
      </w:r>
      <w:r>
        <w:rPr>
          <w:rFonts w:ascii="Times New Roman" w:eastAsia="宋体" w:hAnsi="Times New Roman" w:cs="Times New Roman"/>
          <w:kern w:val="0"/>
          <w:sz w:val="24"/>
        </w:rPr>
        <w:t>953</w:t>
      </w:r>
      <w:r>
        <w:rPr>
          <w:rFonts w:ascii="Times New Roman" w:eastAsia="宋体" w:hAnsi="Times New Roman" w:cs="Times New Roman"/>
          <w:kern w:val="0"/>
          <w:sz w:val="24"/>
        </w:rPr>
        <w:t>条文本开展关键词检索，分别统计词语出现次数和涉及回答条数，再结合回答语境解释学习困难。同一回答中的重复词计入出现次数，涉及回答条数仅计一次，不同关键词可以重叠。表</w:t>
      </w:r>
      <w:r>
        <w:rPr>
          <w:rFonts w:ascii="Times New Roman" w:eastAsia="宋体" w:hAnsi="Times New Roman" w:cs="Times New Roman"/>
          <w:kern w:val="0"/>
          <w:sz w:val="24"/>
        </w:rPr>
        <w:t>3-16</w:t>
      </w:r>
      <w:r>
        <w:rPr>
          <w:rFonts w:ascii="Times New Roman" w:eastAsia="宋体" w:hAnsi="Times New Roman" w:cs="Times New Roman"/>
          <w:kern w:val="0"/>
          <w:sz w:val="24"/>
        </w:rPr>
        <w:t>呈现选定关键词的检索结果。</w:t>
      </w:r>
    </w:p>
    <w:p w14:paraId="64F6C9B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6AA558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作业与时间分别涉及</w:t>
      </w:r>
      <w:r>
        <w:rPr>
          <w:rFonts w:ascii="Times New Roman" w:eastAsia="宋体" w:hAnsi="Times New Roman" w:cs="Times New Roman"/>
          <w:kern w:val="0"/>
          <w:sz w:val="24"/>
        </w:rPr>
        <w:t>67</w:t>
      </w:r>
      <w:r>
        <w:rPr>
          <w:rFonts w:ascii="Times New Roman" w:eastAsia="宋体" w:hAnsi="Times New Roman" w:cs="Times New Roman"/>
          <w:kern w:val="0"/>
          <w:sz w:val="24"/>
        </w:rPr>
        <w:t>条和</w:t>
      </w:r>
      <w:r>
        <w:rPr>
          <w:rFonts w:ascii="Times New Roman" w:eastAsia="宋体" w:hAnsi="Times New Roman" w:cs="Times New Roman"/>
          <w:kern w:val="0"/>
          <w:sz w:val="24"/>
        </w:rPr>
        <w:t>27</w:t>
      </w:r>
      <w:r>
        <w:rPr>
          <w:rFonts w:ascii="Times New Roman" w:eastAsia="宋体" w:hAnsi="Times New Roman" w:cs="Times New Roman"/>
          <w:kern w:val="0"/>
          <w:sz w:val="24"/>
        </w:rPr>
        <w:t>条回答，反映学生对任务负担及推进安排的关注。学校需要同时考察任务总量、阶段安排和学生的执行过程，避免把所有困难都归于学生自身。背诵与理解的回答则提示知识组织的重要性，任务设计应帮助学生建立概念联系并在新情境中运用。考试回答包含解题、时间和紧张等不同含义，其教育解释需回到具体语境。开放回答提供了诊断的情境依据，与评分题形成内容上的参照。</w:t>
      </w:r>
    </w:p>
    <w:p w14:paraId="6432E45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9</w:t>
      </w:r>
      <w:r>
        <w:rPr>
          <w:rFonts w:ascii="Times New Roman" w:eastAsia="宋体" w:hAnsi="Times New Roman" w:cs="Times New Roman"/>
          <w:b/>
          <w:kern w:val="0"/>
          <w:sz w:val="24"/>
        </w:rPr>
        <w:t>）同选项答卷的敏感性分析</w:t>
      </w:r>
    </w:p>
    <w:p w14:paraId="0F6EF590"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3-17  </w:t>
      </w:r>
      <w:r>
        <w:rPr>
          <w:rFonts w:ascii="Times New Roman" w:eastAsia="黑体" w:hAnsi="Times New Roman" w:cs="Times New Roman"/>
          <w:kern w:val="0"/>
        </w:rPr>
        <w:t>纳入与暂不纳入同选项答卷的前测均值比较</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85"/>
        <w:gridCol w:w="3105"/>
        <w:gridCol w:w="2929"/>
      </w:tblGrid>
      <w:tr w:rsidR="000B1CCE" w14:paraId="13A05DA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F56E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344A6B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整体</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n=1346</w:t>
            </w:r>
            <w:r>
              <w:rPr>
                <w:rFonts w:ascii="Times New Roman" w:eastAsia="宋体" w:hAnsi="Times New Roman" w:cs="Times New Roman"/>
                <w:b/>
                <w:kern w:val="0"/>
                <w:szCs w:val="21"/>
              </w:rPr>
              <w:t>）</w:t>
            </w:r>
          </w:p>
        </w:tc>
        <w:tc>
          <w:tcPr>
            <w:tcW w:w="2929"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BD98E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比较</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n=954</w:t>
            </w:r>
            <w:r>
              <w:rPr>
                <w:rFonts w:ascii="Times New Roman" w:eastAsia="宋体" w:hAnsi="Times New Roman" w:cs="Times New Roman"/>
                <w:b/>
                <w:kern w:val="0"/>
                <w:szCs w:val="21"/>
              </w:rPr>
              <w:t>）</w:t>
            </w:r>
          </w:p>
        </w:tc>
      </w:tr>
      <w:tr w:rsidR="000B1CCE" w14:paraId="06EA79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362AF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5B1BD2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2929" w:type="dxa"/>
            <w:tcBorders>
              <w:top w:val="nil"/>
              <w:left w:val="nil"/>
              <w:bottom w:val="nil"/>
              <w:right w:val="nil"/>
            </w:tcBorders>
            <w:tcMar>
              <w:top w:w="-1" w:type="dxa"/>
              <w:left w:w="-1" w:type="dxa"/>
              <w:bottom w:w="-1" w:type="dxa"/>
              <w:right w:w="-1" w:type="dxa"/>
            </w:tcMar>
            <w:vAlign w:val="center"/>
          </w:tcPr>
          <w:p w14:paraId="556461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3.876</w:t>
            </w:r>
          </w:p>
        </w:tc>
      </w:tr>
      <w:tr w:rsidR="000B1CCE" w14:paraId="7C756E3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44BD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2424F8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396540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3.790</w:t>
            </w:r>
          </w:p>
        </w:tc>
      </w:tr>
      <w:tr w:rsidR="000B1CCE" w14:paraId="0878274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1131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6EB17E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2A57E1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57FCA7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8761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8C67A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51557F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3.799</w:t>
            </w:r>
          </w:p>
        </w:tc>
      </w:tr>
      <w:tr w:rsidR="000B1CCE" w14:paraId="5A5D06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B4D3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3E3596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28D04E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r>
      <w:tr w:rsidR="000B1CCE" w14:paraId="7689CE9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C406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244BA7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05645E7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3.709</w:t>
            </w:r>
          </w:p>
        </w:tc>
      </w:tr>
      <w:tr w:rsidR="000B1CCE" w14:paraId="0735FB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6F6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EED89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69D0B8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3.952</w:t>
            </w:r>
          </w:p>
        </w:tc>
      </w:tr>
      <w:tr w:rsidR="000B1CCE" w14:paraId="17871F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F0BD1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A93F9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19D18F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3.796</w:t>
            </w:r>
          </w:p>
        </w:tc>
      </w:tr>
      <w:tr w:rsidR="000B1CCE" w14:paraId="0FCDB2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D0D5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279E8B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086117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r>
      <w:tr w:rsidR="000B1CCE" w14:paraId="1DBF77AC" w14:textId="77777777">
        <w:trPr>
          <w:jc w:val="center"/>
        </w:trPr>
        <w:tc>
          <w:tcPr>
            <w:tcW w:w="2485" w:type="dxa"/>
            <w:tcBorders>
              <w:top w:val="nil"/>
              <w:left w:val="nil"/>
              <w:bottom w:val="single" w:sz="12" w:space="0" w:color="000000"/>
              <w:right w:val="nil"/>
            </w:tcBorders>
            <w:tcMar>
              <w:top w:w="-1" w:type="dxa"/>
              <w:left w:w="-1" w:type="dxa"/>
              <w:bottom w:w="-1" w:type="dxa"/>
              <w:right w:w="-1" w:type="dxa"/>
            </w:tcMar>
            <w:vAlign w:val="center"/>
          </w:tcPr>
          <w:p w14:paraId="6141FD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3105" w:type="dxa"/>
            <w:tcBorders>
              <w:top w:val="nil"/>
              <w:left w:val="nil"/>
              <w:bottom w:val="single" w:sz="12" w:space="0" w:color="000000"/>
              <w:right w:val="nil"/>
            </w:tcBorders>
            <w:tcMar>
              <w:top w:w="-1" w:type="dxa"/>
              <w:left w:w="-1" w:type="dxa"/>
              <w:bottom w:w="-1" w:type="dxa"/>
              <w:right w:w="-1" w:type="dxa"/>
            </w:tcMar>
            <w:vAlign w:val="center"/>
          </w:tcPr>
          <w:p w14:paraId="3BA7CA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929" w:type="dxa"/>
            <w:tcBorders>
              <w:top w:val="nil"/>
              <w:left w:val="nil"/>
              <w:bottom w:val="single" w:sz="12" w:space="0" w:color="000000"/>
              <w:right w:val="nil"/>
            </w:tcBorders>
            <w:tcMar>
              <w:top w:w="-1" w:type="dxa"/>
              <w:left w:w="-1" w:type="dxa"/>
              <w:bottom w:w="-1" w:type="dxa"/>
              <w:right w:w="-1" w:type="dxa"/>
            </w:tcMar>
            <w:vAlign w:val="center"/>
          </w:tcPr>
          <w:p w14:paraId="2F20F0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3.914</w:t>
            </w:r>
          </w:p>
        </w:tc>
      </w:tr>
    </w:tbl>
    <w:p w14:paraId="555EB722"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敏感性分析暂不纳入</w:t>
      </w:r>
      <w:r>
        <w:rPr>
          <w:rFonts w:ascii="Times New Roman" w:eastAsia="宋体" w:hAnsi="Times New Roman" w:cs="Times New Roman"/>
          <w:kern w:val="0"/>
          <w:sz w:val="24"/>
        </w:rPr>
        <w:t>392</w:t>
      </w:r>
      <w:r>
        <w:rPr>
          <w:rFonts w:ascii="Times New Roman" w:eastAsia="宋体" w:hAnsi="Times New Roman" w:cs="Times New Roman"/>
          <w:kern w:val="0"/>
          <w:sz w:val="24"/>
        </w:rPr>
        <w:t>份同选项答卷，保留</w:t>
      </w:r>
      <w:r>
        <w:rPr>
          <w:rFonts w:ascii="Times New Roman" w:eastAsia="宋体" w:hAnsi="Times New Roman" w:cs="Times New Roman"/>
          <w:kern w:val="0"/>
          <w:sz w:val="24"/>
        </w:rPr>
        <w:t>954</w:t>
      </w:r>
      <w:r>
        <w:rPr>
          <w:rFonts w:ascii="Times New Roman" w:eastAsia="宋体" w:hAnsi="Times New Roman" w:cs="Times New Roman"/>
          <w:kern w:val="0"/>
          <w:sz w:val="24"/>
        </w:rPr>
        <w:t>份进行比较，全部问卷仍用于整体分析。比较后整体均值由</w:t>
      </w:r>
      <w:r>
        <w:rPr>
          <w:rFonts w:ascii="Times New Roman" w:eastAsia="宋体" w:hAnsi="Times New Roman" w:cs="Times New Roman"/>
          <w:kern w:val="0"/>
          <w:sz w:val="24"/>
        </w:rPr>
        <w:t>3.995</w:t>
      </w:r>
      <w:r>
        <w:rPr>
          <w:rFonts w:ascii="Times New Roman" w:eastAsia="宋体" w:hAnsi="Times New Roman" w:cs="Times New Roman"/>
          <w:kern w:val="0"/>
          <w:sz w:val="24"/>
        </w:rPr>
        <w:t>降至</w:t>
      </w:r>
      <w:r>
        <w:rPr>
          <w:rFonts w:ascii="Times New Roman" w:eastAsia="宋体" w:hAnsi="Times New Roman" w:cs="Times New Roman"/>
          <w:kern w:val="0"/>
          <w:sz w:val="24"/>
        </w:rPr>
        <w:t>3.876</w:t>
      </w:r>
      <w:r>
        <w:rPr>
          <w:rFonts w:ascii="Times New Roman" w:eastAsia="宋体" w:hAnsi="Times New Roman" w:cs="Times New Roman"/>
          <w:kern w:val="0"/>
          <w:sz w:val="24"/>
        </w:rPr>
        <w:t>，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2DA46F4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10</w:t>
      </w:r>
      <w:r>
        <w:rPr>
          <w:rFonts w:ascii="Times New Roman" w:eastAsia="宋体" w:hAnsi="Times New Roman" w:cs="Times New Roman"/>
          <w:b/>
          <w:kern w:val="0"/>
          <w:sz w:val="24"/>
        </w:rPr>
        <w:t>）学生培育需求的综合诊断</w:t>
      </w:r>
    </w:p>
    <w:p w14:paraId="184E3ED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3-18  </w:t>
      </w:r>
      <w:r>
        <w:rPr>
          <w:rFonts w:ascii="Times New Roman" w:eastAsia="黑体" w:hAnsi="Times New Roman" w:cs="Times New Roman"/>
          <w:kern w:val="0"/>
        </w:rPr>
        <w:t>学生前测诊断依据与学习模型设计及过程观察重点</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82"/>
        <w:gridCol w:w="3990"/>
        <w:gridCol w:w="3050"/>
      </w:tblGrid>
      <w:tr w:rsidR="000B1CCE" w14:paraId="724258B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CE0A4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诊断重点</w:t>
            </w:r>
          </w:p>
        </w:tc>
        <w:tc>
          <w:tcPr>
            <w:tcW w:w="39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6D6B3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前测依据</w:t>
            </w:r>
          </w:p>
        </w:tc>
        <w:tc>
          <w:tcPr>
            <w:tcW w:w="30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BB7B90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设计与观察重点</w:t>
            </w:r>
          </w:p>
        </w:tc>
      </w:tr>
      <w:tr w:rsidR="000B1CCE" w14:paraId="716B64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5386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复杂问题自主分析</w:t>
            </w:r>
          </w:p>
        </w:tc>
        <w:tc>
          <w:tcPr>
            <w:tcW w:w="3990" w:type="dxa"/>
            <w:tcBorders>
              <w:top w:val="nil"/>
              <w:left w:val="nil"/>
              <w:bottom w:val="nil"/>
              <w:right w:val="nil"/>
            </w:tcBorders>
            <w:tcMar>
              <w:top w:w="-1" w:type="dxa"/>
              <w:left w:w="-1" w:type="dxa"/>
              <w:bottom w:w="-1" w:type="dxa"/>
              <w:right w:w="-1" w:type="dxa"/>
            </w:tcMar>
            <w:vAlign w:val="center"/>
          </w:tcPr>
          <w:p w14:paraId="7D562B58"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Q1 M=3.771</w:t>
            </w:r>
            <w:r>
              <w:rPr>
                <w:rFonts w:ascii="Times New Roman" w:eastAsia="宋体" w:hAnsi="Times New Roman" w:cs="Times New Roman"/>
                <w:kern w:val="0"/>
                <w:szCs w:val="21"/>
              </w:rPr>
              <w:t>；回答涉及看不懂、缺少思路</w:t>
            </w:r>
          </w:p>
        </w:tc>
        <w:tc>
          <w:tcPr>
            <w:tcW w:w="3050" w:type="dxa"/>
            <w:tcBorders>
              <w:top w:val="nil"/>
              <w:left w:val="nil"/>
              <w:bottom w:val="nil"/>
              <w:right w:val="nil"/>
            </w:tcBorders>
            <w:tcMar>
              <w:top w:w="-1" w:type="dxa"/>
              <w:left w:w="-1" w:type="dxa"/>
              <w:bottom w:w="-1" w:type="dxa"/>
              <w:right w:w="-1" w:type="dxa"/>
            </w:tcMar>
            <w:vAlign w:val="center"/>
          </w:tcPr>
          <w:p w14:paraId="6DC9CA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问题要素、关系说明、自主提出子问题</w:t>
            </w:r>
          </w:p>
        </w:tc>
      </w:tr>
      <w:tr w:rsidR="000B1CCE" w14:paraId="20AC6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04ED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180A84B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创造</w:t>
            </w:r>
            <w:r>
              <w:rPr>
                <w:rFonts w:ascii="Times New Roman" w:eastAsia="宋体" w:hAnsi="Times New Roman" w:cs="Times New Roman"/>
                <w:kern w:val="0"/>
                <w:szCs w:val="21"/>
              </w:rPr>
              <w:t>M=3.877</w:t>
            </w:r>
            <w:r>
              <w:rPr>
                <w:rFonts w:ascii="Times New Roman" w:eastAsia="宋体" w:hAnsi="Times New Roman" w:cs="Times New Roman"/>
                <w:kern w:val="0"/>
                <w:szCs w:val="21"/>
              </w:rPr>
              <w:t>；</w:t>
            </w:r>
            <w:r>
              <w:rPr>
                <w:rFonts w:ascii="Times New Roman" w:eastAsia="宋体" w:hAnsi="Times New Roman" w:cs="Times New Roman"/>
                <w:kern w:val="0"/>
                <w:szCs w:val="21"/>
              </w:rPr>
              <w:t>Q12 M=3.797</w:t>
            </w:r>
            <w:r>
              <w:rPr>
                <w:rFonts w:ascii="Times New Roman" w:eastAsia="宋体" w:hAnsi="Times New Roman" w:cs="Times New Roman"/>
                <w:kern w:val="0"/>
                <w:szCs w:val="21"/>
              </w:rPr>
              <w:t>；七至十二年级相对低分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669296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开放任务、备选方案、比较依据与检验</w:t>
            </w:r>
          </w:p>
        </w:tc>
      </w:tr>
      <w:tr w:rsidR="000B1CCE" w14:paraId="5FD46A8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04E4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60BCB9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 M=3.878</w:t>
            </w:r>
            <w:r>
              <w:rPr>
                <w:rFonts w:ascii="Times New Roman" w:eastAsia="宋体" w:hAnsi="Times New Roman" w:cs="Times New Roman"/>
                <w:kern w:val="0"/>
                <w:szCs w:val="21"/>
              </w:rPr>
              <w:t>；</w:t>
            </w:r>
            <w:r>
              <w:rPr>
                <w:rFonts w:ascii="Times New Roman" w:eastAsia="宋体" w:hAnsi="Times New Roman" w:cs="Times New Roman"/>
                <w:kern w:val="0"/>
                <w:szCs w:val="21"/>
              </w:rPr>
              <w:t>Q16 M=3.852</w:t>
            </w:r>
          </w:p>
        </w:tc>
        <w:tc>
          <w:tcPr>
            <w:tcW w:w="3050" w:type="dxa"/>
            <w:tcBorders>
              <w:top w:val="nil"/>
              <w:left w:val="nil"/>
              <w:bottom w:val="nil"/>
              <w:right w:val="nil"/>
            </w:tcBorders>
            <w:tcMar>
              <w:top w:w="-1" w:type="dxa"/>
              <w:left w:w="-1" w:type="dxa"/>
              <w:bottom w:w="-1" w:type="dxa"/>
              <w:right w:w="-1" w:type="dxa"/>
            </w:tcMar>
            <w:vAlign w:val="center"/>
          </w:tcPr>
          <w:p w14:paraId="431A37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成功标准、自评依据、反馈后修订</w:t>
            </w:r>
          </w:p>
        </w:tc>
      </w:tr>
      <w:tr w:rsidR="000B1CCE" w14:paraId="4CD234C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08D8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356E2252"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情绪调节</w:t>
            </w:r>
            <w:r>
              <w:rPr>
                <w:rFonts w:ascii="Times New Roman" w:eastAsia="宋体" w:hAnsi="Times New Roman" w:cs="Times New Roman"/>
                <w:kern w:val="0"/>
                <w:szCs w:val="21"/>
              </w:rPr>
              <w:t>M=3.938</w:t>
            </w:r>
            <w:r>
              <w:rPr>
                <w:rFonts w:ascii="Times New Roman" w:eastAsia="宋体" w:hAnsi="Times New Roman" w:cs="Times New Roman"/>
                <w:kern w:val="0"/>
                <w:szCs w:val="21"/>
              </w:rPr>
              <w:t>；</w:t>
            </w:r>
            <w:r>
              <w:rPr>
                <w:rFonts w:ascii="Times New Roman" w:eastAsia="宋体" w:hAnsi="Times New Roman" w:cs="Times New Roman"/>
                <w:kern w:val="0"/>
                <w:szCs w:val="21"/>
              </w:rPr>
              <w:t>Q21 M=3.851</w:t>
            </w:r>
          </w:p>
        </w:tc>
        <w:tc>
          <w:tcPr>
            <w:tcW w:w="3050" w:type="dxa"/>
            <w:tcBorders>
              <w:top w:val="nil"/>
              <w:left w:val="nil"/>
              <w:bottom w:val="nil"/>
              <w:right w:val="nil"/>
            </w:tcBorders>
            <w:tcMar>
              <w:top w:w="-1" w:type="dxa"/>
              <w:left w:w="-1" w:type="dxa"/>
              <w:bottom w:w="-1" w:type="dxa"/>
              <w:right w:w="-1" w:type="dxa"/>
            </w:tcMar>
            <w:vAlign w:val="center"/>
          </w:tcPr>
          <w:p w14:paraId="5D276E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准备与阶段支持、受阻后的调整和再投入</w:t>
            </w:r>
          </w:p>
        </w:tc>
      </w:tr>
      <w:tr w:rsidR="000B1CCE" w14:paraId="6083BF94" w14:textId="77777777">
        <w:trPr>
          <w:jc w:val="center"/>
        </w:trPr>
        <w:tc>
          <w:tcPr>
            <w:tcW w:w="1482" w:type="dxa"/>
            <w:tcBorders>
              <w:top w:val="nil"/>
              <w:left w:val="nil"/>
              <w:bottom w:val="single" w:sz="12" w:space="0" w:color="000000"/>
              <w:right w:val="nil"/>
            </w:tcBorders>
            <w:tcMar>
              <w:top w:w="-1" w:type="dxa"/>
              <w:left w:w="-1" w:type="dxa"/>
              <w:bottom w:w="-1" w:type="dxa"/>
              <w:right w:w="-1" w:type="dxa"/>
            </w:tcMar>
            <w:vAlign w:val="center"/>
          </w:tcPr>
          <w:p w14:paraId="373F26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合作基础深化</w:t>
            </w:r>
          </w:p>
        </w:tc>
        <w:tc>
          <w:tcPr>
            <w:tcW w:w="3990" w:type="dxa"/>
            <w:tcBorders>
              <w:top w:val="nil"/>
              <w:left w:val="nil"/>
              <w:bottom w:val="single" w:sz="12" w:space="0" w:color="000000"/>
              <w:right w:val="nil"/>
            </w:tcBorders>
            <w:tcMar>
              <w:top w:w="-1" w:type="dxa"/>
              <w:left w:w="-1" w:type="dxa"/>
              <w:bottom w:w="-1" w:type="dxa"/>
              <w:right w:w="-1" w:type="dxa"/>
            </w:tcMar>
            <w:vAlign w:val="center"/>
          </w:tcPr>
          <w:p w14:paraId="0CC56F9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合作共情</w:t>
            </w:r>
            <w:r>
              <w:rPr>
                <w:rFonts w:ascii="Times New Roman" w:eastAsia="宋体" w:hAnsi="Times New Roman" w:cs="Times New Roman"/>
                <w:kern w:val="0"/>
                <w:szCs w:val="21"/>
              </w:rPr>
              <w:t>M=4.117</w:t>
            </w:r>
            <w:r>
              <w:rPr>
                <w:rFonts w:ascii="Times New Roman" w:eastAsia="宋体" w:hAnsi="Times New Roman" w:cs="Times New Roman"/>
                <w:kern w:val="0"/>
                <w:szCs w:val="21"/>
              </w:rPr>
              <w:t>；</w:t>
            </w:r>
            <w:r>
              <w:rPr>
                <w:rFonts w:ascii="Times New Roman" w:eastAsia="宋体" w:hAnsi="Times New Roman" w:cs="Times New Roman"/>
                <w:kern w:val="0"/>
                <w:szCs w:val="21"/>
              </w:rPr>
              <w:t>Q23 M=4.214</w:t>
            </w:r>
          </w:p>
        </w:tc>
        <w:tc>
          <w:tcPr>
            <w:tcW w:w="3050" w:type="dxa"/>
            <w:tcBorders>
              <w:top w:val="nil"/>
              <w:left w:val="nil"/>
              <w:bottom w:val="single" w:sz="12" w:space="0" w:color="000000"/>
              <w:right w:val="nil"/>
            </w:tcBorders>
            <w:tcMar>
              <w:top w:w="-1" w:type="dxa"/>
              <w:left w:w="-1" w:type="dxa"/>
              <w:bottom w:w="-1" w:type="dxa"/>
              <w:right w:w="-1" w:type="dxa"/>
            </w:tcMar>
            <w:vAlign w:val="center"/>
          </w:tcPr>
          <w:p w14:paraId="0D5713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倾听后的理由回应、协商与共同决策</w:t>
            </w:r>
          </w:p>
        </w:tc>
      </w:tr>
    </w:tbl>
    <w:p w14:paraId="39597E63"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综合各项证据，学校高阶能力培育应着重解决学生独立组织探究过程中的困难。</w:t>
      </w:r>
      <w:r>
        <w:rPr>
          <w:rFonts w:ascii="Times New Roman" w:eastAsia="宋体" w:hAnsi="Times New Roman" w:cs="Times New Roman"/>
          <w:kern w:val="0"/>
          <w:sz w:val="24"/>
        </w:rPr>
        <w:t>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39526BD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29FFE2B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统计分析采用</w:t>
      </w:r>
      <w:r>
        <w:rPr>
          <w:rFonts w:ascii="Times New Roman" w:eastAsia="宋体" w:hAnsi="Times New Roman" w:cs="Times New Roman"/>
          <w:kern w:val="0"/>
          <w:sz w:val="24"/>
        </w:rPr>
        <w:t>Python</w:t>
      </w:r>
      <w:r>
        <w:rPr>
          <w:rFonts w:ascii="Times New Roman" w:eastAsia="宋体" w:hAnsi="Times New Roman" w:cs="Times New Roman"/>
          <w:kern w:val="0"/>
          <w:sz w:val="24"/>
        </w:rPr>
        <w:t>完成。内部一致性检验计算</w:t>
      </w:r>
      <w:r>
        <w:rPr>
          <w:rFonts w:ascii="Times New Roman" w:eastAsia="宋体" w:hAnsi="Times New Roman" w:cs="Times New Roman"/>
          <w:kern w:val="0"/>
          <w:sz w:val="24"/>
        </w:rPr>
        <w:t>Cronbach α</w:t>
      </w:r>
      <w:r>
        <w:rPr>
          <w:rFonts w:ascii="Times New Roman" w:eastAsia="宋体" w:hAnsi="Times New Roman" w:cs="Times New Roman"/>
          <w:kern w:val="0"/>
          <w:sz w:val="24"/>
        </w:rPr>
        <w:t>及</w:t>
      </w:r>
      <w:r>
        <w:rPr>
          <w:rFonts w:ascii="Times New Roman" w:eastAsia="宋体" w:hAnsi="Times New Roman" w:cs="Times New Roman"/>
          <w:kern w:val="0"/>
          <w:sz w:val="24"/>
        </w:rPr>
        <w:t>CITC</w:t>
      </w:r>
      <w:r>
        <w:rPr>
          <w:rFonts w:ascii="Times New Roman" w:eastAsia="宋体" w:hAnsi="Times New Roman" w:cs="Times New Roman"/>
          <w:kern w:val="0"/>
          <w:sz w:val="24"/>
        </w:rPr>
        <w:t>；组间比较采用</w:t>
      </w:r>
      <w:r>
        <w:rPr>
          <w:rFonts w:ascii="Times New Roman" w:eastAsia="宋体" w:hAnsi="Times New Roman" w:cs="Times New Roman"/>
          <w:kern w:val="0"/>
          <w:sz w:val="24"/>
        </w:rPr>
        <w:t>Welch</w:t>
      </w:r>
      <w:r>
        <w:rPr>
          <w:rFonts w:ascii="Times New Roman" w:eastAsia="宋体" w:hAnsi="Times New Roman" w:cs="Times New Roman"/>
          <w:kern w:val="0"/>
          <w:sz w:val="24"/>
        </w:rPr>
        <w:t>检验与</w:t>
      </w:r>
      <w:r>
        <w:rPr>
          <w:rFonts w:ascii="Times New Roman" w:eastAsia="宋体" w:hAnsi="Times New Roman" w:cs="Times New Roman"/>
          <w:kern w:val="0"/>
          <w:sz w:val="24"/>
        </w:rPr>
        <w:t>Holm</w:t>
      </w:r>
      <w:r>
        <w:rPr>
          <w:rFonts w:ascii="Times New Roman" w:eastAsia="宋体" w:hAnsi="Times New Roman" w:cs="Times New Roman"/>
          <w:kern w:val="0"/>
          <w:sz w:val="24"/>
        </w:rPr>
        <w:t>校正；性别和年级联合分析采用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异方差稳健检验。题项分组与计分方式在各项分析中保持一致。</w:t>
      </w:r>
    </w:p>
    <w:p w14:paraId="58A91E28" w14:textId="77777777" w:rsidR="000B1CCE" w:rsidRDefault="00000000">
      <w:pPr>
        <w:keepNext/>
        <w:numPr>
          <w:ilvl w:val="0"/>
          <w:numId w:val="8"/>
        </w:numPr>
        <w:adjustRightInd w:val="0"/>
        <w:snapToGrid w:val="0"/>
        <w:spacing w:before="240" w:after="120" w:line="360" w:lineRule="auto"/>
        <w:ind w:left="0"/>
        <w:jc w:val="left"/>
        <w:rPr>
          <w:rFonts w:ascii="Times New Roman" w:eastAsia="黑体" w:hAnsi="Times New Roman"/>
          <w:b/>
          <w:bCs/>
          <w:kern w:val="0"/>
          <w:sz w:val="28"/>
          <w:szCs w:val="28"/>
        </w:rPr>
      </w:pPr>
      <w:r>
        <w:rPr>
          <w:rFonts w:ascii="Times New Roman" w:eastAsia="黑体" w:hAnsi="Times New Roman" w:cs="Times New Roman"/>
          <w:b/>
          <w:bCs/>
          <w:kern w:val="0"/>
          <w:sz w:val="28"/>
        </w:rPr>
        <w:t>教师高阶能力培育现状的前测调查</w:t>
      </w:r>
    </w:p>
    <w:p w14:paraId="6AF6CDA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kern w:val="0"/>
          <w:sz w:val="24"/>
        </w:rPr>
      </w:pPr>
      <w:r>
        <w:rPr>
          <w:rFonts w:ascii="Times New Roman" w:eastAsia="黑体" w:hAnsi="Times New Roman" w:cs="Times New Roman"/>
          <w:b/>
          <w:bCs/>
          <w:kern w:val="0"/>
          <w:sz w:val="24"/>
        </w:rPr>
        <w:t>1.</w:t>
      </w:r>
      <w:r>
        <w:rPr>
          <w:rFonts w:ascii="Times New Roman" w:eastAsia="黑体" w:hAnsi="Times New Roman" w:cs="Times New Roman"/>
          <w:b/>
          <w:bCs/>
          <w:kern w:val="0"/>
          <w:sz w:val="24"/>
        </w:rPr>
        <w:t>教师调查内容的确定</w:t>
      </w:r>
    </w:p>
    <w:p w14:paraId="193C79C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bCs/>
          <w:kern w:val="0"/>
          <w:sz w:val="24"/>
        </w:rPr>
      </w:pPr>
      <w:r>
        <w:rPr>
          <w:rFonts w:ascii="Times New Roman" w:eastAsia="宋体" w:hAnsi="Times New Roman" w:cs="Times New Roman"/>
          <w:b/>
          <w:bCs/>
          <w:kern w:val="0"/>
          <w:sz w:val="24"/>
        </w:rPr>
        <w:t>（</w:t>
      </w:r>
      <w:r>
        <w:rPr>
          <w:rFonts w:ascii="Times New Roman" w:eastAsia="宋体" w:hAnsi="Times New Roman" w:cs="Times New Roman"/>
          <w:b/>
          <w:bCs/>
          <w:kern w:val="0"/>
          <w:sz w:val="24"/>
        </w:rPr>
        <w:t>1</w:t>
      </w:r>
      <w:r>
        <w:rPr>
          <w:rFonts w:ascii="Times New Roman" w:eastAsia="宋体" w:hAnsi="Times New Roman" w:cs="Times New Roman"/>
          <w:b/>
          <w:bCs/>
          <w:kern w:val="0"/>
          <w:sz w:val="24"/>
        </w:rPr>
        <w:t>）认知与价值认同</w:t>
      </w:r>
    </w:p>
    <w:p w14:paraId="40198A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对高阶能力的理解，是将培育要求转化为教学行动的重要基础。认知目标分类为区分不同层次的学习要求提供了依据，社会情感能力研究则提示，复杂任务还需要责任、调节与合作等资源的参与，相关理论已在第一部分文献综述中阐述。本研究据此分析教师问卷中的认知与价值认同内容，了解教师是否理解高阶能力的内涵，以及是否认同其教育价值。</w:t>
      </w:r>
    </w:p>
    <w:p w14:paraId="2ED614D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7</w:t>
      </w:r>
      <w:r>
        <w:rPr>
          <w:rFonts w:ascii="Times New Roman" w:eastAsia="宋体" w:hAnsi="Times New Roman" w:cs="Times New Roman"/>
          <w:kern w:val="0"/>
          <w:sz w:val="24"/>
        </w:rPr>
        <w:t>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5E9928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）课堂实践</w:t>
      </w:r>
    </w:p>
    <w:p w14:paraId="4CA747D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能力培育需要落实到学生实际经历的学习活动之中。建构性对齐原则强调教学目标、学习活动与评价之间的一致，问题导向学习、项目式学习及课堂对话研究则关注复杂问题、真实任务、自主学习、合作与解释论证等学习条件。这些研究为分析教师是否提供高阶学习机会提供了理论参照。</w:t>
      </w:r>
    </w:p>
    <w:p w14:paraId="487CEF0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结合实际题项，课堂实践部分设置</w:t>
      </w:r>
      <w:r>
        <w:rPr>
          <w:rFonts w:ascii="Times New Roman" w:eastAsia="宋体" w:hAnsi="Times New Roman" w:cs="Times New Roman"/>
          <w:kern w:val="0"/>
          <w:sz w:val="24"/>
        </w:rPr>
        <w:t>6</w:t>
      </w:r>
      <w:r>
        <w:rPr>
          <w:rFonts w:ascii="Times New Roman" w:eastAsia="宋体" w:hAnsi="Times New Roman" w:cs="Times New Roman"/>
          <w:kern w:val="0"/>
          <w:sz w:val="24"/>
        </w:rPr>
        <w:t>题，考察指向分析、评价与创造的任务设计，项目式或问题探究式学习的组织，生活与社会情境的联系，开放性提问及</w:t>
      </w:r>
      <w:r>
        <w:rPr>
          <w:rFonts w:ascii="Times New Roman" w:eastAsia="宋体" w:hAnsi="Times New Roman" w:cs="Times New Roman"/>
          <w:kern w:val="0"/>
          <w:sz w:val="24"/>
        </w:rPr>
        <w:lastRenderedPageBreak/>
        <w:t>多角度作答，数字工具与资源支持，以及自主思考和小组研讨的时间安排。</w:t>
      </w:r>
    </w:p>
    <w:p w14:paraId="7BEAE88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7DE6C4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）教学自我效能</w:t>
      </w:r>
    </w:p>
    <w:p w14:paraId="191DA2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自我效能指个体对自身在特定任务情境中能否成功组织和执行行动的信念。对国际文凭学校教师的调查显示，教师长期承担注重批判性思维和探究的复杂课程并积累经验后，其教学信念与课堂实践会相互塑造（</w:t>
      </w:r>
      <w:r>
        <w:rPr>
          <w:rFonts w:ascii="Times New Roman" w:eastAsia="宋体" w:hAnsi="Times New Roman" w:cs="Times New Roman"/>
          <w:kern w:val="0"/>
          <w:sz w:val="24"/>
        </w:rPr>
        <w:t>Bergeron &amp; Rogers, 2015</w:t>
      </w:r>
      <w:r>
        <w:rPr>
          <w:rFonts w:ascii="Times New Roman" w:eastAsia="宋体" w:hAnsi="Times New Roman" w:cs="Times New Roman"/>
          <w:kern w:val="0"/>
          <w:sz w:val="24"/>
        </w:rPr>
        <w:t>）。本研究以此解释教师对高阶能力培育的实施把握，重点考察其能否设计适合学生的任务、通过提问与点拨推动思考，以及识别学生的高阶表现。</w:t>
      </w:r>
    </w:p>
    <w:p w14:paraId="20E15A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3</w:t>
      </w:r>
      <w:r>
        <w:rPr>
          <w:rFonts w:ascii="Times New Roman" w:eastAsia="宋体" w:hAnsi="Times New Roman" w:cs="Times New Roman"/>
          <w:kern w:val="0"/>
          <w:sz w:val="24"/>
        </w:rPr>
        <w:t>题，分别对应任务设计、过程引导和表现识别。其中，表现识别与可见的学习强调教师认识自身教学影响的要求直接相关。教师能否辨认学生的思考进展与理解困难，关系到后续支持的选择。该组用于了解实施信心与专业支持需求，不将自我判断等同于经过课堂观察验证的教学能力。</w:t>
      </w:r>
    </w:p>
    <w:p w14:paraId="00468A9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）现实阻碍</w:t>
      </w:r>
    </w:p>
    <w:p w14:paraId="2D3EA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教学实践还受到学校与班级条件的影响。现实阻碍部分依据本课题的实施问题设置</w:t>
      </w:r>
      <w:r>
        <w:rPr>
          <w:rFonts w:ascii="Times New Roman" w:eastAsia="宋体" w:hAnsi="Times New Roman" w:cs="Times New Roman"/>
          <w:kern w:val="0"/>
          <w:sz w:val="24"/>
        </w:rPr>
        <w:t>6</w:t>
      </w:r>
      <w:r>
        <w:rPr>
          <w:rFonts w:ascii="Times New Roman" w:eastAsia="宋体" w:hAnsi="Times New Roman" w:cs="Times New Roman"/>
          <w:kern w:val="0"/>
          <w:sz w:val="24"/>
        </w:rPr>
        <w:t>题，考察课时与教材任务压力、考试评价导向、课例资源不足、学生基础差异、实操性教研指导不足和课堂组织管理困难。</w:t>
      </w:r>
    </w:p>
    <w:p w14:paraId="58320B8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为本研究面向实际问题自编的调查内容。</w:t>
      </w:r>
    </w:p>
    <w:p w14:paraId="12F1A9B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）教师调查框架的形成</w:t>
      </w:r>
    </w:p>
    <w:p w14:paraId="5C0994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教师问卷形成四组调查内容、</w:t>
      </w:r>
      <w:r>
        <w:rPr>
          <w:rFonts w:ascii="Times New Roman" w:eastAsia="宋体" w:hAnsi="Times New Roman" w:cs="Times New Roman"/>
          <w:kern w:val="0"/>
          <w:sz w:val="24"/>
        </w:rPr>
        <w:t>22</w:t>
      </w:r>
      <w:r>
        <w:rPr>
          <w:rFonts w:ascii="Times New Roman" w:eastAsia="宋体" w:hAnsi="Times New Roman" w:cs="Times New Roman"/>
          <w:kern w:val="0"/>
          <w:sz w:val="24"/>
        </w:rPr>
        <w:t>道评分题，题数分别为</w:t>
      </w:r>
      <w:r>
        <w:rPr>
          <w:rFonts w:ascii="Times New Roman" w:eastAsia="宋体" w:hAnsi="Times New Roman" w:cs="Times New Roman"/>
          <w:kern w:val="0"/>
          <w:sz w:val="24"/>
        </w:rPr>
        <w:t>7</w:t>
      </w:r>
      <w:r>
        <w:rPr>
          <w:rFonts w:ascii="Times New Roman" w:eastAsia="宋体" w:hAnsi="Times New Roman" w:cs="Times New Roman"/>
          <w:kern w:val="0"/>
          <w:sz w:val="24"/>
        </w:rPr>
        <w:t>题、</w:t>
      </w:r>
      <w:r>
        <w:rPr>
          <w:rFonts w:ascii="Times New Roman" w:eastAsia="宋体" w:hAnsi="Times New Roman" w:cs="Times New Roman"/>
          <w:kern w:val="0"/>
          <w:sz w:val="24"/>
        </w:rPr>
        <w:t>6</w:t>
      </w:r>
      <w:r>
        <w:rPr>
          <w:rFonts w:ascii="Times New Roman" w:eastAsia="宋体" w:hAnsi="Times New Roman" w:cs="Times New Roman"/>
          <w:kern w:val="0"/>
          <w:sz w:val="24"/>
        </w:rPr>
        <w:t>题、</w:t>
      </w:r>
      <w:r>
        <w:rPr>
          <w:rFonts w:ascii="Times New Roman" w:eastAsia="宋体" w:hAnsi="Times New Roman" w:cs="Times New Roman"/>
          <w:kern w:val="0"/>
          <w:sz w:val="24"/>
        </w:rPr>
        <w:t>3</w:t>
      </w:r>
      <w:r>
        <w:rPr>
          <w:rFonts w:ascii="Times New Roman" w:eastAsia="宋体" w:hAnsi="Times New Roman" w:cs="Times New Roman"/>
          <w:kern w:val="0"/>
          <w:sz w:val="24"/>
        </w:rPr>
        <w:t>题和</w:t>
      </w:r>
      <w:r>
        <w:rPr>
          <w:rFonts w:ascii="Times New Roman" w:eastAsia="宋体" w:hAnsi="Times New Roman" w:cs="Times New Roman"/>
          <w:kern w:val="0"/>
          <w:sz w:val="24"/>
        </w:rPr>
        <w:t>6</w:t>
      </w:r>
      <w:r>
        <w:rPr>
          <w:rFonts w:ascii="Times New Roman" w:eastAsia="宋体" w:hAnsi="Times New Roman" w:cs="Times New Roman"/>
          <w:kern w:val="0"/>
          <w:sz w:val="24"/>
        </w:rPr>
        <w:t>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768448A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学生调查呈现能力发展需要，教师调查呈现教学支持的基础与条件。两类结果共同用于确定学习模型的能力目标、任务要求与支持重点，并为学习决策路径、学习层次设计及后续教学模式构建提供依据。</w:t>
      </w:r>
    </w:p>
    <w:p w14:paraId="4BE3C4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综合上述研究，高阶能力测评既需要关注学生对信息和问题的认知加工，也需要关注其在复杂任务中的投入、调节与合作。认知目标分类为分析、评价和创造的区分提供了依据，社会情感能力框架则为考察责任承担、情绪管理、合作与开放倾向提供了参照。本研究结合中学生学科学习与探究活动的特点，将学生高阶能力测评内容确定为高阶思维与高阶社会情感两个方面，前者包括分析、评价、创造，后者包括责任担当、情绪调节、合作共情、包容创新。在此基础上编制</w:t>
      </w:r>
      <w:r>
        <w:rPr>
          <w:rFonts w:ascii="Times New Roman" w:eastAsia="宋体" w:hAnsi="Times New Roman" w:cs="Times New Roman"/>
          <w:kern w:val="0"/>
          <w:sz w:val="24"/>
        </w:rPr>
        <w:t>32</w:t>
      </w:r>
      <w:r>
        <w:rPr>
          <w:rFonts w:ascii="Times New Roman" w:eastAsia="宋体" w:hAnsi="Times New Roman" w:cs="Times New Roman"/>
          <w:kern w:val="0"/>
          <w:sz w:val="24"/>
        </w:rPr>
        <w:t>道自评题项，以了解学生的能力基础与发展需要，七个理论维度的结构合理性通过后续检验加以考察。</w:t>
      </w:r>
    </w:p>
    <w:p w14:paraId="7BF80A3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教师调查则围绕上述能力要求如何进入教学展开。研究结合任务设计、探究组织和学习表现识别等实际要求，设置认知与价值认同、课堂实践、教学自我效能和现实阻碍四组调查内容，共</w:t>
      </w:r>
      <w:r>
        <w:rPr>
          <w:rFonts w:ascii="Times New Roman" w:eastAsia="宋体" w:hAnsi="Times New Roman" w:cs="Times New Roman"/>
          <w:kern w:val="0"/>
          <w:sz w:val="24"/>
        </w:rPr>
        <w:t>22</w:t>
      </w:r>
      <w:r>
        <w:rPr>
          <w:rFonts w:ascii="Times New Roman" w:eastAsia="宋体" w:hAnsi="Times New Roman" w:cs="Times New Roman"/>
          <w:kern w:val="0"/>
          <w:sz w:val="24"/>
        </w:rPr>
        <w:t>道评分题，分别考察教师的认识基础、教学做法、实施把握与条件约束。学生与教师调查相互参照，为学习模型中的能力目标、任务要求和支持安排提供依据，并进一步服务于教学模式的构建。</w:t>
      </w:r>
    </w:p>
    <w:p w14:paraId="75AC0A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教师样本与数据收集</w:t>
      </w:r>
    </w:p>
    <w:p w14:paraId="640CCE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为了解教师已有的高阶能力培育基础及教学实施中的困难，课题组编制教师前测问卷（见附录），围绕认知与价值认同、课堂实践、教学自我效能和现实阻碍四方面设置</w:t>
      </w:r>
      <w:r>
        <w:rPr>
          <w:rFonts w:ascii="Times New Roman" w:eastAsia="宋体" w:hAnsi="Times New Roman" w:cs="Times New Roman"/>
          <w:kern w:val="0"/>
          <w:sz w:val="24"/>
        </w:rPr>
        <w:t>22</w:t>
      </w:r>
      <w:r>
        <w:rPr>
          <w:rFonts w:ascii="Times New Roman" w:eastAsia="宋体" w:hAnsi="Times New Roman" w:cs="Times New Roman"/>
          <w:kern w:val="0"/>
          <w:sz w:val="24"/>
        </w:rPr>
        <w:t>道评分题，并通过背景信息与开放性问题补充了解教师的实践经验和支持需求。</w:t>
      </w:r>
    </w:p>
    <w:p w14:paraId="5A5083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color w:val="000000"/>
          <w:sz w:val="24"/>
          <w:szCs w:val="22"/>
          <w:shd w:val="clear" w:color="auto" w:fill="FFFFFF"/>
        </w:rPr>
        <w:t>为确定学校高阶能力培育的实施起点，课题组通过问卷星编制问卷向学校全体教师发放问卷，共收回问卷</w:t>
      </w:r>
      <w:r>
        <w:rPr>
          <w:rFonts w:ascii="Times New Roman" w:eastAsia="宋体" w:hAnsi="Times New Roman" w:cs="Times New Roman"/>
          <w:color w:val="000000"/>
          <w:sz w:val="24"/>
          <w:szCs w:val="22"/>
          <w:shd w:val="clear" w:color="auto" w:fill="FFFFFF"/>
        </w:rPr>
        <w:t>163</w:t>
      </w:r>
      <w:r>
        <w:rPr>
          <w:rFonts w:ascii="Times New Roman" w:eastAsia="宋体" w:hAnsi="Times New Roman" w:cs="Times New Roman"/>
          <w:color w:val="000000"/>
          <w:sz w:val="24"/>
          <w:szCs w:val="22"/>
          <w:shd w:val="clear" w:color="auto" w:fill="FFFFFF"/>
        </w:rPr>
        <w:t>份。其中，初中教师</w:t>
      </w:r>
      <w:r>
        <w:rPr>
          <w:rFonts w:ascii="Times New Roman" w:eastAsia="宋体" w:hAnsi="Times New Roman" w:cs="Times New Roman"/>
          <w:color w:val="000000"/>
          <w:sz w:val="24"/>
          <w:szCs w:val="22"/>
          <w:shd w:val="clear" w:color="auto" w:fill="FFFFFF"/>
        </w:rPr>
        <w:t>114</w:t>
      </w:r>
      <w:r>
        <w:rPr>
          <w:rFonts w:ascii="Times New Roman" w:eastAsia="宋体" w:hAnsi="Times New Roman" w:cs="Times New Roman"/>
          <w:color w:val="000000"/>
          <w:sz w:val="24"/>
          <w:szCs w:val="22"/>
          <w:shd w:val="clear" w:color="auto" w:fill="FFFFFF"/>
        </w:rPr>
        <w:t>人、高中教师</w:t>
      </w:r>
      <w:r>
        <w:rPr>
          <w:rFonts w:ascii="Times New Roman" w:eastAsia="宋体" w:hAnsi="Times New Roman" w:cs="Times New Roman"/>
          <w:color w:val="000000"/>
          <w:sz w:val="24"/>
          <w:szCs w:val="22"/>
          <w:shd w:val="clear" w:color="auto" w:fill="FFFFFF"/>
        </w:rPr>
        <w:t>49</w:t>
      </w:r>
      <w:r>
        <w:rPr>
          <w:rFonts w:ascii="Times New Roman" w:eastAsia="宋体" w:hAnsi="Times New Roman" w:cs="Times New Roman"/>
          <w:color w:val="000000"/>
          <w:sz w:val="24"/>
          <w:szCs w:val="22"/>
          <w:shd w:val="clear" w:color="auto" w:fill="FFFFFF"/>
        </w:rPr>
        <w:t>人，分别占</w:t>
      </w:r>
      <w:r>
        <w:rPr>
          <w:rFonts w:ascii="Times New Roman" w:eastAsia="宋体" w:hAnsi="Times New Roman" w:cs="Times New Roman"/>
          <w:color w:val="000000"/>
          <w:sz w:val="24"/>
          <w:szCs w:val="22"/>
          <w:shd w:val="clear" w:color="auto" w:fill="FFFFFF"/>
        </w:rPr>
        <w:t>69.9%</w:t>
      </w:r>
      <w:r>
        <w:rPr>
          <w:rFonts w:ascii="Times New Roman" w:eastAsia="宋体" w:hAnsi="Times New Roman" w:cs="Times New Roman"/>
          <w:color w:val="000000"/>
          <w:sz w:val="24"/>
          <w:szCs w:val="22"/>
          <w:shd w:val="clear" w:color="auto" w:fill="FFFFFF"/>
        </w:rPr>
        <w:t>和</w:t>
      </w:r>
      <w:r>
        <w:rPr>
          <w:rFonts w:ascii="Times New Roman" w:eastAsia="宋体" w:hAnsi="Times New Roman" w:cs="Times New Roman"/>
          <w:color w:val="000000"/>
          <w:sz w:val="24"/>
          <w:szCs w:val="22"/>
          <w:shd w:val="clear" w:color="auto" w:fill="FFFFFF"/>
        </w:rPr>
        <w:t>30.1%</w:t>
      </w:r>
      <w:r>
        <w:rPr>
          <w:rFonts w:ascii="Times New Roman" w:eastAsia="宋体" w:hAnsi="Times New Roman" w:cs="Times New Roman"/>
          <w:color w:val="000000"/>
          <w:sz w:val="24"/>
          <w:szCs w:val="22"/>
          <w:shd w:val="clear" w:color="auto" w:fill="FFFFFF"/>
        </w:rPr>
        <w:t>。教师调查结果与学生前测结果相互参照，共同用于判断学校高阶能力培育的现实基础，确定学习模型设计与后续教学模式构建的重点。</w:t>
      </w:r>
    </w:p>
    <w:p w14:paraId="5DC7211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教师问卷的测量质量检验</w:t>
      </w:r>
    </w:p>
    <w:p w14:paraId="3B4D1AB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教师高阶能力培育问卷围绕认知与价值认同、课堂实践、教学自我效能和现实阻碍四组内容编制，共包含</w:t>
      </w:r>
      <w:r>
        <w:rPr>
          <w:rFonts w:ascii="Times New Roman" w:eastAsia="宋体" w:hAnsi="Times New Roman" w:cs="Times New Roman"/>
          <w:kern w:val="0"/>
          <w:sz w:val="24"/>
        </w:rPr>
        <w:t>22</w:t>
      </w:r>
      <w:r>
        <w:rPr>
          <w:rFonts w:ascii="Times New Roman" w:eastAsia="宋体" w:hAnsi="Times New Roman" w:cs="Times New Roman"/>
          <w:kern w:val="0"/>
          <w:sz w:val="24"/>
        </w:rPr>
        <w:t>道评分题。为考察题项之间的关联及其与理论内容分类的对应情况，研究对</w:t>
      </w:r>
      <w:r>
        <w:rPr>
          <w:rFonts w:ascii="Times New Roman" w:eastAsia="宋体" w:hAnsi="Times New Roman" w:cs="Times New Roman"/>
          <w:kern w:val="0"/>
          <w:sz w:val="24"/>
        </w:rPr>
        <w:t>163</w:t>
      </w:r>
      <w:r>
        <w:rPr>
          <w:rFonts w:ascii="Times New Roman" w:eastAsia="宋体" w:hAnsi="Times New Roman" w:cs="Times New Roman"/>
          <w:kern w:val="0"/>
          <w:sz w:val="24"/>
        </w:rPr>
        <w:t>份教师前测问卷进行探索性因子分析与内部一</w:t>
      </w:r>
      <w:r>
        <w:rPr>
          <w:rFonts w:ascii="Times New Roman" w:eastAsia="宋体" w:hAnsi="Times New Roman" w:cs="Times New Roman"/>
          <w:kern w:val="0"/>
          <w:sz w:val="24"/>
        </w:rPr>
        <w:lastRenderedPageBreak/>
        <w:t>致性信度检验。</w:t>
      </w:r>
    </w:p>
    <w:p w14:paraId="1807A5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78527AE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0F427B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3-19</w:t>
      </w:r>
      <w:r>
        <w:rPr>
          <w:rFonts w:ascii="Times New Roman" w:eastAsia="宋体" w:hAnsi="Times New Roman" w:cs="Times New Roman"/>
          <w:kern w:val="0"/>
          <w:sz w:val="24"/>
        </w:rPr>
        <w:t>。</w:t>
      </w:r>
    </w:p>
    <w:p w14:paraId="049695BF"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3-19  </w:t>
      </w:r>
      <w:r>
        <w:rPr>
          <w:rFonts w:ascii="Times New Roman" w:eastAsia="黑体" w:hAnsi="Times New Roman" w:cs="Times New Roman"/>
          <w:kern w:val="0"/>
        </w:rPr>
        <w:t>教师高阶能力培育问卷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504"/>
        <w:gridCol w:w="2503"/>
        <w:gridCol w:w="2252"/>
      </w:tblGrid>
      <w:tr w:rsidR="000B1CCE" w14:paraId="6ECD7237" w14:textId="77777777">
        <w:trPr>
          <w:cantSplit/>
          <w:trHeight w:val="282"/>
          <w:tblHeader/>
          <w:jc w:val="center"/>
        </w:trPr>
        <w:tc>
          <w:tcPr>
            <w:tcW w:w="3504" w:type="dxa"/>
            <w:tcBorders>
              <w:top w:val="single" w:sz="12" w:space="0" w:color="000000"/>
              <w:left w:val="nil"/>
              <w:bottom w:val="single" w:sz="6" w:space="0" w:color="000000"/>
              <w:right w:val="nil"/>
            </w:tcBorders>
            <w:vAlign w:val="center"/>
          </w:tcPr>
          <w:p w14:paraId="1FFB66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503" w:type="dxa"/>
            <w:tcBorders>
              <w:top w:val="single" w:sz="12" w:space="0" w:color="000000"/>
              <w:left w:val="nil"/>
              <w:bottom w:val="single" w:sz="6" w:space="0" w:color="000000"/>
              <w:right w:val="nil"/>
            </w:tcBorders>
            <w:vAlign w:val="center"/>
          </w:tcPr>
          <w:p w14:paraId="0A906E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252" w:type="dxa"/>
            <w:tcBorders>
              <w:top w:val="single" w:sz="12" w:space="0" w:color="000000"/>
              <w:left w:val="nil"/>
              <w:bottom w:val="single" w:sz="6" w:space="0" w:color="000000"/>
              <w:right w:val="nil"/>
            </w:tcBorders>
            <w:vAlign w:val="center"/>
          </w:tcPr>
          <w:p w14:paraId="61E6D0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53BC9E74" w14:textId="77777777">
        <w:trPr>
          <w:cantSplit/>
          <w:trHeight w:val="282"/>
          <w:jc w:val="center"/>
        </w:trPr>
        <w:tc>
          <w:tcPr>
            <w:tcW w:w="3504" w:type="dxa"/>
            <w:tcBorders>
              <w:top w:val="nil"/>
              <w:left w:val="nil"/>
              <w:bottom w:val="nil"/>
              <w:right w:val="nil"/>
            </w:tcBorders>
            <w:vAlign w:val="center"/>
          </w:tcPr>
          <w:p w14:paraId="5AA38B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503" w:type="dxa"/>
            <w:tcBorders>
              <w:top w:val="nil"/>
              <w:left w:val="nil"/>
              <w:bottom w:val="nil"/>
              <w:right w:val="nil"/>
            </w:tcBorders>
            <w:vAlign w:val="center"/>
          </w:tcPr>
          <w:p w14:paraId="4F2536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252" w:type="dxa"/>
            <w:tcBorders>
              <w:top w:val="nil"/>
              <w:left w:val="nil"/>
              <w:bottom w:val="nil"/>
              <w:right w:val="nil"/>
            </w:tcBorders>
            <w:vAlign w:val="center"/>
          </w:tcPr>
          <w:p w14:paraId="61AA0C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0.857</w:t>
            </w:r>
          </w:p>
        </w:tc>
      </w:tr>
      <w:tr w:rsidR="000B1CCE" w14:paraId="06306ADF" w14:textId="77777777">
        <w:trPr>
          <w:cantSplit/>
          <w:trHeight w:val="269"/>
          <w:jc w:val="center"/>
        </w:trPr>
        <w:tc>
          <w:tcPr>
            <w:tcW w:w="3504" w:type="dxa"/>
            <w:tcBorders>
              <w:top w:val="nil"/>
              <w:left w:val="nil"/>
              <w:bottom w:val="nil"/>
              <w:right w:val="nil"/>
            </w:tcBorders>
            <w:vAlign w:val="center"/>
          </w:tcPr>
          <w:p w14:paraId="0617A1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nil"/>
              <w:right w:val="nil"/>
            </w:tcBorders>
            <w:vAlign w:val="center"/>
          </w:tcPr>
          <w:p w14:paraId="53888D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252" w:type="dxa"/>
            <w:tcBorders>
              <w:top w:val="nil"/>
              <w:left w:val="nil"/>
              <w:bottom w:val="nil"/>
              <w:right w:val="nil"/>
            </w:tcBorders>
            <w:vAlign w:val="center"/>
          </w:tcPr>
          <w:p w14:paraId="38AAA9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1398.630</w:t>
            </w:r>
          </w:p>
        </w:tc>
      </w:tr>
      <w:tr w:rsidR="000B1CCE" w14:paraId="05912400" w14:textId="77777777">
        <w:trPr>
          <w:cantSplit/>
          <w:trHeight w:val="282"/>
          <w:jc w:val="center"/>
        </w:trPr>
        <w:tc>
          <w:tcPr>
            <w:tcW w:w="3504" w:type="dxa"/>
            <w:tcBorders>
              <w:top w:val="nil"/>
              <w:left w:val="nil"/>
              <w:bottom w:val="single" w:sz="12" w:space="0" w:color="000000"/>
              <w:right w:val="nil"/>
            </w:tcBorders>
            <w:vAlign w:val="center"/>
          </w:tcPr>
          <w:p w14:paraId="0A8099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single" w:sz="12" w:space="0" w:color="000000"/>
              <w:right w:val="nil"/>
            </w:tcBorders>
            <w:vAlign w:val="center"/>
          </w:tcPr>
          <w:p w14:paraId="0299D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252" w:type="dxa"/>
            <w:tcBorders>
              <w:top w:val="nil"/>
              <w:left w:val="nil"/>
              <w:bottom w:val="single" w:sz="12" w:space="0" w:color="000000"/>
              <w:right w:val="nil"/>
            </w:tcBorders>
            <w:vAlign w:val="center"/>
          </w:tcPr>
          <w:p w14:paraId="631707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2C1ED6E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0.857</w:t>
      </w:r>
      <w:r>
        <w:rPr>
          <w:rFonts w:ascii="Times New Roman" w:eastAsia="宋体" w:hAnsi="Times New Roman" w:cs="Times New Roman"/>
          <w:kern w:val="0"/>
          <w:sz w:val="24"/>
        </w:rPr>
        <w:t>，表明题项之间具备开展因素分析的相关基础；</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球形度检验达到显著水平，说明相关矩阵并非单位矩阵。两项检验支持进一步考察题项的因素归属。</w:t>
      </w:r>
    </w:p>
    <w:p w14:paraId="36278A5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25F373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前四个成分的特征值均大于</w:t>
      </w:r>
      <w:r>
        <w:rPr>
          <w:rFonts w:ascii="Times New Roman" w:eastAsia="宋体" w:hAnsi="Times New Roman" w:cs="Times New Roman"/>
          <w:kern w:val="0"/>
          <w:sz w:val="24"/>
        </w:rPr>
        <w:t>1</w:t>
      </w:r>
      <w:r>
        <w:rPr>
          <w:rFonts w:ascii="Times New Roman" w:eastAsia="宋体" w:hAnsi="Times New Roman" w:cs="Times New Roman"/>
          <w:kern w:val="0"/>
          <w:sz w:val="24"/>
        </w:rPr>
        <w:t>，第五个成分的特征值低于</w:t>
      </w:r>
      <w:r>
        <w:rPr>
          <w:rFonts w:ascii="Times New Roman" w:eastAsia="宋体" w:hAnsi="Times New Roman" w:cs="Times New Roman"/>
          <w:kern w:val="0"/>
          <w:sz w:val="24"/>
        </w:rPr>
        <w:t>1</w:t>
      </w:r>
      <w:r>
        <w:rPr>
          <w:rFonts w:ascii="Times New Roman" w:eastAsia="宋体" w:hAnsi="Times New Roman" w:cs="Times New Roman"/>
          <w:kern w:val="0"/>
          <w:sz w:val="24"/>
        </w:rPr>
        <w:t>，结果见表</w:t>
      </w:r>
      <w:r>
        <w:rPr>
          <w:rFonts w:ascii="Times New Roman" w:eastAsia="宋体" w:hAnsi="Times New Roman" w:cs="Times New Roman"/>
          <w:kern w:val="0"/>
          <w:sz w:val="24"/>
        </w:rPr>
        <w:t>3-20</w:t>
      </w:r>
      <w:r>
        <w:rPr>
          <w:rFonts w:ascii="Times New Roman" w:eastAsia="宋体" w:hAnsi="Times New Roman" w:cs="Times New Roman"/>
          <w:kern w:val="0"/>
          <w:sz w:val="24"/>
        </w:rPr>
        <w:t>。</w:t>
      </w:r>
    </w:p>
    <w:p w14:paraId="0794FAC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3-20  </w:t>
      </w:r>
      <w:r>
        <w:rPr>
          <w:rFonts w:ascii="Times New Roman" w:eastAsia="黑体" w:hAnsi="Times New Roman" w:cs="Times New Roman"/>
          <w:kern w:val="0"/>
        </w:rPr>
        <w:t>教师高阶能力培育问卷前五个成分特征值</w:t>
      </w:r>
    </w:p>
    <w:tbl>
      <w:tblPr>
        <w:tblW w:w="878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390"/>
        <w:gridCol w:w="4390"/>
      </w:tblGrid>
      <w:tr w:rsidR="000B1CCE" w14:paraId="61FC42FA" w14:textId="77777777">
        <w:trPr>
          <w:cantSplit/>
          <w:trHeight w:val="342"/>
          <w:tblHeader/>
          <w:jc w:val="center"/>
        </w:trPr>
        <w:tc>
          <w:tcPr>
            <w:tcW w:w="4390" w:type="dxa"/>
            <w:tcBorders>
              <w:top w:val="single" w:sz="12" w:space="0" w:color="000000"/>
              <w:left w:val="nil"/>
              <w:bottom w:val="single" w:sz="6" w:space="0" w:color="000000"/>
              <w:right w:val="nil"/>
            </w:tcBorders>
            <w:vAlign w:val="center"/>
          </w:tcPr>
          <w:p w14:paraId="79648D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390" w:type="dxa"/>
            <w:tcBorders>
              <w:top w:val="single" w:sz="12" w:space="0" w:color="000000"/>
              <w:left w:val="nil"/>
              <w:bottom w:val="single" w:sz="6" w:space="0" w:color="000000"/>
              <w:right w:val="nil"/>
            </w:tcBorders>
            <w:vAlign w:val="center"/>
          </w:tcPr>
          <w:p w14:paraId="218E0F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3232B52F" w14:textId="77777777">
        <w:trPr>
          <w:cantSplit/>
          <w:trHeight w:val="342"/>
          <w:jc w:val="center"/>
        </w:trPr>
        <w:tc>
          <w:tcPr>
            <w:tcW w:w="4390" w:type="dxa"/>
            <w:tcBorders>
              <w:top w:val="nil"/>
              <w:left w:val="nil"/>
              <w:bottom w:val="nil"/>
              <w:right w:val="nil"/>
            </w:tcBorders>
            <w:vAlign w:val="center"/>
          </w:tcPr>
          <w:p w14:paraId="25A256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390" w:type="dxa"/>
            <w:tcBorders>
              <w:top w:val="nil"/>
              <w:left w:val="nil"/>
              <w:bottom w:val="nil"/>
              <w:right w:val="nil"/>
            </w:tcBorders>
            <w:vAlign w:val="center"/>
          </w:tcPr>
          <w:p w14:paraId="5FE012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8.524</w:t>
            </w:r>
          </w:p>
        </w:tc>
      </w:tr>
      <w:tr w:rsidR="000B1CCE" w14:paraId="02D0BD97" w14:textId="77777777">
        <w:trPr>
          <w:cantSplit/>
          <w:trHeight w:val="326"/>
          <w:jc w:val="center"/>
        </w:trPr>
        <w:tc>
          <w:tcPr>
            <w:tcW w:w="4390" w:type="dxa"/>
            <w:tcBorders>
              <w:top w:val="nil"/>
              <w:left w:val="nil"/>
              <w:bottom w:val="nil"/>
              <w:right w:val="nil"/>
            </w:tcBorders>
            <w:vAlign w:val="center"/>
          </w:tcPr>
          <w:p w14:paraId="5E5D89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390" w:type="dxa"/>
            <w:tcBorders>
              <w:top w:val="nil"/>
              <w:left w:val="nil"/>
              <w:bottom w:val="nil"/>
              <w:right w:val="nil"/>
            </w:tcBorders>
            <w:vAlign w:val="center"/>
          </w:tcPr>
          <w:p w14:paraId="456305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2.341</w:t>
            </w:r>
          </w:p>
        </w:tc>
      </w:tr>
      <w:tr w:rsidR="000B1CCE" w14:paraId="158E2192" w14:textId="77777777">
        <w:trPr>
          <w:cantSplit/>
          <w:trHeight w:val="326"/>
          <w:jc w:val="center"/>
        </w:trPr>
        <w:tc>
          <w:tcPr>
            <w:tcW w:w="4390" w:type="dxa"/>
            <w:tcBorders>
              <w:top w:val="nil"/>
              <w:left w:val="nil"/>
              <w:bottom w:val="nil"/>
              <w:right w:val="nil"/>
            </w:tcBorders>
            <w:vAlign w:val="center"/>
          </w:tcPr>
          <w:p w14:paraId="1D05F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390" w:type="dxa"/>
            <w:tcBorders>
              <w:top w:val="nil"/>
              <w:left w:val="nil"/>
              <w:bottom w:val="nil"/>
              <w:right w:val="nil"/>
            </w:tcBorders>
            <w:vAlign w:val="center"/>
          </w:tcPr>
          <w:p w14:paraId="0986DB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1.654</w:t>
            </w:r>
          </w:p>
        </w:tc>
      </w:tr>
      <w:tr w:rsidR="000B1CCE" w14:paraId="38730879" w14:textId="77777777">
        <w:trPr>
          <w:cantSplit/>
          <w:trHeight w:val="326"/>
          <w:jc w:val="center"/>
        </w:trPr>
        <w:tc>
          <w:tcPr>
            <w:tcW w:w="4390" w:type="dxa"/>
            <w:tcBorders>
              <w:top w:val="nil"/>
              <w:left w:val="nil"/>
              <w:bottom w:val="nil"/>
              <w:right w:val="nil"/>
            </w:tcBorders>
            <w:vAlign w:val="center"/>
          </w:tcPr>
          <w:p w14:paraId="08AA99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390" w:type="dxa"/>
            <w:tcBorders>
              <w:top w:val="nil"/>
              <w:left w:val="nil"/>
              <w:bottom w:val="nil"/>
              <w:right w:val="nil"/>
            </w:tcBorders>
            <w:vAlign w:val="center"/>
          </w:tcPr>
          <w:p w14:paraId="13BF99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1.313</w:t>
            </w:r>
          </w:p>
        </w:tc>
      </w:tr>
      <w:tr w:rsidR="000B1CCE" w14:paraId="223201C3" w14:textId="77777777">
        <w:trPr>
          <w:cantSplit/>
          <w:trHeight w:val="342"/>
          <w:jc w:val="center"/>
        </w:trPr>
        <w:tc>
          <w:tcPr>
            <w:tcW w:w="4390" w:type="dxa"/>
            <w:tcBorders>
              <w:top w:val="nil"/>
              <w:left w:val="nil"/>
              <w:bottom w:val="single" w:sz="12" w:space="0" w:color="000000"/>
              <w:right w:val="nil"/>
            </w:tcBorders>
            <w:vAlign w:val="center"/>
          </w:tcPr>
          <w:p w14:paraId="3018D7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390" w:type="dxa"/>
            <w:tcBorders>
              <w:top w:val="nil"/>
              <w:left w:val="nil"/>
              <w:bottom w:val="single" w:sz="12" w:space="0" w:color="000000"/>
              <w:right w:val="nil"/>
            </w:tcBorders>
            <w:vAlign w:val="center"/>
          </w:tcPr>
          <w:p w14:paraId="44162F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0.924</w:t>
            </w:r>
          </w:p>
        </w:tc>
      </w:tr>
    </w:tbl>
    <w:p w14:paraId="737A4DB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特征值分布为考察四因素方案提供了初步依据。因素数量的确定还需结合旋转后的题项分布及其内容含义。</w:t>
      </w:r>
    </w:p>
    <w:p w14:paraId="3605127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7BA2521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主轴因子法与</w:t>
      </w:r>
      <w:r>
        <w:rPr>
          <w:rFonts w:ascii="Times New Roman" w:eastAsia="宋体" w:hAnsi="Times New Roman" w:cs="Times New Roman"/>
          <w:kern w:val="0"/>
          <w:sz w:val="24"/>
        </w:rPr>
        <w:t>Promax</w:t>
      </w:r>
      <w:r>
        <w:rPr>
          <w:rFonts w:ascii="Times New Roman" w:eastAsia="宋体" w:hAnsi="Times New Roman" w:cs="Times New Roman"/>
          <w:kern w:val="0"/>
          <w:sz w:val="24"/>
        </w:rPr>
        <w:t>斜交旋转的题项载荷见表</w:t>
      </w:r>
      <w:r>
        <w:rPr>
          <w:rFonts w:ascii="Times New Roman" w:eastAsia="宋体" w:hAnsi="Times New Roman" w:cs="Times New Roman"/>
          <w:kern w:val="0"/>
          <w:sz w:val="24"/>
        </w:rPr>
        <w:t>3-21</w:t>
      </w:r>
      <w:r>
        <w:rPr>
          <w:rFonts w:ascii="Times New Roman" w:eastAsia="宋体" w:hAnsi="Times New Roman" w:cs="Times New Roman"/>
          <w:kern w:val="0"/>
          <w:sz w:val="24"/>
        </w:rPr>
        <w:t>。斜交旋转允许因素之间存在相关，能够进一步考察教师认识、教学实施及实施条件等内容之间的联系。</w:t>
      </w:r>
    </w:p>
    <w:p w14:paraId="1D344E05"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3-21  </w:t>
      </w:r>
      <w:r>
        <w:rPr>
          <w:rFonts w:ascii="Times New Roman" w:eastAsia="黑体" w:hAnsi="Times New Roman" w:cs="Times New Roman"/>
          <w:kern w:val="0"/>
        </w:rPr>
        <w:t>教师高阶能力培育问卷主轴因子法与</w:t>
      </w:r>
      <w:r>
        <w:rPr>
          <w:rFonts w:ascii="Times New Roman" w:eastAsia="黑体" w:hAnsi="Times New Roman" w:cs="Times New Roman"/>
          <w:kern w:val="0"/>
        </w:rPr>
        <w:t>Promax</w:t>
      </w:r>
      <w:r>
        <w:rPr>
          <w:rFonts w:ascii="Times New Roman" w:eastAsia="黑体" w:hAnsi="Times New Roman" w:cs="Times New Roman"/>
          <w:kern w:val="0"/>
        </w:rPr>
        <w:t>旋转载荷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87"/>
        <w:gridCol w:w="1783"/>
        <w:gridCol w:w="1783"/>
        <w:gridCol w:w="1783"/>
        <w:gridCol w:w="1783"/>
      </w:tblGrid>
      <w:tr w:rsidR="000B1CCE" w14:paraId="674F063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A1CD7C"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题项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550CAD"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1</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D421A3"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1B4D6B"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3</w:t>
            </w:r>
          </w:p>
        </w:tc>
        <w:tc>
          <w:tcPr>
            <w:tcW w:w="17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75EE98"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4</w:t>
            </w:r>
          </w:p>
        </w:tc>
      </w:tr>
      <w:tr w:rsidR="000B1CCE" w14:paraId="46D695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ADA93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Q7_1</w:t>
            </w:r>
          </w:p>
        </w:tc>
        <w:tc>
          <w:tcPr>
            <w:tcW w:w="0" w:type="auto"/>
            <w:tcBorders>
              <w:top w:val="nil"/>
              <w:left w:val="nil"/>
              <w:bottom w:val="nil"/>
              <w:right w:val="nil"/>
            </w:tcBorders>
            <w:tcMar>
              <w:top w:w="-1" w:type="dxa"/>
              <w:left w:w="-1" w:type="dxa"/>
              <w:bottom w:w="-1" w:type="dxa"/>
              <w:right w:w="-1" w:type="dxa"/>
            </w:tcMar>
            <w:vAlign w:val="center"/>
          </w:tcPr>
          <w:p w14:paraId="6A41A94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0.0632</w:t>
            </w:r>
          </w:p>
        </w:tc>
        <w:tc>
          <w:tcPr>
            <w:tcW w:w="0" w:type="auto"/>
            <w:tcBorders>
              <w:top w:val="nil"/>
              <w:left w:val="nil"/>
              <w:bottom w:val="nil"/>
              <w:right w:val="nil"/>
            </w:tcBorders>
            <w:tcMar>
              <w:top w:w="-1" w:type="dxa"/>
              <w:left w:w="-1" w:type="dxa"/>
              <w:bottom w:w="-1" w:type="dxa"/>
              <w:right w:w="-1" w:type="dxa"/>
            </w:tcMar>
            <w:vAlign w:val="center"/>
          </w:tcPr>
          <w:p w14:paraId="7406E9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0.7054</w:t>
            </w:r>
          </w:p>
        </w:tc>
        <w:tc>
          <w:tcPr>
            <w:tcW w:w="0" w:type="auto"/>
            <w:tcBorders>
              <w:top w:val="nil"/>
              <w:left w:val="nil"/>
              <w:bottom w:val="nil"/>
              <w:right w:val="nil"/>
            </w:tcBorders>
            <w:tcMar>
              <w:top w:w="-1" w:type="dxa"/>
              <w:left w:w="-1" w:type="dxa"/>
              <w:bottom w:w="-1" w:type="dxa"/>
              <w:right w:w="-1" w:type="dxa"/>
            </w:tcMar>
            <w:vAlign w:val="center"/>
          </w:tcPr>
          <w:p w14:paraId="482FE0E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0.0125</w:t>
            </w:r>
          </w:p>
        </w:tc>
        <w:tc>
          <w:tcPr>
            <w:tcW w:w="1783" w:type="dxa"/>
            <w:tcBorders>
              <w:top w:val="nil"/>
              <w:left w:val="nil"/>
              <w:bottom w:val="nil"/>
              <w:right w:val="nil"/>
            </w:tcBorders>
            <w:tcMar>
              <w:top w:w="-1" w:type="dxa"/>
              <w:left w:w="-1" w:type="dxa"/>
              <w:bottom w:w="-1" w:type="dxa"/>
              <w:right w:w="-1" w:type="dxa"/>
            </w:tcMar>
            <w:vAlign w:val="center"/>
          </w:tcPr>
          <w:p w14:paraId="6FD483F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0.0098</w:t>
            </w:r>
          </w:p>
        </w:tc>
      </w:tr>
      <w:tr w:rsidR="000B1CCE" w14:paraId="239BFF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43B6F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Q7_2</w:t>
            </w:r>
          </w:p>
        </w:tc>
        <w:tc>
          <w:tcPr>
            <w:tcW w:w="0" w:type="auto"/>
            <w:tcBorders>
              <w:top w:val="nil"/>
              <w:left w:val="nil"/>
              <w:bottom w:val="nil"/>
              <w:right w:val="nil"/>
            </w:tcBorders>
            <w:tcMar>
              <w:top w:w="-1" w:type="dxa"/>
              <w:left w:w="-1" w:type="dxa"/>
              <w:bottom w:w="-1" w:type="dxa"/>
              <w:right w:w="-1" w:type="dxa"/>
            </w:tcMar>
            <w:vAlign w:val="center"/>
          </w:tcPr>
          <w:p w14:paraId="0DCDF45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0.0834</w:t>
            </w:r>
          </w:p>
        </w:tc>
        <w:tc>
          <w:tcPr>
            <w:tcW w:w="0" w:type="auto"/>
            <w:tcBorders>
              <w:top w:val="nil"/>
              <w:left w:val="nil"/>
              <w:bottom w:val="nil"/>
              <w:right w:val="nil"/>
            </w:tcBorders>
            <w:tcMar>
              <w:top w:w="-1" w:type="dxa"/>
              <w:left w:w="-1" w:type="dxa"/>
              <w:bottom w:w="-1" w:type="dxa"/>
              <w:right w:w="-1" w:type="dxa"/>
            </w:tcMar>
            <w:vAlign w:val="center"/>
          </w:tcPr>
          <w:p w14:paraId="3123C80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0.7196</w:t>
            </w:r>
          </w:p>
        </w:tc>
        <w:tc>
          <w:tcPr>
            <w:tcW w:w="0" w:type="auto"/>
            <w:tcBorders>
              <w:top w:val="nil"/>
              <w:left w:val="nil"/>
              <w:bottom w:val="nil"/>
              <w:right w:val="nil"/>
            </w:tcBorders>
            <w:tcMar>
              <w:top w:w="-1" w:type="dxa"/>
              <w:left w:w="-1" w:type="dxa"/>
              <w:bottom w:w="-1" w:type="dxa"/>
              <w:right w:w="-1" w:type="dxa"/>
            </w:tcMar>
            <w:vAlign w:val="center"/>
          </w:tcPr>
          <w:p w14:paraId="44BDC29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3EDF9D2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0.0197</w:t>
            </w:r>
          </w:p>
        </w:tc>
      </w:tr>
      <w:tr w:rsidR="000B1CCE" w14:paraId="4C63A92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A9F0D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lastRenderedPageBreak/>
              <w:t>Q7_3</w:t>
            </w:r>
          </w:p>
        </w:tc>
        <w:tc>
          <w:tcPr>
            <w:tcW w:w="0" w:type="auto"/>
            <w:tcBorders>
              <w:top w:val="nil"/>
              <w:left w:val="nil"/>
              <w:bottom w:val="nil"/>
              <w:right w:val="nil"/>
            </w:tcBorders>
            <w:tcMar>
              <w:top w:w="-1" w:type="dxa"/>
              <w:left w:w="-1" w:type="dxa"/>
              <w:bottom w:w="-1" w:type="dxa"/>
              <w:right w:w="-1" w:type="dxa"/>
            </w:tcMar>
            <w:vAlign w:val="center"/>
          </w:tcPr>
          <w:p w14:paraId="3C895AE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0.1149</w:t>
            </w:r>
          </w:p>
        </w:tc>
        <w:tc>
          <w:tcPr>
            <w:tcW w:w="0" w:type="auto"/>
            <w:tcBorders>
              <w:top w:val="nil"/>
              <w:left w:val="nil"/>
              <w:bottom w:val="nil"/>
              <w:right w:val="nil"/>
            </w:tcBorders>
            <w:tcMar>
              <w:top w:w="-1" w:type="dxa"/>
              <w:left w:w="-1" w:type="dxa"/>
              <w:bottom w:w="-1" w:type="dxa"/>
              <w:right w:w="-1" w:type="dxa"/>
            </w:tcMar>
            <w:vAlign w:val="center"/>
          </w:tcPr>
          <w:p w14:paraId="7C70E78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0.5647</w:t>
            </w:r>
          </w:p>
        </w:tc>
        <w:tc>
          <w:tcPr>
            <w:tcW w:w="0" w:type="auto"/>
            <w:tcBorders>
              <w:top w:val="nil"/>
              <w:left w:val="nil"/>
              <w:bottom w:val="nil"/>
              <w:right w:val="nil"/>
            </w:tcBorders>
            <w:tcMar>
              <w:top w:w="-1" w:type="dxa"/>
              <w:left w:w="-1" w:type="dxa"/>
              <w:bottom w:w="-1" w:type="dxa"/>
              <w:right w:w="-1" w:type="dxa"/>
            </w:tcMar>
            <w:vAlign w:val="center"/>
          </w:tcPr>
          <w:p w14:paraId="126EBB7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3D1AE8D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0.0382</w:t>
            </w:r>
          </w:p>
        </w:tc>
      </w:tr>
      <w:tr w:rsidR="000B1CCE" w14:paraId="1E02D4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5CC1E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Q7_4</w:t>
            </w:r>
          </w:p>
        </w:tc>
        <w:tc>
          <w:tcPr>
            <w:tcW w:w="0" w:type="auto"/>
            <w:tcBorders>
              <w:top w:val="nil"/>
              <w:left w:val="nil"/>
              <w:bottom w:val="nil"/>
              <w:right w:val="nil"/>
            </w:tcBorders>
            <w:tcMar>
              <w:top w:w="-1" w:type="dxa"/>
              <w:left w:w="-1" w:type="dxa"/>
              <w:bottom w:w="-1" w:type="dxa"/>
              <w:right w:w="-1" w:type="dxa"/>
            </w:tcMar>
            <w:vAlign w:val="center"/>
          </w:tcPr>
          <w:p w14:paraId="4F870C5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0.0992</w:t>
            </w:r>
          </w:p>
        </w:tc>
        <w:tc>
          <w:tcPr>
            <w:tcW w:w="0" w:type="auto"/>
            <w:tcBorders>
              <w:top w:val="nil"/>
              <w:left w:val="nil"/>
              <w:bottom w:val="nil"/>
              <w:right w:val="nil"/>
            </w:tcBorders>
            <w:tcMar>
              <w:top w:w="-1" w:type="dxa"/>
              <w:left w:w="-1" w:type="dxa"/>
              <w:bottom w:w="-1" w:type="dxa"/>
              <w:right w:w="-1" w:type="dxa"/>
            </w:tcMar>
            <w:vAlign w:val="center"/>
          </w:tcPr>
          <w:p w14:paraId="0AF033A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0.5285</w:t>
            </w:r>
          </w:p>
        </w:tc>
        <w:tc>
          <w:tcPr>
            <w:tcW w:w="0" w:type="auto"/>
            <w:tcBorders>
              <w:top w:val="nil"/>
              <w:left w:val="nil"/>
              <w:bottom w:val="nil"/>
              <w:right w:val="nil"/>
            </w:tcBorders>
            <w:tcMar>
              <w:top w:w="-1" w:type="dxa"/>
              <w:left w:w="-1" w:type="dxa"/>
              <w:bottom w:w="-1" w:type="dxa"/>
              <w:right w:w="-1" w:type="dxa"/>
            </w:tcMar>
            <w:vAlign w:val="center"/>
          </w:tcPr>
          <w:p w14:paraId="3BFA584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0E1A322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0.0297</w:t>
            </w:r>
          </w:p>
        </w:tc>
      </w:tr>
      <w:tr w:rsidR="000B1CCE" w14:paraId="44A9BE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9137F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Q7_5</w:t>
            </w:r>
          </w:p>
        </w:tc>
        <w:tc>
          <w:tcPr>
            <w:tcW w:w="0" w:type="auto"/>
            <w:tcBorders>
              <w:top w:val="nil"/>
              <w:left w:val="nil"/>
              <w:bottom w:val="nil"/>
              <w:right w:val="nil"/>
            </w:tcBorders>
            <w:tcMar>
              <w:top w:w="-1" w:type="dxa"/>
              <w:left w:w="-1" w:type="dxa"/>
              <w:bottom w:w="-1" w:type="dxa"/>
              <w:right w:w="-1" w:type="dxa"/>
            </w:tcMar>
            <w:vAlign w:val="center"/>
          </w:tcPr>
          <w:p w14:paraId="771D55E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0.1270</w:t>
            </w:r>
          </w:p>
        </w:tc>
        <w:tc>
          <w:tcPr>
            <w:tcW w:w="0" w:type="auto"/>
            <w:tcBorders>
              <w:top w:val="nil"/>
              <w:left w:val="nil"/>
              <w:bottom w:val="nil"/>
              <w:right w:val="nil"/>
            </w:tcBorders>
            <w:tcMar>
              <w:top w:w="-1" w:type="dxa"/>
              <w:left w:w="-1" w:type="dxa"/>
              <w:bottom w:w="-1" w:type="dxa"/>
              <w:right w:w="-1" w:type="dxa"/>
            </w:tcMar>
            <w:vAlign w:val="center"/>
          </w:tcPr>
          <w:p w14:paraId="3B76325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0.5831</w:t>
            </w:r>
          </w:p>
        </w:tc>
        <w:tc>
          <w:tcPr>
            <w:tcW w:w="0" w:type="auto"/>
            <w:tcBorders>
              <w:top w:val="nil"/>
              <w:left w:val="nil"/>
              <w:bottom w:val="nil"/>
              <w:right w:val="nil"/>
            </w:tcBorders>
            <w:tcMar>
              <w:top w:w="-1" w:type="dxa"/>
              <w:left w:w="-1" w:type="dxa"/>
              <w:bottom w:w="-1" w:type="dxa"/>
              <w:right w:w="-1" w:type="dxa"/>
            </w:tcMar>
            <w:vAlign w:val="center"/>
          </w:tcPr>
          <w:p w14:paraId="407664A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1900898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0.0462</w:t>
            </w:r>
          </w:p>
        </w:tc>
      </w:tr>
      <w:tr w:rsidR="000B1CCE" w14:paraId="54A85CC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EF3AD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Q7_6</w:t>
            </w:r>
          </w:p>
        </w:tc>
        <w:tc>
          <w:tcPr>
            <w:tcW w:w="0" w:type="auto"/>
            <w:tcBorders>
              <w:top w:val="nil"/>
              <w:left w:val="nil"/>
              <w:bottom w:val="nil"/>
              <w:right w:val="nil"/>
            </w:tcBorders>
            <w:tcMar>
              <w:top w:w="-1" w:type="dxa"/>
              <w:left w:w="-1" w:type="dxa"/>
              <w:bottom w:w="-1" w:type="dxa"/>
              <w:right w:w="-1" w:type="dxa"/>
            </w:tcMar>
            <w:vAlign w:val="center"/>
          </w:tcPr>
          <w:p w14:paraId="7AB1684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0.1077</w:t>
            </w:r>
          </w:p>
        </w:tc>
        <w:tc>
          <w:tcPr>
            <w:tcW w:w="0" w:type="auto"/>
            <w:tcBorders>
              <w:top w:val="nil"/>
              <w:left w:val="nil"/>
              <w:bottom w:val="nil"/>
              <w:right w:val="nil"/>
            </w:tcBorders>
            <w:tcMar>
              <w:top w:w="-1" w:type="dxa"/>
              <w:left w:w="-1" w:type="dxa"/>
              <w:bottom w:w="-1" w:type="dxa"/>
              <w:right w:w="-1" w:type="dxa"/>
            </w:tcMar>
            <w:vAlign w:val="center"/>
          </w:tcPr>
          <w:p w14:paraId="02FA56A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0.5427</w:t>
            </w:r>
          </w:p>
        </w:tc>
        <w:tc>
          <w:tcPr>
            <w:tcW w:w="0" w:type="auto"/>
            <w:tcBorders>
              <w:top w:val="nil"/>
              <w:left w:val="nil"/>
              <w:bottom w:val="nil"/>
              <w:right w:val="nil"/>
            </w:tcBorders>
            <w:tcMar>
              <w:top w:w="-1" w:type="dxa"/>
              <w:left w:w="-1" w:type="dxa"/>
              <w:bottom w:w="-1" w:type="dxa"/>
              <w:right w:w="-1" w:type="dxa"/>
            </w:tcMar>
            <w:vAlign w:val="center"/>
          </w:tcPr>
          <w:p w14:paraId="58DAAC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580BB84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0.0323</w:t>
            </w:r>
          </w:p>
        </w:tc>
      </w:tr>
      <w:tr w:rsidR="000B1CCE" w14:paraId="6AE944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FCC70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Q7_7</w:t>
            </w:r>
          </w:p>
        </w:tc>
        <w:tc>
          <w:tcPr>
            <w:tcW w:w="0" w:type="auto"/>
            <w:tcBorders>
              <w:top w:val="nil"/>
              <w:left w:val="nil"/>
              <w:bottom w:val="nil"/>
              <w:right w:val="nil"/>
            </w:tcBorders>
            <w:tcMar>
              <w:top w:w="-1" w:type="dxa"/>
              <w:left w:w="-1" w:type="dxa"/>
              <w:bottom w:w="-1" w:type="dxa"/>
              <w:right w:w="-1" w:type="dxa"/>
            </w:tcMar>
            <w:vAlign w:val="center"/>
          </w:tcPr>
          <w:p w14:paraId="516BB4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0.0959</w:t>
            </w:r>
          </w:p>
        </w:tc>
        <w:tc>
          <w:tcPr>
            <w:tcW w:w="0" w:type="auto"/>
            <w:tcBorders>
              <w:top w:val="nil"/>
              <w:left w:val="nil"/>
              <w:bottom w:val="nil"/>
              <w:right w:val="nil"/>
            </w:tcBorders>
            <w:tcMar>
              <w:top w:w="-1" w:type="dxa"/>
              <w:left w:w="-1" w:type="dxa"/>
              <w:bottom w:w="-1" w:type="dxa"/>
              <w:right w:w="-1" w:type="dxa"/>
            </w:tcMar>
            <w:vAlign w:val="center"/>
          </w:tcPr>
          <w:p w14:paraId="2BEC066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0.5165</w:t>
            </w:r>
          </w:p>
        </w:tc>
        <w:tc>
          <w:tcPr>
            <w:tcW w:w="0" w:type="auto"/>
            <w:tcBorders>
              <w:top w:val="nil"/>
              <w:left w:val="nil"/>
              <w:bottom w:val="nil"/>
              <w:right w:val="nil"/>
            </w:tcBorders>
            <w:tcMar>
              <w:top w:w="-1" w:type="dxa"/>
              <w:left w:w="-1" w:type="dxa"/>
              <w:bottom w:w="-1" w:type="dxa"/>
              <w:right w:w="-1" w:type="dxa"/>
            </w:tcMar>
            <w:vAlign w:val="center"/>
          </w:tcPr>
          <w:p w14:paraId="18BD7D8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8853FB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0.0239</w:t>
            </w:r>
          </w:p>
        </w:tc>
      </w:tr>
      <w:tr w:rsidR="000B1CCE" w14:paraId="7B8A70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E6EC1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Q8_1</w:t>
            </w:r>
          </w:p>
        </w:tc>
        <w:tc>
          <w:tcPr>
            <w:tcW w:w="0" w:type="auto"/>
            <w:tcBorders>
              <w:top w:val="nil"/>
              <w:left w:val="nil"/>
              <w:bottom w:val="nil"/>
              <w:right w:val="nil"/>
            </w:tcBorders>
            <w:tcMar>
              <w:top w:w="-1" w:type="dxa"/>
              <w:left w:w="-1" w:type="dxa"/>
              <w:bottom w:w="-1" w:type="dxa"/>
              <w:right w:w="-1" w:type="dxa"/>
            </w:tcMar>
            <w:vAlign w:val="center"/>
          </w:tcPr>
          <w:p w14:paraId="62FB38C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0.6244</w:t>
            </w:r>
          </w:p>
        </w:tc>
        <w:tc>
          <w:tcPr>
            <w:tcW w:w="0" w:type="auto"/>
            <w:tcBorders>
              <w:top w:val="nil"/>
              <w:left w:val="nil"/>
              <w:bottom w:val="nil"/>
              <w:right w:val="nil"/>
            </w:tcBorders>
            <w:tcMar>
              <w:top w:w="-1" w:type="dxa"/>
              <w:left w:w="-1" w:type="dxa"/>
              <w:bottom w:w="-1" w:type="dxa"/>
              <w:right w:w="-1" w:type="dxa"/>
            </w:tcMar>
            <w:vAlign w:val="center"/>
          </w:tcPr>
          <w:p w14:paraId="5ABE9DC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0.1094</w:t>
            </w:r>
          </w:p>
        </w:tc>
        <w:tc>
          <w:tcPr>
            <w:tcW w:w="0" w:type="auto"/>
            <w:tcBorders>
              <w:top w:val="nil"/>
              <w:left w:val="nil"/>
              <w:bottom w:val="nil"/>
              <w:right w:val="nil"/>
            </w:tcBorders>
            <w:tcMar>
              <w:top w:w="-1" w:type="dxa"/>
              <w:left w:w="-1" w:type="dxa"/>
              <w:bottom w:w="-1" w:type="dxa"/>
              <w:right w:w="-1" w:type="dxa"/>
            </w:tcMar>
            <w:vAlign w:val="center"/>
          </w:tcPr>
          <w:p w14:paraId="5DB8F4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1B93435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r>
      <w:tr w:rsidR="000B1CCE" w14:paraId="7247BC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FCD6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Q8_2</w:t>
            </w:r>
          </w:p>
        </w:tc>
        <w:tc>
          <w:tcPr>
            <w:tcW w:w="0" w:type="auto"/>
            <w:tcBorders>
              <w:top w:val="nil"/>
              <w:left w:val="nil"/>
              <w:bottom w:val="nil"/>
              <w:right w:val="nil"/>
            </w:tcBorders>
            <w:tcMar>
              <w:top w:w="-1" w:type="dxa"/>
              <w:left w:w="-1" w:type="dxa"/>
              <w:bottom w:w="-1" w:type="dxa"/>
              <w:right w:w="-1" w:type="dxa"/>
            </w:tcMar>
            <w:vAlign w:val="center"/>
          </w:tcPr>
          <w:p w14:paraId="66B4C99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0.5947</w:t>
            </w:r>
          </w:p>
        </w:tc>
        <w:tc>
          <w:tcPr>
            <w:tcW w:w="0" w:type="auto"/>
            <w:tcBorders>
              <w:top w:val="nil"/>
              <w:left w:val="nil"/>
              <w:bottom w:val="nil"/>
              <w:right w:val="nil"/>
            </w:tcBorders>
            <w:tcMar>
              <w:top w:w="-1" w:type="dxa"/>
              <w:left w:w="-1" w:type="dxa"/>
              <w:bottom w:w="-1" w:type="dxa"/>
              <w:right w:w="-1" w:type="dxa"/>
            </w:tcMar>
            <w:vAlign w:val="center"/>
          </w:tcPr>
          <w:p w14:paraId="40A68C5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0.0592</w:t>
            </w:r>
          </w:p>
        </w:tc>
        <w:tc>
          <w:tcPr>
            <w:tcW w:w="0" w:type="auto"/>
            <w:tcBorders>
              <w:top w:val="nil"/>
              <w:left w:val="nil"/>
              <w:bottom w:val="nil"/>
              <w:right w:val="nil"/>
            </w:tcBorders>
            <w:tcMar>
              <w:top w:w="-1" w:type="dxa"/>
              <w:left w:w="-1" w:type="dxa"/>
              <w:bottom w:w="-1" w:type="dxa"/>
              <w:right w:w="-1" w:type="dxa"/>
            </w:tcMar>
            <w:vAlign w:val="center"/>
          </w:tcPr>
          <w:p w14:paraId="50636B7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111F212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0.0043</w:t>
            </w:r>
          </w:p>
        </w:tc>
      </w:tr>
      <w:tr w:rsidR="000B1CCE" w14:paraId="2B7C5AF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115A6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Q8_3</w:t>
            </w:r>
          </w:p>
        </w:tc>
        <w:tc>
          <w:tcPr>
            <w:tcW w:w="0" w:type="auto"/>
            <w:tcBorders>
              <w:top w:val="nil"/>
              <w:left w:val="nil"/>
              <w:bottom w:val="nil"/>
              <w:right w:val="nil"/>
            </w:tcBorders>
            <w:tcMar>
              <w:top w:w="-1" w:type="dxa"/>
              <w:left w:w="-1" w:type="dxa"/>
              <w:bottom w:w="-1" w:type="dxa"/>
              <w:right w:w="-1" w:type="dxa"/>
            </w:tcMar>
            <w:vAlign w:val="center"/>
          </w:tcPr>
          <w:p w14:paraId="45C50FF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0.6211</w:t>
            </w:r>
          </w:p>
        </w:tc>
        <w:tc>
          <w:tcPr>
            <w:tcW w:w="0" w:type="auto"/>
            <w:tcBorders>
              <w:top w:val="nil"/>
              <w:left w:val="nil"/>
              <w:bottom w:val="nil"/>
              <w:right w:val="nil"/>
            </w:tcBorders>
            <w:tcMar>
              <w:top w:w="-1" w:type="dxa"/>
              <w:left w:w="-1" w:type="dxa"/>
              <w:bottom w:w="-1" w:type="dxa"/>
              <w:right w:w="-1" w:type="dxa"/>
            </w:tcMar>
            <w:vAlign w:val="center"/>
          </w:tcPr>
          <w:p w14:paraId="3402FAB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0.0802</w:t>
            </w:r>
          </w:p>
        </w:tc>
        <w:tc>
          <w:tcPr>
            <w:tcW w:w="0" w:type="auto"/>
            <w:tcBorders>
              <w:top w:val="nil"/>
              <w:left w:val="nil"/>
              <w:bottom w:val="nil"/>
              <w:right w:val="nil"/>
            </w:tcBorders>
            <w:tcMar>
              <w:top w:w="-1" w:type="dxa"/>
              <w:left w:w="-1" w:type="dxa"/>
              <w:bottom w:w="-1" w:type="dxa"/>
              <w:right w:w="-1" w:type="dxa"/>
            </w:tcMar>
            <w:vAlign w:val="center"/>
          </w:tcPr>
          <w:p w14:paraId="7159BD0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1AB4F73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r>
      <w:tr w:rsidR="000B1CCE" w14:paraId="73B7479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962E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Q8_4</w:t>
            </w:r>
          </w:p>
        </w:tc>
        <w:tc>
          <w:tcPr>
            <w:tcW w:w="0" w:type="auto"/>
            <w:tcBorders>
              <w:top w:val="nil"/>
              <w:left w:val="nil"/>
              <w:bottom w:val="nil"/>
              <w:right w:val="nil"/>
            </w:tcBorders>
            <w:tcMar>
              <w:top w:w="-1" w:type="dxa"/>
              <w:left w:w="-1" w:type="dxa"/>
              <w:bottom w:w="-1" w:type="dxa"/>
              <w:right w:w="-1" w:type="dxa"/>
            </w:tcMar>
            <w:vAlign w:val="center"/>
          </w:tcPr>
          <w:p w14:paraId="4F134CB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0.6200</w:t>
            </w:r>
          </w:p>
        </w:tc>
        <w:tc>
          <w:tcPr>
            <w:tcW w:w="0" w:type="auto"/>
            <w:tcBorders>
              <w:top w:val="nil"/>
              <w:left w:val="nil"/>
              <w:bottom w:val="nil"/>
              <w:right w:val="nil"/>
            </w:tcBorders>
            <w:tcMar>
              <w:top w:w="-1" w:type="dxa"/>
              <w:left w:w="-1" w:type="dxa"/>
              <w:bottom w:w="-1" w:type="dxa"/>
              <w:right w:w="-1" w:type="dxa"/>
            </w:tcMar>
            <w:vAlign w:val="center"/>
          </w:tcPr>
          <w:p w14:paraId="3272254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0.0815</w:t>
            </w:r>
          </w:p>
        </w:tc>
        <w:tc>
          <w:tcPr>
            <w:tcW w:w="0" w:type="auto"/>
            <w:tcBorders>
              <w:top w:val="nil"/>
              <w:left w:val="nil"/>
              <w:bottom w:val="nil"/>
              <w:right w:val="nil"/>
            </w:tcBorders>
            <w:tcMar>
              <w:top w:w="-1" w:type="dxa"/>
              <w:left w:w="-1" w:type="dxa"/>
              <w:bottom w:w="-1" w:type="dxa"/>
              <w:right w:w="-1" w:type="dxa"/>
            </w:tcMar>
            <w:vAlign w:val="center"/>
          </w:tcPr>
          <w:p w14:paraId="600CDBC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68572F1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0.0121</w:t>
            </w:r>
          </w:p>
        </w:tc>
      </w:tr>
      <w:tr w:rsidR="000B1CCE" w14:paraId="5865534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4381A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Q8_5</w:t>
            </w:r>
          </w:p>
        </w:tc>
        <w:tc>
          <w:tcPr>
            <w:tcW w:w="0" w:type="auto"/>
            <w:tcBorders>
              <w:top w:val="nil"/>
              <w:left w:val="nil"/>
              <w:bottom w:val="nil"/>
              <w:right w:val="nil"/>
            </w:tcBorders>
            <w:tcMar>
              <w:top w:w="-1" w:type="dxa"/>
              <w:left w:w="-1" w:type="dxa"/>
              <w:bottom w:w="-1" w:type="dxa"/>
              <w:right w:w="-1" w:type="dxa"/>
            </w:tcMar>
            <w:vAlign w:val="center"/>
          </w:tcPr>
          <w:p w14:paraId="0DD24DF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0.5877</w:t>
            </w:r>
          </w:p>
        </w:tc>
        <w:tc>
          <w:tcPr>
            <w:tcW w:w="0" w:type="auto"/>
            <w:tcBorders>
              <w:top w:val="nil"/>
              <w:left w:val="nil"/>
              <w:bottom w:val="nil"/>
              <w:right w:val="nil"/>
            </w:tcBorders>
            <w:tcMar>
              <w:top w:w="-1" w:type="dxa"/>
              <w:left w:w="-1" w:type="dxa"/>
              <w:bottom w:w="-1" w:type="dxa"/>
              <w:right w:w="-1" w:type="dxa"/>
            </w:tcMar>
            <w:vAlign w:val="center"/>
          </w:tcPr>
          <w:p w14:paraId="5805FC8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0.0645</w:t>
            </w:r>
          </w:p>
        </w:tc>
        <w:tc>
          <w:tcPr>
            <w:tcW w:w="0" w:type="auto"/>
            <w:tcBorders>
              <w:top w:val="nil"/>
              <w:left w:val="nil"/>
              <w:bottom w:val="nil"/>
              <w:right w:val="nil"/>
            </w:tcBorders>
            <w:tcMar>
              <w:top w:w="-1" w:type="dxa"/>
              <w:left w:w="-1" w:type="dxa"/>
              <w:bottom w:w="-1" w:type="dxa"/>
              <w:right w:w="-1" w:type="dxa"/>
            </w:tcMar>
            <w:vAlign w:val="center"/>
          </w:tcPr>
          <w:p w14:paraId="78B6CF2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1835861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0.0019</w:t>
            </w:r>
          </w:p>
        </w:tc>
      </w:tr>
      <w:tr w:rsidR="000B1CCE" w14:paraId="4C72BEF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37C1F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Q8_6</w:t>
            </w:r>
          </w:p>
        </w:tc>
        <w:tc>
          <w:tcPr>
            <w:tcW w:w="0" w:type="auto"/>
            <w:tcBorders>
              <w:top w:val="nil"/>
              <w:left w:val="nil"/>
              <w:bottom w:val="nil"/>
              <w:right w:val="nil"/>
            </w:tcBorders>
            <w:tcMar>
              <w:top w:w="-1" w:type="dxa"/>
              <w:left w:w="-1" w:type="dxa"/>
              <w:bottom w:w="-1" w:type="dxa"/>
              <w:right w:w="-1" w:type="dxa"/>
            </w:tcMar>
            <w:vAlign w:val="center"/>
          </w:tcPr>
          <w:p w14:paraId="701953B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0.5535</w:t>
            </w:r>
          </w:p>
        </w:tc>
        <w:tc>
          <w:tcPr>
            <w:tcW w:w="0" w:type="auto"/>
            <w:tcBorders>
              <w:top w:val="nil"/>
              <w:left w:val="nil"/>
              <w:bottom w:val="nil"/>
              <w:right w:val="nil"/>
            </w:tcBorders>
            <w:tcMar>
              <w:top w:w="-1" w:type="dxa"/>
              <w:left w:w="-1" w:type="dxa"/>
              <w:bottom w:w="-1" w:type="dxa"/>
              <w:right w:w="-1" w:type="dxa"/>
            </w:tcMar>
            <w:vAlign w:val="center"/>
          </w:tcPr>
          <w:p w14:paraId="16AE2AD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0.0450</w:t>
            </w:r>
          </w:p>
        </w:tc>
        <w:tc>
          <w:tcPr>
            <w:tcW w:w="0" w:type="auto"/>
            <w:tcBorders>
              <w:top w:val="nil"/>
              <w:left w:val="nil"/>
              <w:bottom w:val="nil"/>
              <w:right w:val="nil"/>
            </w:tcBorders>
            <w:tcMar>
              <w:top w:w="-1" w:type="dxa"/>
              <w:left w:w="-1" w:type="dxa"/>
              <w:bottom w:w="-1" w:type="dxa"/>
              <w:right w:w="-1" w:type="dxa"/>
            </w:tcMar>
            <w:vAlign w:val="center"/>
          </w:tcPr>
          <w:p w14:paraId="32AD4D6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3D7F01B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-0.0083</w:t>
            </w:r>
          </w:p>
        </w:tc>
      </w:tr>
      <w:tr w:rsidR="000B1CCE" w14:paraId="6A1A640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1628D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Q9_1</w:t>
            </w:r>
          </w:p>
        </w:tc>
        <w:tc>
          <w:tcPr>
            <w:tcW w:w="0" w:type="auto"/>
            <w:tcBorders>
              <w:top w:val="nil"/>
              <w:left w:val="nil"/>
              <w:bottom w:val="nil"/>
              <w:right w:val="nil"/>
            </w:tcBorders>
            <w:tcMar>
              <w:top w:w="-1" w:type="dxa"/>
              <w:left w:w="-1" w:type="dxa"/>
              <w:bottom w:w="-1" w:type="dxa"/>
              <w:right w:w="-1" w:type="dxa"/>
            </w:tcMar>
            <w:vAlign w:val="center"/>
          </w:tcPr>
          <w:p w14:paraId="1229584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0.5960</w:t>
            </w:r>
          </w:p>
        </w:tc>
        <w:tc>
          <w:tcPr>
            <w:tcW w:w="0" w:type="auto"/>
            <w:tcBorders>
              <w:top w:val="nil"/>
              <w:left w:val="nil"/>
              <w:bottom w:val="nil"/>
              <w:right w:val="nil"/>
            </w:tcBorders>
            <w:tcMar>
              <w:top w:w="-1" w:type="dxa"/>
              <w:left w:w="-1" w:type="dxa"/>
              <w:bottom w:w="-1" w:type="dxa"/>
              <w:right w:w="-1" w:type="dxa"/>
            </w:tcMar>
            <w:vAlign w:val="center"/>
          </w:tcPr>
          <w:p w14:paraId="572D9B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0.0669</w:t>
            </w:r>
          </w:p>
        </w:tc>
        <w:tc>
          <w:tcPr>
            <w:tcW w:w="0" w:type="auto"/>
            <w:tcBorders>
              <w:top w:val="nil"/>
              <w:left w:val="nil"/>
              <w:bottom w:val="nil"/>
              <w:right w:val="nil"/>
            </w:tcBorders>
            <w:tcMar>
              <w:top w:w="-1" w:type="dxa"/>
              <w:left w:w="-1" w:type="dxa"/>
              <w:bottom w:w="-1" w:type="dxa"/>
              <w:right w:w="-1" w:type="dxa"/>
            </w:tcMar>
            <w:vAlign w:val="center"/>
          </w:tcPr>
          <w:p w14:paraId="0BC1BDA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295DBB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0.0047</w:t>
            </w:r>
          </w:p>
        </w:tc>
      </w:tr>
      <w:tr w:rsidR="000B1CCE" w14:paraId="0ECF93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7C400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Q9_2</w:t>
            </w:r>
          </w:p>
        </w:tc>
        <w:tc>
          <w:tcPr>
            <w:tcW w:w="0" w:type="auto"/>
            <w:tcBorders>
              <w:top w:val="nil"/>
              <w:left w:val="nil"/>
              <w:bottom w:val="nil"/>
              <w:right w:val="nil"/>
            </w:tcBorders>
            <w:tcMar>
              <w:top w:w="-1" w:type="dxa"/>
              <w:left w:w="-1" w:type="dxa"/>
              <w:bottom w:w="-1" w:type="dxa"/>
              <w:right w:w="-1" w:type="dxa"/>
            </w:tcMar>
            <w:vAlign w:val="center"/>
          </w:tcPr>
          <w:p w14:paraId="66B0299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0.6026</w:t>
            </w:r>
          </w:p>
        </w:tc>
        <w:tc>
          <w:tcPr>
            <w:tcW w:w="0" w:type="auto"/>
            <w:tcBorders>
              <w:top w:val="nil"/>
              <w:left w:val="nil"/>
              <w:bottom w:val="nil"/>
              <w:right w:val="nil"/>
            </w:tcBorders>
            <w:tcMar>
              <w:top w:w="-1" w:type="dxa"/>
              <w:left w:w="-1" w:type="dxa"/>
              <w:bottom w:w="-1" w:type="dxa"/>
              <w:right w:w="-1" w:type="dxa"/>
            </w:tcMar>
            <w:vAlign w:val="center"/>
          </w:tcPr>
          <w:p w14:paraId="0F37C39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0.0703</w:t>
            </w:r>
          </w:p>
        </w:tc>
        <w:tc>
          <w:tcPr>
            <w:tcW w:w="0" w:type="auto"/>
            <w:tcBorders>
              <w:top w:val="nil"/>
              <w:left w:val="nil"/>
              <w:bottom w:val="nil"/>
              <w:right w:val="nil"/>
            </w:tcBorders>
            <w:tcMar>
              <w:top w:w="-1" w:type="dxa"/>
              <w:left w:w="-1" w:type="dxa"/>
              <w:bottom w:w="-1" w:type="dxa"/>
              <w:right w:w="-1" w:type="dxa"/>
            </w:tcMar>
            <w:vAlign w:val="center"/>
          </w:tcPr>
          <w:p w14:paraId="69586EB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009C7F6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0.0064</w:t>
            </w:r>
          </w:p>
        </w:tc>
      </w:tr>
      <w:tr w:rsidR="000B1CCE" w14:paraId="0F4347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62A76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Q9_3</w:t>
            </w:r>
          </w:p>
        </w:tc>
        <w:tc>
          <w:tcPr>
            <w:tcW w:w="0" w:type="auto"/>
            <w:tcBorders>
              <w:top w:val="nil"/>
              <w:left w:val="nil"/>
              <w:bottom w:val="nil"/>
              <w:right w:val="nil"/>
            </w:tcBorders>
            <w:tcMar>
              <w:top w:w="-1" w:type="dxa"/>
              <w:left w:w="-1" w:type="dxa"/>
              <w:bottom w:w="-1" w:type="dxa"/>
              <w:right w:w="-1" w:type="dxa"/>
            </w:tcMar>
            <w:vAlign w:val="center"/>
          </w:tcPr>
          <w:p w14:paraId="7FBCEA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0.5827</w:t>
            </w:r>
          </w:p>
        </w:tc>
        <w:tc>
          <w:tcPr>
            <w:tcW w:w="0" w:type="auto"/>
            <w:tcBorders>
              <w:top w:val="nil"/>
              <w:left w:val="nil"/>
              <w:bottom w:val="nil"/>
              <w:right w:val="nil"/>
            </w:tcBorders>
            <w:tcMar>
              <w:top w:w="-1" w:type="dxa"/>
              <w:left w:w="-1" w:type="dxa"/>
              <w:bottom w:w="-1" w:type="dxa"/>
              <w:right w:w="-1" w:type="dxa"/>
            </w:tcMar>
            <w:vAlign w:val="center"/>
          </w:tcPr>
          <w:p w14:paraId="0D70BB1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0.0598</w:t>
            </w:r>
          </w:p>
        </w:tc>
        <w:tc>
          <w:tcPr>
            <w:tcW w:w="0" w:type="auto"/>
            <w:tcBorders>
              <w:top w:val="nil"/>
              <w:left w:val="nil"/>
              <w:bottom w:val="nil"/>
              <w:right w:val="nil"/>
            </w:tcBorders>
            <w:tcMar>
              <w:top w:w="-1" w:type="dxa"/>
              <w:left w:w="-1" w:type="dxa"/>
              <w:bottom w:w="-1" w:type="dxa"/>
              <w:right w:w="-1" w:type="dxa"/>
            </w:tcMar>
            <w:vAlign w:val="center"/>
          </w:tcPr>
          <w:p w14:paraId="38C5DC5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19A2A29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-0.0015</w:t>
            </w:r>
          </w:p>
        </w:tc>
      </w:tr>
      <w:tr w:rsidR="000B1CCE" w14:paraId="0BA1C2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1CD2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D2AF5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0" w:type="auto"/>
            <w:tcBorders>
              <w:top w:val="nil"/>
              <w:left w:val="nil"/>
              <w:bottom w:val="nil"/>
              <w:right w:val="nil"/>
            </w:tcBorders>
            <w:tcMar>
              <w:top w:w="-1" w:type="dxa"/>
              <w:left w:w="-1" w:type="dxa"/>
              <w:bottom w:w="-1" w:type="dxa"/>
              <w:right w:w="-1" w:type="dxa"/>
            </w:tcMar>
            <w:vAlign w:val="center"/>
          </w:tcPr>
          <w:p w14:paraId="649E9A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c>
          <w:tcPr>
            <w:tcW w:w="0" w:type="auto"/>
            <w:tcBorders>
              <w:top w:val="nil"/>
              <w:left w:val="nil"/>
              <w:bottom w:val="nil"/>
              <w:right w:val="nil"/>
            </w:tcBorders>
            <w:tcMar>
              <w:top w:w="-1" w:type="dxa"/>
              <w:left w:w="-1" w:type="dxa"/>
              <w:bottom w:w="-1" w:type="dxa"/>
              <w:right w:w="-1" w:type="dxa"/>
            </w:tcMar>
            <w:vAlign w:val="center"/>
          </w:tcPr>
          <w:p w14:paraId="33A32C9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15F24DD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0.6063</w:t>
            </w:r>
          </w:p>
        </w:tc>
      </w:tr>
      <w:tr w:rsidR="000B1CCE" w14:paraId="0815B4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BBBA3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Q10_2</w:t>
            </w:r>
          </w:p>
        </w:tc>
        <w:tc>
          <w:tcPr>
            <w:tcW w:w="0" w:type="auto"/>
            <w:tcBorders>
              <w:top w:val="nil"/>
              <w:left w:val="nil"/>
              <w:bottom w:val="nil"/>
              <w:right w:val="nil"/>
            </w:tcBorders>
            <w:tcMar>
              <w:top w:w="-1" w:type="dxa"/>
              <w:left w:w="-1" w:type="dxa"/>
              <w:bottom w:w="-1" w:type="dxa"/>
              <w:right w:w="-1" w:type="dxa"/>
            </w:tcMar>
            <w:vAlign w:val="center"/>
          </w:tcPr>
          <w:p w14:paraId="57E3DE9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0.0069</w:t>
            </w:r>
          </w:p>
        </w:tc>
        <w:tc>
          <w:tcPr>
            <w:tcW w:w="0" w:type="auto"/>
            <w:tcBorders>
              <w:top w:val="nil"/>
              <w:left w:val="nil"/>
              <w:bottom w:val="nil"/>
              <w:right w:val="nil"/>
            </w:tcBorders>
            <w:tcMar>
              <w:top w:w="-1" w:type="dxa"/>
              <w:left w:w="-1" w:type="dxa"/>
              <w:bottom w:w="-1" w:type="dxa"/>
              <w:right w:w="-1" w:type="dxa"/>
            </w:tcMar>
            <w:vAlign w:val="center"/>
          </w:tcPr>
          <w:p w14:paraId="5BDE53E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0.0177</w:t>
            </w:r>
          </w:p>
        </w:tc>
        <w:tc>
          <w:tcPr>
            <w:tcW w:w="0" w:type="auto"/>
            <w:tcBorders>
              <w:top w:val="nil"/>
              <w:left w:val="nil"/>
              <w:bottom w:val="nil"/>
              <w:right w:val="nil"/>
            </w:tcBorders>
            <w:tcMar>
              <w:top w:w="-1" w:type="dxa"/>
              <w:left w:w="-1" w:type="dxa"/>
              <w:bottom w:w="-1" w:type="dxa"/>
              <w:right w:w="-1" w:type="dxa"/>
            </w:tcMar>
            <w:vAlign w:val="center"/>
          </w:tcPr>
          <w:p w14:paraId="7B461FC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4C3E2B7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0.6204</w:t>
            </w:r>
          </w:p>
        </w:tc>
      </w:tr>
      <w:tr w:rsidR="000B1CCE" w14:paraId="431B0C4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CA628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Q10_3</w:t>
            </w:r>
          </w:p>
        </w:tc>
        <w:tc>
          <w:tcPr>
            <w:tcW w:w="0" w:type="auto"/>
            <w:tcBorders>
              <w:top w:val="nil"/>
              <w:left w:val="nil"/>
              <w:bottom w:val="nil"/>
              <w:right w:val="nil"/>
            </w:tcBorders>
            <w:tcMar>
              <w:top w:w="-1" w:type="dxa"/>
              <w:left w:w="-1" w:type="dxa"/>
              <w:bottom w:w="-1" w:type="dxa"/>
              <w:right w:w="-1" w:type="dxa"/>
            </w:tcMar>
            <w:vAlign w:val="center"/>
          </w:tcPr>
          <w:p w14:paraId="4633AA7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0.0586</w:t>
            </w:r>
          </w:p>
        </w:tc>
        <w:tc>
          <w:tcPr>
            <w:tcW w:w="0" w:type="auto"/>
            <w:tcBorders>
              <w:top w:val="nil"/>
              <w:left w:val="nil"/>
              <w:bottom w:val="nil"/>
              <w:right w:val="nil"/>
            </w:tcBorders>
            <w:tcMar>
              <w:top w:w="-1" w:type="dxa"/>
              <w:left w:w="-1" w:type="dxa"/>
              <w:bottom w:w="-1" w:type="dxa"/>
              <w:right w:w="-1" w:type="dxa"/>
            </w:tcMar>
            <w:vAlign w:val="center"/>
          </w:tcPr>
          <w:p w14:paraId="4720737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0.0728</w:t>
            </w:r>
          </w:p>
        </w:tc>
        <w:tc>
          <w:tcPr>
            <w:tcW w:w="0" w:type="auto"/>
            <w:tcBorders>
              <w:top w:val="nil"/>
              <w:left w:val="nil"/>
              <w:bottom w:val="nil"/>
              <w:right w:val="nil"/>
            </w:tcBorders>
            <w:tcMar>
              <w:top w:w="-1" w:type="dxa"/>
              <w:left w:w="-1" w:type="dxa"/>
              <w:bottom w:w="-1" w:type="dxa"/>
              <w:right w:w="-1" w:type="dxa"/>
            </w:tcMar>
            <w:vAlign w:val="center"/>
          </w:tcPr>
          <w:p w14:paraId="42FBB32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D153EE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0.6275</w:t>
            </w:r>
          </w:p>
        </w:tc>
      </w:tr>
      <w:tr w:rsidR="000B1CCE" w14:paraId="5E735E5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B3740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Q10_4</w:t>
            </w:r>
          </w:p>
        </w:tc>
        <w:tc>
          <w:tcPr>
            <w:tcW w:w="0" w:type="auto"/>
            <w:tcBorders>
              <w:top w:val="nil"/>
              <w:left w:val="nil"/>
              <w:bottom w:val="nil"/>
              <w:right w:val="nil"/>
            </w:tcBorders>
            <w:tcMar>
              <w:top w:w="-1" w:type="dxa"/>
              <w:left w:w="-1" w:type="dxa"/>
              <w:bottom w:w="-1" w:type="dxa"/>
              <w:right w:w="-1" w:type="dxa"/>
            </w:tcMar>
            <w:vAlign w:val="center"/>
          </w:tcPr>
          <w:p w14:paraId="227842F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0.0499</w:t>
            </w:r>
          </w:p>
        </w:tc>
        <w:tc>
          <w:tcPr>
            <w:tcW w:w="0" w:type="auto"/>
            <w:tcBorders>
              <w:top w:val="nil"/>
              <w:left w:val="nil"/>
              <w:bottom w:val="nil"/>
              <w:right w:val="nil"/>
            </w:tcBorders>
            <w:tcMar>
              <w:top w:w="-1" w:type="dxa"/>
              <w:left w:w="-1" w:type="dxa"/>
              <w:bottom w:w="-1" w:type="dxa"/>
              <w:right w:w="-1" w:type="dxa"/>
            </w:tcMar>
            <w:vAlign w:val="center"/>
          </w:tcPr>
          <w:p w14:paraId="7AAE87C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0.0636</w:t>
            </w:r>
          </w:p>
        </w:tc>
        <w:tc>
          <w:tcPr>
            <w:tcW w:w="0" w:type="auto"/>
            <w:tcBorders>
              <w:top w:val="nil"/>
              <w:left w:val="nil"/>
              <w:bottom w:val="nil"/>
              <w:right w:val="nil"/>
            </w:tcBorders>
            <w:tcMar>
              <w:top w:w="-1" w:type="dxa"/>
              <w:left w:w="-1" w:type="dxa"/>
              <w:bottom w:w="-1" w:type="dxa"/>
              <w:right w:w="-1" w:type="dxa"/>
            </w:tcMar>
            <w:vAlign w:val="center"/>
          </w:tcPr>
          <w:p w14:paraId="149C9D8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5754775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0.6017</w:t>
            </w:r>
          </w:p>
        </w:tc>
      </w:tr>
      <w:tr w:rsidR="000B1CCE" w14:paraId="332BE52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F7BE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Q10_5</w:t>
            </w:r>
          </w:p>
        </w:tc>
        <w:tc>
          <w:tcPr>
            <w:tcW w:w="0" w:type="auto"/>
            <w:tcBorders>
              <w:top w:val="nil"/>
              <w:left w:val="nil"/>
              <w:bottom w:val="nil"/>
              <w:right w:val="nil"/>
            </w:tcBorders>
            <w:tcMar>
              <w:top w:w="-1" w:type="dxa"/>
              <w:left w:w="-1" w:type="dxa"/>
              <w:bottom w:w="-1" w:type="dxa"/>
              <w:right w:w="-1" w:type="dxa"/>
            </w:tcMar>
            <w:vAlign w:val="center"/>
          </w:tcPr>
          <w:p w14:paraId="5D5E731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0.0850</w:t>
            </w:r>
          </w:p>
        </w:tc>
        <w:tc>
          <w:tcPr>
            <w:tcW w:w="0" w:type="auto"/>
            <w:tcBorders>
              <w:top w:val="nil"/>
              <w:left w:val="nil"/>
              <w:bottom w:val="nil"/>
              <w:right w:val="nil"/>
            </w:tcBorders>
            <w:tcMar>
              <w:top w:w="-1" w:type="dxa"/>
              <w:left w:w="-1" w:type="dxa"/>
              <w:bottom w:w="-1" w:type="dxa"/>
              <w:right w:w="-1" w:type="dxa"/>
            </w:tcMar>
            <w:vAlign w:val="center"/>
          </w:tcPr>
          <w:p w14:paraId="0B7320C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0.1011</w:t>
            </w:r>
          </w:p>
        </w:tc>
        <w:tc>
          <w:tcPr>
            <w:tcW w:w="0" w:type="auto"/>
            <w:tcBorders>
              <w:top w:val="nil"/>
              <w:left w:val="nil"/>
              <w:bottom w:val="nil"/>
              <w:right w:val="nil"/>
            </w:tcBorders>
            <w:tcMar>
              <w:top w:w="-1" w:type="dxa"/>
              <w:left w:w="-1" w:type="dxa"/>
              <w:bottom w:w="-1" w:type="dxa"/>
              <w:right w:w="-1" w:type="dxa"/>
            </w:tcMar>
            <w:vAlign w:val="center"/>
          </w:tcPr>
          <w:p w14:paraId="5ABDA58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3883CB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0.7089</w:t>
            </w:r>
          </w:p>
        </w:tc>
      </w:tr>
      <w:tr w:rsidR="000B1CCE" w14:paraId="56113A9E"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36020A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74CCBA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2E33D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F888FD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502C37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0.5120</w:t>
            </w:r>
          </w:p>
        </w:tc>
      </w:tr>
    </w:tbl>
    <w:p w14:paraId="6E02947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认知与价值认同题项主要集中于因素</w:t>
      </w:r>
      <w:r>
        <w:rPr>
          <w:rFonts w:ascii="Times New Roman" w:eastAsia="宋体" w:hAnsi="Times New Roman" w:cs="Times New Roman"/>
          <w:kern w:val="0"/>
          <w:sz w:val="24"/>
        </w:rPr>
        <w:t>2</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0.517—0.720</w:t>
      </w:r>
      <w:r>
        <w:rPr>
          <w:rFonts w:ascii="Times New Roman" w:eastAsia="宋体" w:hAnsi="Times New Roman" w:cs="Times New Roman"/>
          <w:kern w:val="0"/>
          <w:sz w:val="24"/>
        </w:rPr>
        <w:t>；现实阻碍题项主要集中于因素</w:t>
      </w:r>
      <w:r>
        <w:rPr>
          <w:rFonts w:ascii="Times New Roman" w:eastAsia="宋体" w:hAnsi="Times New Roman" w:cs="Times New Roman"/>
          <w:kern w:val="0"/>
          <w:sz w:val="24"/>
        </w:rPr>
        <w:t>4</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0.512—0.709</w:t>
      </w:r>
      <w:r>
        <w:rPr>
          <w:rFonts w:ascii="Times New Roman" w:eastAsia="宋体" w:hAnsi="Times New Roman" w:cs="Times New Roman"/>
          <w:kern w:val="0"/>
          <w:sz w:val="24"/>
        </w:rPr>
        <w:t>。两个内容组在题项归属上呈现一定的集中性。课堂实践与教学自我效能题项则共同集中于因素</w:t>
      </w:r>
      <w:r>
        <w:rPr>
          <w:rFonts w:ascii="Times New Roman" w:eastAsia="宋体" w:hAnsi="Times New Roman" w:cs="Times New Roman"/>
          <w:kern w:val="0"/>
          <w:sz w:val="24"/>
        </w:rPr>
        <w:t>1</w:t>
      </w:r>
      <w:r>
        <w:rPr>
          <w:rFonts w:ascii="Times New Roman" w:eastAsia="宋体" w:hAnsi="Times New Roman" w:cs="Times New Roman"/>
          <w:kern w:val="0"/>
          <w:sz w:val="24"/>
        </w:rPr>
        <w:t>，最大载荷分别为</w:t>
      </w:r>
      <w:r>
        <w:rPr>
          <w:rFonts w:ascii="Times New Roman" w:eastAsia="宋体" w:hAnsi="Times New Roman" w:cs="Times New Roman"/>
          <w:kern w:val="0"/>
          <w:sz w:val="24"/>
        </w:rPr>
        <w:t>0.554—0.624</w:t>
      </w:r>
      <w:r>
        <w:rPr>
          <w:rFonts w:ascii="Times New Roman" w:eastAsia="宋体" w:hAnsi="Times New Roman" w:cs="Times New Roman"/>
          <w:kern w:val="0"/>
          <w:sz w:val="24"/>
        </w:rPr>
        <w:t>和</w:t>
      </w:r>
      <w:r>
        <w:rPr>
          <w:rFonts w:ascii="Times New Roman" w:eastAsia="宋体" w:hAnsi="Times New Roman" w:cs="Times New Roman"/>
          <w:kern w:val="0"/>
          <w:sz w:val="24"/>
        </w:rPr>
        <w:t>0.583—0.603</w:t>
      </w:r>
      <w:r>
        <w:rPr>
          <w:rFonts w:ascii="Times New Roman" w:eastAsia="宋体" w:hAnsi="Times New Roman" w:cs="Times New Roman"/>
          <w:kern w:val="0"/>
          <w:sz w:val="24"/>
        </w:rPr>
        <w:t>，未分别形成与理论分类对应的独立因素。因素</w:t>
      </w:r>
      <w:r>
        <w:rPr>
          <w:rFonts w:ascii="Times New Roman" w:eastAsia="宋体" w:hAnsi="Times New Roman" w:cs="Times New Roman"/>
          <w:kern w:val="0"/>
          <w:sz w:val="24"/>
        </w:rPr>
        <w:t>3</w:t>
      </w:r>
      <w:r>
        <w:rPr>
          <w:rFonts w:ascii="Times New Roman" w:eastAsia="宋体" w:hAnsi="Times New Roman" w:cs="Times New Roman"/>
          <w:kern w:val="0"/>
          <w:sz w:val="24"/>
        </w:rPr>
        <w:t>没有题项以其为最大载荷归属，因此，当前四因素方案尚未形成四个均具有明确题项支持的结构。</w:t>
      </w:r>
    </w:p>
    <w:p w14:paraId="7405931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w:t>
      </w:r>
    </w:p>
    <w:p w14:paraId="14E96DC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题项保留同时考虑统计表现与研究内容的覆盖，不仅依据是否符合预设分类作出决定。本次前测保留既定题项，按照四组内容开展教师自评现状分析。</w:t>
      </w:r>
    </w:p>
    <w:p w14:paraId="5A24D4E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5207FCC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为考察各组题项的一致程度，研究分别计算四组内容的</w:t>
      </w:r>
      <w:r>
        <w:rPr>
          <w:rFonts w:ascii="Times New Roman" w:eastAsia="宋体" w:hAnsi="Times New Roman" w:cs="Times New Roman"/>
          <w:kern w:val="0"/>
          <w:sz w:val="24"/>
        </w:rPr>
        <w:t>Cronbach α</w:t>
      </w:r>
      <w:r>
        <w:rPr>
          <w:rFonts w:ascii="Times New Roman" w:eastAsia="宋体" w:hAnsi="Times New Roman" w:cs="Times New Roman"/>
          <w:kern w:val="0"/>
          <w:sz w:val="24"/>
        </w:rPr>
        <w:t>系数。四组内容的测量指向不同，现实阻碍的高分表示困难较强，因此不合并计算教师问卷总分。检验结果见表</w:t>
      </w:r>
      <w:r>
        <w:rPr>
          <w:rFonts w:ascii="Times New Roman" w:eastAsia="宋体" w:hAnsi="Times New Roman" w:cs="Times New Roman"/>
          <w:kern w:val="0"/>
          <w:sz w:val="24"/>
        </w:rPr>
        <w:t>3-22</w:t>
      </w:r>
      <w:r>
        <w:rPr>
          <w:rFonts w:ascii="Times New Roman" w:eastAsia="宋体" w:hAnsi="Times New Roman" w:cs="Times New Roman"/>
          <w:kern w:val="0"/>
          <w:sz w:val="24"/>
        </w:rPr>
        <w:t>。</w:t>
      </w:r>
    </w:p>
    <w:p w14:paraId="17784E5C"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3-22  </w:t>
      </w:r>
      <w:r>
        <w:rPr>
          <w:rFonts w:ascii="Times New Roman" w:eastAsia="黑体" w:hAnsi="Times New Roman" w:cs="Times New Roman"/>
          <w:kern w:val="0"/>
        </w:rPr>
        <w:t>教师高阶能力培育问卷内部一致性信度检验结果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802"/>
        <w:gridCol w:w="1877"/>
        <w:gridCol w:w="2840"/>
      </w:tblGrid>
      <w:tr w:rsidR="000B1CCE" w14:paraId="0CE2E110"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62D584"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A62EB3"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题项数</w:t>
            </w:r>
          </w:p>
        </w:tc>
        <w:tc>
          <w:tcPr>
            <w:tcW w:w="28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95A6BB6"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Cronbachα</w:t>
            </w:r>
          </w:p>
        </w:tc>
      </w:tr>
      <w:tr w:rsidR="000B1CCE" w14:paraId="76AB5B7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E0E246"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认知与价值认同</w:t>
            </w:r>
          </w:p>
        </w:tc>
        <w:tc>
          <w:tcPr>
            <w:tcW w:w="0" w:type="auto"/>
            <w:tcBorders>
              <w:top w:val="nil"/>
              <w:left w:val="nil"/>
              <w:bottom w:val="nil"/>
              <w:right w:val="nil"/>
            </w:tcBorders>
            <w:tcMar>
              <w:top w:w="-1" w:type="dxa"/>
              <w:left w:w="-1" w:type="dxa"/>
              <w:bottom w:w="-1" w:type="dxa"/>
              <w:right w:w="-1" w:type="dxa"/>
            </w:tcMar>
            <w:vAlign w:val="center"/>
          </w:tcPr>
          <w:p w14:paraId="2C5591DD"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7</w:t>
            </w:r>
          </w:p>
        </w:tc>
        <w:tc>
          <w:tcPr>
            <w:tcW w:w="2840" w:type="dxa"/>
            <w:tcBorders>
              <w:top w:val="nil"/>
              <w:left w:val="nil"/>
              <w:bottom w:val="nil"/>
              <w:right w:val="nil"/>
            </w:tcBorders>
            <w:tcMar>
              <w:top w:w="-1" w:type="dxa"/>
              <w:left w:w="-1" w:type="dxa"/>
              <w:bottom w:w="-1" w:type="dxa"/>
              <w:right w:w="-1" w:type="dxa"/>
            </w:tcMar>
            <w:vAlign w:val="center"/>
          </w:tcPr>
          <w:p w14:paraId="69C99D7B"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0.965</w:t>
            </w:r>
          </w:p>
        </w:tc>
      </w:tr>
      <w:tr w:rsidR="000B1CCE" w14:paraId="539515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E1A227"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课堂实践</w:t>
            </w:r>
          </w:p>
        </w:tc>
        <w:tc>
          <w:tcPr>
            <w:tcW w:w="0" w:type="auto"/>
            <w:tcBorders>
              <w:top w:val="nil"/>
              <w:left w:val="nil"/>
              <w:bottom w:val="nil"/>
              <w:right w:val="nil"/>
            </w:tcBorders>
            <w:tcMar>
              <w:top w:w="-1" w:type="dxa"/>
              <w:left w:w="-1" w:type="dxa"/>
              <w:bottom w:w="-1" w:type="dxa"/>
              <w:right w:w="-1" w:type="dxa"/>
            </w:tcMar>
            <w:vAlign w:val="center"/>
          </w:tcPr>
          <w:p w14:paraId="3916809E"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nil"/>
              <w:right w:val="nil"/>
            </w:tcBorders>
            <w:tcMar>
              <w:top w:w="-1" w:type="dxa"/>
              <w:left w:w="-1" w:type="dxa"/>
              <w:bottom w:w="-1" w:type="dxa"/>
              <w:right w:w="-1" w:type="dxa"/>
            </w:tcMar>
            <w:vAlign w:val="center"/>
          </w:tcPr>
          <w:p w14:paraId="2F510E0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0.920</w:t>
            </w:r>
          </w:p>
        </w:tc>
      </w:tr>
      <w:tr w:rsidR="000B1CCE" w14:paraId="51803CF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955E8D2"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教学自我效能</w:t>
            </w:r>
          </w:p>
        </w:tc>
        <w:tc>
          <w:tcPr>
            <w:tcW w:w="0" w:type="auto"/>
            <w:tcBorders>
              <w:top w:val="nil"/>
              <w:left w:val="nil"/>
              <w:bottom w:val="nil"/>
              <w:right w:val="nil"/>
            </w:tcBorders>
            <w:tcMar>
              <w:top w:w="-1" w:type="dxa"/>
              <w:left w:w="-1" w:type="dxa"/>
              <w:bottom w:w="-1" w:type="dxa"/>
              <w:right w:w="-1" w:type="dxa"/>
            </w:tcMar>
            <w:vAlign w:val="center"/>
          </w:tcPr>
          <w:p w14:paraId="0FD18A3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3</w:t>
            </w:r>
          </w:p>
        </w:tc>
        <w:tc>
          <w:tcPr>
            <w:tcW w:w="2840" w:type="dxa"/>
            <w:tcBorders>
              <w:top w:val="nil"/>
              <w:left w:val="nil"/>
              <w:bottom w:val="nil"/>
              <w:right w:val="nil"/>
            </w:tcBorders>
            <w:tcMar>
              <w:top w:w="-1" w:type="dxa"/>
              <w:left w:w="-1" w:type="dxa"/>
              <w:bottom w:w="-1" w:type="dxa"/>
              <w:right w:w="-1" w:type="dxa"/>
            </w:tcMar>
            <w:vAlign w:val="center"/>
          </w:tcPr>
          <w:p w14:paraId="74B15113"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0.870</w:t>
            </w:r>
          </w:p>
        </w:tc>
      </w:tr>
      <w:tr w:rsidR="000B1CCE" w14:paraId="79C814EC"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3FAF9B55"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4EE6F048"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0C9CE349"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0.900</w:t>
            </w:r>
          </w:p>
        </w:tc>
      </w:tr>
    </w:tbl>
    <w:p w14:paraId="0BD7A4C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四组题项均表现出较好的内部一致性，支持在各组内容范围内计算题均分。课堂实践与教学自我效能虽然在因素归属上存在重叠，但各组内部具有较为一致的作答表现。</w:t>
      </w:r>
    </w:p>
    <w:p w14:paraId="6AD981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四组题项均具有较好的内部一致性，为分别描述教师的认知与价值认同、课堂实践、教学自我效能及现实阻碍提供了信度依据。</w:t>
      </w:r>
    </w:p>
    <w:p w14:paraId="35377A0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教师高阶能力培育现状的前测结果</w:t>
      </w:r>
    </w:p>
    <w:p w14:paraId="2C5136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为确定学校高阶能力培育的实施起点，课题组对</w:t>
      </w:r>
      <w:r>
        <w:rPr>
          <w:rFonts w:ascii="Times New Roman" w:eastAsia="宋体" w:hAnsi="Times New Roman" w:cs="Times New Roman"/>
          <w:kern w:val="0"/>
          <w:sz w:val="24"/>
        </w:rPr>
        <w:t>163</w:t>
      </w:r>
      <w:r>
        <w:rPr>
          <w:rFonts w:ascii="Times New Roman" w:eastAsia="宋体" w:hAnsi="Times New Roman" w:cs="Times New Roman"/>
          <w:kern w:val="0"/>
          <w:sz w:val="24"/>
        </w:rPr>
        <w:t>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42B35BD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）施测过程与样本构成</w:t>
      </w:r>
    </w:p>
    <w:p w14:paraId="75D7E6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本研究依托问卷星组织本校教师在线填写问卷，共收集</w:t>
      </w:r>
      <w:r>
        <w:rPr>
          <w:rFonts w:ascii="Times New Roman" w:eastAsia="宋体" w:hAnsi="Times New Roman" w:cs="Times New Roman"/>
          <w:kern w:val="0"/>
          <w:sz w:val="24"/>
        </w:rPr>
        <w:t>163</w:t>
      </w:r>
      <w:r>
        <w:rPr>
          <w:rFonts w:ascii="Times New Roman" w:eastAsia="宋体" w:hAnsi="Times New Roman" w:cs="Times New Roman"/>
          <w:kern w:val="0"/>
          <w:sz w:val="24"/>
        </w:rPr>
        <w:t>份教师问卷。样本涵盖不同教龄、职称、任教学段及相关培训经历，具体构成见图</w:t>
      </w:r>
      <w:r>
        <w:rPr>
          <w:rFonts w:ascii="Times New Roman" w:eastAsia="宋体" w:hAnsi="Times New Roman" w:cs="Times New Roman"/>
          <w:kern w:val="0"/>
          <w:sz w:val="24"/>
        </w:rPr>
        <w:t>3-5</w:t>
      </w:r>
      <w:r>
        <w:rPr>
          <w:rFonts w:ascii="Times New Roman" w:eastAsia="宋体" w:hAnsi="Times New Roman" w:cs="Times New Roman"/>
          <w:kern w:val="0"/>
          <w:sz w:val="24"/>
        </w:rPr>
        <w:t>。</w:t>
      </w:r>
    </w:p>
    <w:p w14:paraId="769FA175" w14:textId="77777777" w:rsidR="000B1CCE" w:rsidRDefault="00000000">
      <w:pPr>
        <w:keepNext/>
        <w:spacing w:before="120"/>
        <w:jc w:val="center"/>
      </w:pPr>
      <w:r>
        <w:rPr>
          <w:noProof/>
        </w:rPr>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2"/>
                    <a:stretch>
                      <a:fillRect/>
                    </a:stretch>
                  </pic:blipFill>
                  <pic:spPr>
                    <a:xfrm>
                      <a:off x="0" y="0"/>
                      <a:ext cx="4408170" cy="3145155"/>
                    </a:xfrm>
                    <a:prstGeom prst="rect">
                      <a:avLst/>
                    </a:prstGeom>
                  </pic:spPr>
                </pic:pic>
              </a:graphicData>
            </a:graphic>
          </wp:inline>
        </w:drawing>
      </w:r>
    </w:p>
    <w:p w14:paraId="6501F153" w14:textId="77777777" w:rsidR="000B1CCE" w:rsidRDefault="00000000">
      <w:pPr>
        <w:spacing w:before="60" w:after="180"/>
        <w:jc w:val="center"/>
        <w:rPr>
          <w:color w:val="3C464C"/>
          <w:sz w:val="18"/>
        </w:rPr>
      </w:pPr>
      <w:r>
        <w:rPr>
          <w:rFonts w:ascii="Times New Roman" w:eastAsia="黑体" w:hAnsi="Times New Roman" w:cs="Times New Roman"/>
          <w:color w:val="3C464C"/>
        </w:rPr>
        <w:t>图</w:t>
      </w:r>
      <w:r>
        <w:rPr>
          <w:rFonts w:ascii="Times New Roman" w:eastAsia="黑体" w:hAnsi="Times New Roman" w:cs="Times New Roman"/>
          <w:color w:val="3C464C"/>
        </w:rPr>
        <w:t xml:space="preserve">3-5  </w:t>
      </w:r>
      <w:r>
        <w:rPr>
          <w:rFonts w:ascii="Times New Roman" w:eastAsia="黑体" w:hAnsi="Times New Roman" w:cs="Times New Roman"/>
          <w:color w:val="3C464C"/>
        </w:rPr>
        <w:t>教师前测样本背景构成</w:t>
      </w:r>
    </w:p>
    <w:p w14:paraId="1693E5AE" w14:textId="77777777" w:rsidR="000B1CCE" w:rsidRDefault="00000000">
      <w:pPr>
        <w:spacing w:line="360" w:lineRule="auto"/>
        <w:ind w:firstLineChars="200" w:firstLine="480"/>
      </w:pPr>
      <w:r>
        <w:rPr>
          <w:rFonts w:ascii="Times New Roman" w:eastAsia="宋体" w:hAnsi="Times New Roman" w:cs="Times New Roman"/>
          <w:kern w:val="0"/>
          <w:sz w:val="24"/>
        </w:rPr>
        <w:lastRenderedPageBreak/>
        <w:t>问卷中的量表评分题采用五级计分，按</w:t>
      </w:r>
      <w:r>
        <w:rPr>
          <w:rFonts w:ascii="Times New Roman" w:eastAsia="宋体" w:hAnsi="Times New Roman" w:cs="Times New Roman"/>
          <w:kern w:val="0"/>
          <w:sz w:val="24"/>
        </w:rPr>
        <w:t>1—5</w:t>
      </w:r>
      <w:r>
        <w:rPr>
          <w:rFonts w:ascii="Times New Roman" w:eastAsia="宋体" w:hAnsi="Times New Roman" w:cs="Times New Roman"/>
          <w:kern w:val="0"/>
          <w:sz w:val="24"/>
        </w:rPr>
        <w:t>分赋值；认知与价值认同、课堂实践、教学自我效能三个方面得分越高，表示相应积极自评程度越高；现实阻碍得分越高，表示教师感受到的实施困难越突出。四组题项分别统计，不合成为教师总分。题项积极自评率和现实阻碍认同率，按选择符合或完全符合的人数占该题有效作答人数的比例计算；多选支持需求以</w:t>
      </w:r>
      <w:r>
        <w:rPr>
          <w:rFonts w:ascii="Times New Roman" w:eastAsia="宋体" w:hAnsi="Times New Roman" w:cs="Times New Roman"/>
          <w:kern w:val="0"/>
          <w:sz w:val="24"/>
        </w:rPr>
        <w:t>163</w:t>
      </w:r>
      <w:r>
        <w:rPr>
          <w:rFonts w:ascii="Times New Roman" w:eastAsia="宋体" w:hAnsi="Times New Roman" w:cs="Times New Roman"/>
          <w:kern w:val="0"/>
          <w:sz w:val="24"/>
        </w:rPr>
        <w:t>份问卷为基数计算选择率。</w:t>
      </w:r>
    </w:p>
    <w:p w14:paraId="42DF0699" w14:textId="77777777" w:rsidR="000B1CCE" w:rsidRDefault="00000000">
      <w:pPr>
        <w:pStyle w:val="2"/>
        <w:keepNext/>
        <w:spacing w:before="156" w:after="156" w:line="360" w:lineRule="auto"/>
        <w:ind w:firstLineChars="200" w:firstLine="489"/>
        <w:rPr>
          <w:rFonts w:eastAsia="宋体"/>
          <w:b/>
          <w:sz w:val="24"/>
          <w:szCs w:val="24"/>
        </w:rPr>
      </w:pPr>
      <w:r>
        <w:rPr>
          <w:rFonts w:eastAsia="宋体"/>
          <w:b/>
          <w:sz w:val="24"/>
        </w:rPr>
        <w:t>（</w:t>
      </w:r>
      <w:r>
        <w:rPr>
          <w:rFonts w:eastAsia="宋体"/>
          <w:b/>
          <w:sz w:val="24"/>
        </w:rPr>
        <w:t>2</w:t>
      </w:r>
      <w:r>
        <w:rPr>
          <w:rFonts w:eastAsia="宋体"/>
          <w:b/>
          <w:sz w:val="24"/>
        </w:rPr>
        <w:t>）四组内容的总体表现</w:t>
      </w:r>
    </w:p>
    <w:p w14:paraId="010CF2E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3-23  </w:t>
      </w:r>
      <w:r>
        <w:rPr>
          <w:rFonts w:ascii="Times New Roman" w:eastAsia="黑体" w:hAnsi="Times New Roman" w:cs="Times New Roman"/>
          <w:kern w:val="0"/>
        </w:rPr>
        <w:t>教师高阶能力培育四组内容的前测表现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08"/>
        <w:gridCol w:w="1087"/>
        <w:gridCol w:w="1374"/>
        <w:gridCol w:w="3950"/>
      </w:tblGrid>
      <w:tr w:rsidR="000B1CCE" w14:paraId="607EE071" w14:textId="77777777">
        <w:trPr>
          <w:tblHeader/>
          <w:jc w:val="center"/>
        </w:trPr>
        <w:tc>
          <w:tcPr>
            <w:tcW w:w="21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CE464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测评内容</w:t>
            </w:r>
          </w:p>
        </w:tc>
        <w:tc>
          <w:tcPr>
            <w:tcW w:w="10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6BEA64"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题项数</w:t>
            </w:r>
          </w:p>
        </w:tc>
        <w:tc>
          <w:tcPr>
            <w:tcW w:w="137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0BCB47"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题均分</w:t>
            </w:r>
            <w:r>
              <w:rPr>
                <w:rFonts w:ascii="Times New Roman" w:eastAsia="宋体" w:hAnsi="Times New Roman" w:cs="Times New Roman"/>
                <w:b/>
              </w:rPr>
              <w:t>M</w:t>
            </w:r>
          </w:p>
        </w:tc>
        <w:tc>
          <w:tcPr>
            <w:tcW w:w="39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825189"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w:t>
            </w:r>
            <w:r>
              <w:rPr>
                <w:rFonts w:ascii="Times New Roman" w:eastAsia="宋体" w:hAnsi="Times New Roman" w:cs="Times New Roman"/>
                <w:b/>
              </w:rPr>
              <w:t>/</w:t>
            </w:r>
            <w:r>
              <w:rPr>
                <w:rFonts w:ascii="Times New Roman" w:eastAsia="宋体" w:hAnsi="Times New Roman" w:cs="Times New Roman"/>
                <w:b/>
              </w:rPr>
              <w:t>困难认同率范围（</w:t>
            </w:r>
            <w:r>
              <w:rPr>
                <w:rFonts w:ascii="Times New Roman" w:eastAsia="宋体" w:hAnsi="Times New Roman" w:cs="Times New Roman"/>
                <w:b/>
              </w:rPr>
              <w:t>%</w:t>
            </w:r>
            <w:r>
              <w:rPr>
                <w:rFonts w:ascii="Times New Roman" w:eastAsia="宋体" w:hAnsi="Times New Roman" w:cs="Times New Roman"/>
                <w:b/>
              </w:rPr>
              <w:t>）</w:t>
            </w:r>
          </w:p>
        </w:tc>
      </w:tr>
      <w:tr w:rsidR="000B1CCE" w14:paraId="19DF4900"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E7529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认知与价值认同</w:t>
            </w:r>
          </w:p>
        </w:tc>
        <w:tc>
          <w:tcPr>
            <w:tcW w:w="1087" w:type="dxa"/>
            <w:tcBorders>
              <w:top w:val="nil"/>
              <w:left w:val="nil"/>
              <w:bottom w:val="nil"/>
              <w:right w:val="nil"/>
            </w:tcBorders>
            <w:tcMar>
              <w:top w:w="-1" w:type="dxa"/>
              <w:left w:w="-1" w:type="dxa"/>
              <w:bottom w:w="-1" w:type="dxa"/>
              <w:right w:w="-1" w:type="dxa"/>
            </w:tcMar>
            <w:vAlign w:val="center"/>
          </w:tcPr>
          <w:p w14:paraId="6FC8635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w:t>
            </w:r>
          </w:p>
        </w:tc>
        <w:tc>
          <w:tcPr>
            <w:tcW w:w="1374" w:type="dxa"/>
            <w:tcBorders>
              <w:top w:val="nil"/>
              <w:left w:val="nil"/>
              <w:bottom w:val="nil"/>
              <w:right w:val="nil"/>
            </w:tcBorders>
            <w:tcMar>
              <w:top w:w="-1" w:type="dxa"/>
              <w:left w:w="-1" w:type="dxa"/>
              <w:bottom w:w="-1" w:type="dxa"/>
              <w:right w:w="-1" w:type="dxa"/>
            </w:tcMar>
            <w:vAlign w:val="center"/>
          </w:tcPr>
          <w:p w14:paraId="7597B4F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4.351</w:t>
            </w:r>
          </w:p>
        </w:tc>
        <w:tc>
          <w:tcPr>
            <w:tcW w:w="3950" w:type="dxa"/>
            <w:tcBorders>
              <w:top w:val="nil"/>
              <w:left w:val="nil"/>
              <w:bottom w:val="nil"/>
              <w:right w:val="nil"/>
            </w:tcBorders>
            <w:tcMar>
              <w:top w:w="-1" w:type="dxa"/>
              <w:left w:w="-1" w:type="dxa"/>
              <w:bottom w:w="-1" w:type="dxa"/>
              <w:right w:w="-1" w:type="dxa"/>
            </w:tcMar>
            <w:vAlign w:val="center"/>
          </w:tcPr>
          <w:p w14:paraId="5806D9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91.41—95.71</w:t>
            </w:r>
          </w:p>
        </w:tc>
      </w:tr>
      <w:tr w:rsidR="000B1CCE" w14:paraId="7FAB8C43"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2600343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课堂实践</w:t>
            </w:r>
          </w:p>
        </w:tc>
        <w:tc>
          <w:tcPr>
            <w:tcW w:w="1087" w:type="dxa"/>
            <w:tcBorders>
              <w:top w:val="nil"/>
              <w:left w:val="nil"/>
              <w:bottom w:val="nil"/>
              <w:right w:val="nil"/>
            </w:tcBorders>
            <w:tcMar>
              <w:top w:w="-1" w:type="dxa"/>
              <w:left w:w="-1" w:type="dxa"/>
              <w:bottom w:w="-1" w:type="dxa"/>
              <w:right w:w="-1" w:type="dxa"/>
            </w:tcMar>
            <w:vAlign w:val="center"/>
          </w:tcPr>
          <w:p w14:paraId="70DF995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nil"/>
              <w:right w:val="nil"/>
            </w:tcBorders>
            <w:tcMar>
              <w:top w:w="-1" w:type="dxa"/>
              <w:left w:w="-1" w:type="dxa"/>
              <w:bottom w:w="-1" w:type="dxa"/>
              <w:right w:w="-1" w:type="dxa"/>
            </w:tcMar>
            <w:vAlign w:val="center"/>
          </w:tcPr>
          <w:p w14:paraId="4D0B62E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4.260</w:t>
            </w:r>
          </w:p>
        </w:tc>
        <w:tc>
          <w:tcPr>
            <w:tcW w:w="3950" w:type="dxa"/>
            <w:tcBorders>
              <w:top w:val="nil"/>
              <w:left w:val="nil"/>
              <w:bottom w:val="nil"/>
              <w:right w:val="nil"/>
            </w:tcBorders>
            <w:tcMar>
              <w:top w:w="-1" w:type="dxa"/>
              <w:left w:w="-1" w:type="dxa"/>
              <w:bottom w:w="-1" w:type="dxa"/>
              <w:right w:w="-1" w:type="dxa"/>
            </w:tcMar>
            <w:vAlign w:val="center"/>
          </w:tcPr>
          <w:p w14:paraId="48DDCA6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87.73—95.71</w:t>
            </w:r>
          </w:p>
        </w:tc>
      </w:tr>
      <w:tr w:rsidR="000B1CCE" w14:paraId="46228B3E"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330F04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教学自我效能</w:t>
            </w:r>
          </w:p>
        </w:tc>
        <w:tc>
          <w:tcPr>
            <w:tcW w:w="1087" w:type="dxa"/>
            <w:tcBorders>
              <w:top w:val="nil"/>
              <w:left w:val="nil"/>
              <w:bottom w:val="nil"/>
              <w:right w:val="nil"/>
            </w:tcBorders>
            <w:tcMar>
              <w:top w:w="-1" w:type="dxa"/>
              <w:left w:w="-1" w:type="dxa"/>
              <w:bottom w:w="-1" w:type="dxa"/>
              <w:right w:w="-1" w:type="dxa"/>
            </w:tcMar>
            <w:vAlign w:val="center"/>
          </w:tcPr>
          <w:p w14:paraId="377EE36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w:t>
            </w:r>
          </w:p>
        </w:tc>
        <w:tc>
          <w:tcPr>
            <w:tcW w:w="1374" w:type="dxa"/>
            <w:tcBorders>
              <w:top w:val="nil"/>
              <w:left w:val="nil"/>
              <w:bottom w:val="nil"/>
              <w:right w:val="nil"/>
            </w:tcBorders>
            <w:tcMar>
              <w:top w:w="-1" w:type="dxa"/>
              <w:left w:w="-1" w:type="dxa"/>
              <w:bottom w:w="-1" w:type="dxa"/>
              <w:right w:w="-1" w:type="dxa"/>
            </w:tcMar>
            <w:vAlign w:val="center"/>
          </w:tcPr>
          <w:p w14:paraId="19E7D4B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4.090</w:t>
            </w:r>
          </w:p>
        </w:tc>
        <w:tc>
          <w:tcPr>
            <w:tcW w:w="3950" w:type="dxa"/>
            <w:tcBorders>
              <w:top w:val="nil"/>
              <w:left w:val="nil"/>
              <w:bottom w:val="nil"/>
              <w:right w:val="nil"/>
            </w:tcBorders>
            <w:tcMar>
              <w:top w:w="-1" w:type="dxa"/>
              <w:left w:w="-1" w:type="dxa"/>
              <w:bottom w:w="-1" w:type="dxa"/>
              <w:right w:w="-1" w:type="dxa"/>
            </w:tcMar>
            <w:vAlign w:val="center"/>
          </w:tcPr>
          <w:p w14:paraId="6DD9586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84.66—92.02</w:t>
            </w:r>
          </w:p>
        </w:tc>
      </w:tr>
      <w:tr w:rsidR="000B1CCE" w14:paraId="58C5B9E7"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3644992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00B50A0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C4F38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464178D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60.12—81.60</w:t>
            </w:r>
          </w:p>
        </w:tc>
      </w:tr>
    </w:tbl>
    <w:p w14:paraId="3479BF0A"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教师对高阶能力培育的价值认同较为明确，课堂实践自评也处于较积极水平；教学自我效能均值相对较低。</w:t>
      </w:r>
      <w:r>
        <w:rPr>
          <w:rFonts w:ascii="Times New Roman" w:eastAsia="宋体" w:hAnsi="Times New Roman" w:cs="Times New Roman"/>
          <w:kern w:val="0"/>
          <w:sz w:val="24"/>
        </w:rPr>
        <w:t>现实阻碍分值含义相反，</w:t>
      </w:r>
      <w:r>
        <w:rPr>
          <w:rFonts w:ascii="Times New Roman" w:eastAsia="宋体" w:hAnsi="Times New Roman" w:cs="Times New Roman"/>
          <w:kern w:val="0"/>
          <w:sz w:val="24"/>
        </w:rPr>
        <w:t>3.639</w:t>
      </w:r>
      <w:r>
        <w:rPr>
          <w:rFonts w:ascii="Times New Roman" w:eastAsia="宋体" w:hAnsi="Times New Roman" w:cs="Times New Roman"/>
          <w:kern w:val="0"/>
          <w:sz w:val="24"/>
        </w:rPr>
        <w:t>表明教师同时感受到一定实施困难。整体呈现出</w:t>
      </w:r>
      <w:r>
        <w:rPr>
          <w:rFonts w:ascii="Times New Roman" w:eastAsia="宋体" w:hAnsi="Times New Roman" w:cs="Times New Roman"/>
          <w:kern w:val="0"/>
          <w:sz w:val="24"/>
        </w:rPr>
        <w:t>“</w:t>
      </w:r>
      <w:r>
        <w:rPr>
          <w:rFonts w:ascii="Times New Roman" w:eastAsia="宋体" w:hAnsi="Times New Roman" w:cs="Times New Roman"/>
          <w:kern w:val="0"/>
          <w:sz w:val="24"/>
        </w:rPr>
        <w:t>认同基础较好，课堂已有尝试，但把握程度与实施条件仍待加强</w:t>
      </w:r>
      <w:r>
        <w:rPr>
          <w:rFonts w:ascii="Times New Roman" w:eastAsia="宋体" w:hAnsi="Times New Roman" w:cs="Times New Roman"/>
          <w:kern w:val="0"/>
          <w:sz w:val="24"/>
        </w:rPr>
        <w:t>”</w:t>
      </w:r>
      <w:r>
        <w:rPr>
          <w:rFonts w:ascii="Times New Roman" w:eastAsia="宋体" w:hAnsi="Times New Roman" w:cs="Times New Roman"/>
          <w:kern w:val="0"/>
          <w:sz w:val="24"/>
        </w:rPr>
        <w:t>的特征。</w:t>
      </w:r>
    </w:p>
    <w:p w14:paraId="3DA2C09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）价值认同与课堂实践的落差</w:t>
      </w:r>
    </w:p>
    <w:p w14:paraId="27C358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认知与价值认同各题积极自评率均超过九成。教师对高阶能力有助于学生长远发展、需要调整教学方式，以及各学科均可落实的认同较高，题均分为</w:t>
      </w:r>
      <w:r>
        <w:rPr>
          <w:rFonts w:ascii="Times New Roman" w:eastAsia="宋体" w:hAnsi="Times New Roman" w:cs="Times New Roman"/>
          <w:kern w:val="0"/>
          <w:sz w:val="24"/>
        </w:rPr>
        <w:t>4.405</w:t>
      </w:r>
      <w:r>
        <w:rPr>
          <w:rFonts w:ascii="Times New Roman" w:eastAsia="宋体" w:hAnsi="Times New Roman" w:cs="Times New Roman"/>
          <w:kern w:val="0"/>
          <w:sz w:val="24"/>
        </w:rPr>
        <w:t>、</w:t>
      </w:r>
      <w:r>
        <w:rPr>
          <w:rFonts w:ascii="Times New Roman" w:eastAsia="宋体" w:hAnsi="Times New Roman" w:cs="Times New Roman"/>
          <w:kern w:val="0"/>
          <w:sz w:val="24"/>
        </w:rPr>
        <w:t>4.374</w:t>
      </w:r>
      <w:r>
        <w:rPr>
          <w:rFonts w:ascii="Times New Roman" w:eastAsia="宋体" w:hAnsi="Times New Roman" w:cs="Times New Roman"/>
          <w:kern w:val="0"/>
          <w:sz w:val="24"/>
        </w:rPr>
        <w:t>和</w:t>
      </w:r>
      <w:r>
        <w:rPr>
          <w:rFonts w:ascii="Times New Roman" w:eastAsia="宋体" w:hAnsi="Times New Roman" w:cs="Times New Roman"/>
          <w:kern w:val="0"/>
          <w:sz w:val="24"/>
        </w:rPr>
        <w:t>4.374</w:t>
      </w:r>
      <w:r>
        <w:rPr>
          <w:rFonts w:ascii="Times New Roman" w:eastAsia="宋体" w:hAnsi="Times New Roman" w:cs="Times New Roman"/>
          <w:kern w:val="0"/>
          <w:sz w:val="24"/>
        </w:rPr>
        <w:t>。对区分低阶与高阶学习的自评相对较低，均值</w:t>
      </w:r>
      <w:r>
        <w:rPr>
          <w:rFonts w:ascii="Times New Roman" w:eastAsia="宋体" w:hAnsi="Times New Roman" w:cs="Times New Roman"/>
          <w:kern w:val="0"/>
          <w:sz w:val="24"/>
        </w:rPr>
        <w:t>4.276</w:t>
      </w:r>
      <w:r>
        <w:rPr>
          <w:rFonts w:ascii="Times New Roman" w:eastAsia="宋体" w:hAnsi="Times New Roman" w:cs="Times New Roman"/>
          <w:kern w:val="0"/>
          <w:sz w:val="24"/>
        </w:rPr>
        <w:t>，提示教师对高阶能力的概念理解仍需通过学科任务持续深化。</w:t>
      </w:r>
    </w:p>
    <w:p w14:paraId="0C279CDE"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3-24  </w:t>
      </w:r>
      <w:r>
        <w:rPr>
          <w:rFonts w:ascii="Times New Roman" w:eastAsia="黑体" w:hAnsi="Times New Roman" w:cs="Times New Roman"/>
          <w:kern w:val="0"/>
        </w:rPr>
        <w:t>教师认知与价值认同及课堂实践的题项表现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5E5400F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6B9AD1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C3321C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A3ACE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2C08A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1FB328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B62D4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认可高阶能力有助于学生长远发展</w:t>
            </w:r>
          </w:p>
        </w:tc>
        <w:tc>
          <w:tcPr>
            <w:tcW w:w="0" w:type="auto"/>
            <w:tcBorders>
              <w:top w:val="nil"/>
              <w:left w:val="nil"/>
              <w:bottom w:val="nil"/>
              <w:right w:val="nil"/>
            </w:tcBorders>
            <w:tcMar>
              <w:top w:w="-1" w:type="dxa"/>
              <w:left w:w="-1" w:type="dxa"/>
              <w:bottom w:w="-1" w:type="dxa"/>
              <w:right w:w="-1" w:type="dxa"/>
            </w:tcMar>
            <w:vAlign w:val="center"/>
          </w:tcPr>
          <w:p w14:paraId="02F4721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4.405</w:t>
            </w:r>
          </w:p>
        </w:tc>
        <w:tc>
          <w:tcPr>
            <w:tcW w:w="0" w:type="auto"/>
            <w:tcBorders>
              <w:top w:val="nil"/>
              <w:left w:val="nil"/>
              <w:bottom w:val="nil"/>
              <w:right w:val="nil"/>
            </w:tcBorders>
            <w:tcMar>
              <w:top w:w="-1" w:type="dxa"/>
              <w:left w:w="-1" w:type="dxa"/>
              <w:bottom w:w="-1" w:type="dxa"/>
              <w:right w:w="-1" w:type="dxa"/>
            </w:tcMar>
            <w:vAlign w:val="center"/>
          </w:tcPr>
          <w:p w14:paraId="76CA6A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0.775</w:t>
            </w:r>
          </w:p>
        </w:tc>
        <w:tc>
          <w:tcPr>
            <w:tcW w:w="2377" w:type="dxa"/>
            <w:tcBorders>
              <w:top w:val="nil"/>
              <w:left w:val="nil"/>
              <w:bottom w:val="nil"/>
              <w:right w:val="nil"/>
            </w:tcBorders>
            <w:tcMar>
              <w:top w:w="-1" w:type="dxa"/>
              <w:left w:w="-1" w:type="dxa"/>
              <w:bottom w:w="-1" w:type="dxa"/>
              <w:right w:w="-1" w:type="dxa"/>
            </w:tcMar>
            <w:vAlign w:val="center"/>
          </w:tcPr>
          <w:p w14:paraId="4E57F73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4606082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22FA0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53DF826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4099FC9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0.825</w:t>
            </w:r>
          </w:p>
        </w:tc>
        <w:tc>
          <w:tcPr>
            <w:tcW w:w="2377" w:type="dxa"/>
            <w:tcBorders>
              <w:top w:val="nil"/>
              <w:left w:val="nil"/>
              <w:bottom w:val="nil"/>
              <w:right w:val="nil"/>
            </w:tcBorders>
            <w:tcMar>
              <w:top w:w="-1" w:type="dxa"/>
              <w:left w:w="-1" w:type="dxa"/>
              <w:bottom w:w="-1" w:type="dxa"/>
              <w:right w:w="-1" w:type="dxa"/>
            </w:tcMar>
            <w:vAlign w:val="center"/>
          </w:tcPr>
          <w:p w14:paraId="6E7CD50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231579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745F8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3B813B7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67D44A3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0.762</w:t>
            </w:r>
          </w:p>
        </w:tc>
        <w:tc>
          <w:tcPr>
            <w:tcW w:w="2377" w:type="dxa"/>
            <w:tcBorders>
              <w:top w:val="nil"/>
              <w:left w:val="nil"/>
              <w:bottom w:val="nil"/>
              <w:right w:val="nil"/>
            </w:tcBorders>
            <w:tcMar>
              <w:top w:w="-1" w:type="dxa"/>
              <w:left w:w="-1" w:type="dxa"/>
              <w:bottom w:w="-1" w:type="dxa"/>
              <w:right w:w="-1" w:type="dxa"/>
            </w:tcMar>
            <w:vAlign w:val="center"/>
          </w:tcPr>
          <w:p w14:paraId="5630A42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95.09</w:t>
            </w:r>
          </w:p>
        </w:tc>
      </w:tr>
      <w:tr w:rsidR="000B1CCE" w14:paraId="06D52CE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CFEE3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08F349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4.239</w:t>
            </w:r>
          </w:p>
        </w:tc>
        <w:tc>
          <w:tcPr>
            <w:tcW w:w="0" w:type="auto"/>
            <w:tcBorders>
              <w:top w:val="nil"/>
              <w:left w:val="nil"/>
              <w:bottom w:val="nil"/>
              <w:right w:val="nil"/>
            </w:tcBorders>
            <w:tcMar>
              <w:top w:w="-1" w:type="dxa"/>
              <w:left w:w="-1" w:type="dxa"/>
              <w:bottom w:w="-1" w:type="dxa"/>
              <w:right w:w="-1" w:type="dxa"/>
            </w:tcMar>
            <w:vAlign w:val="center"/>
          </w:tcPr>
          <w:p w14:paraId="785AFED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w:t>
            </w:r>
          </w:p>
        </w:tc>
        <w:tc>
          <w:tcPr>
            <w:tcW w:w="2377" w:type="dxa"/>
            <w:tcBorders>
              <w:top w:val="nil"/>
              <w:left w:val="nil"/>
              <w:bottom w:val="nil"/>
              <w:right w:val="nil"/>
            </w:tcBorders>
            <w:tcMar>
              <w:top w:w="-1" w:type="dxa"/>
              <w:left w:w="-1" w:type="dxa"/>
              <w:bottom w:w="-1" w:type="dxa"/>
              <w:right w:w="-1" w:type="dxa"/>
            </w:tcMar>
            <w:vAlign w:val="center"/>
          </w:tcPr>
          <w:p w14:paraId="55F082C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3808E9C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28B7B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241CD5D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4.209</w:t>
            </w:r>
          </w:p>
        </w:tc>
        <w:tc>
          <w:tcPr>
            <w:tcW w:w="0" w:type="auto"/>
            <w:tcBorders>
              <w:top w:val="nil"/>
              <w:left w:val="nil"/>
              <w:bottom w:val="nil"/>
              <w:right w:val="nil"/>
            </w:tcBorders>
            <w:tcMar>
              <w:top w:w="-1" w:type="dxa"/>
              <w:left w:w="-1" w:type="dxa"/>
              <w:bottom w:w="-1" w:type="dxa"/>
              <w:right w:w="-1" w:type="dxa"/>
            </w:tcMar>
            <w:vAlign w:val="center"/>
          </w:tcPr>
          <w:p w14:paraId="0144D50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0.749</w:t>
            </w:r>
          </w:p>
        </w:tc>
        <w:tc>
          <w:tcPr>
            <w:tcW w:w="2377" w:type="dxa"/>
            <w:tcBorders>
              <w:top w:val="nil"/>
              <w:left w:val="nil"/>
              <w:bottom w:val="nil"/>
              <w:right w:val="nil"/>
            </w:tcBorders>
            <w:tcMar>
              <w:top w:w="-1" w:type="dxa"/>
              <w:left w:w="-1" w:type="dxa"/>
              <w:bottom w:w="-1" w:type="dxa"/>
              <w:right w:w="-1" w:type="dxa"/>
            </w:tcMar>
            <w:vAlign w:val="center"/>
          </w:tcPr>
          <w:p w14:paraId="48AD364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90.8</w:t>
            </w:r>
          </w:p>
        </w:tc>
      </w:tr>
      <w:tr w:rsidR="000B1CCE" w14:paraId="144E352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FCAF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20DA8E8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4.288</w:t>
            </w:r>
          </w:p>
        </w:tc>
        <w:tc>
          <w:tcPr>
            <w:tcW w:w="0" w:type="auto"/>
            <w:tcBorders>
              <w:top w:val="nil"/>
              <w:left w:val="nil"/>
              <w:bottom w:val="nil"/>
              <w:right w:val="nil"/>
            </w:tcBorders>
            <w:tcMar>
              <w:top w:w="-1" w:type="dxa"/>
              <w:left w:w="-1" w:type="dxa"/>
              <w:bottom w:w="-1" w:type="dxa"/>
              <w:right w:w="-1" w:type="dxa"/>
            </w:tcMar>
            <w:vAlign w:val="center"/>
          </w:tcPr>
          <w:p w14:paraId="7B997CD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0.799</w:t>
            </w:r>
          </w:p>
        </w:tc>
        <w:tc>
          <w:tcPr>
            <w:tcW w:w="2377" w:type="dxa"/>
            <w:tcBorders>
              <w:top w:val="nil"/>
              <w:left w:val="nil"/>
              <w:bottom w:val="nil"/>
              <w:right w:val="nil"/>
            </w:tcBorders>
            <w:tcMar>
              <w:top w:w="-1" w:type="dxa"/>
              <w:left w:w="-1" w:type="dxa"/>
              <w:bottom w:w="-1" w:type="dxa"/>
              <w:right w:w="-1" w:type="dxa"/>
            </w:tcMar>
            <w:vAlign w:val="center"/>
          </w:tcPr>
          <w:p w14:paraId="4A575B1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r w:rsidR="000B1CCE" w14:paraId="37EE55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59208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5141F0A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4.344</w:t>
            </w:r>
          </w:p>
        </w:tc>
        <w:tc>
          <w:tcPr>
            <w:tcW w:w="0" w:type="auto"/>
            <w:tcBorders>
              <w:top w:val="nil"/>
              <w:left w:val="nil"/>
              <w:bottom w:val="nil"/>
              <w:right w:val="nil"/>
            </w:tcBorders>
            <w:tcMar>
              <w:top w:w="-1" w:type="dxa"/>
              <w:left w:w="-1" w:type="dxa"/>
              <w:bottom w:w="-1" w:type="dxa"/>
              <w:right w:w="-1" w:type="dxa"/>
            </w:tcMar>
            <w:vAlign w:val="center"/>
          </w:tcPr>
          <w:p w14:paraId="69BAEC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0.723</w:t>
            </w:r>
          </w:p>
        </w:tc>
        <w:tc>
          <w:tcPr>
            <w:tcW w:w="2377" w:type="dxa"/>
            <w:tcBorders>
              <w:top w:val="nil"/>
              <w:left w:val="nil"/>
              <w:bottom w:val="nil"/>
              <w:right w:val="nil"/>
            </w:tcBorders>
            <w:tcMar>
              <w:top w:w="-1" w:type="dxa"/>
              <w:left w:w="-1" w:type="dxa"/>
              <w:bottom w:w="-1" w:type="dxa"/>
              <w:right w:w="-1" w:type="dxa"/>
            </w:tcMar>
            <w:vAlign w:val="center"/>
          </w:tcPr>
          <w:p w14:paraId="4312811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2B22893A"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4D5F41A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5A66F1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4E4D9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902CA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w:t>
            </w:r>
          </w:p>
        </w:tc>
      </w:tr>
    </w:tbl>
    <w:p w14:paraId="66F73A6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课堂实践各题积极自评率为</w:t>
      </w:r>
      <w:r>
        <w:rPr>
          <w:rFonts w:ascii="Times New Roman" w:eastAsia="宋体" w:hAnsi="Times New Roman" w:cs="Times New Roman"/>
          <w:kern w:val="0"/>
          <w:sz w:val="24"/>
        </w:rPr>
        <w:t>87.73%—95.71%</w:t>
      </w:r>
      <w:r>
        <w:rPr>
          <w:rFonts w:ascii="Times New Roman" w:eastAsia="宋体" w:hAnsi="Times New Roman" w:cs="Times New Roman"/>
          <w:kern w:val="0"/>
          <w:sz w:val="24"/>
        </w:rPr>
        <w:t>，开放性问题和真实情境任务已有较多教师尝试。相比之下，为学生留出自主思考时间的均值最低（</w:t>
      </w:r>
      <w:r>
        <w:rPr>
          <w:rFonts w:ascii="Times New Roman" w:eastAsia="宋体" w:hAnsi="Times New Roman" w:cs="Times New Roman"/>
          <w:kern w:val="0"/>
          <w:sz w:val="24"/>
        </w:rPr>
        <w:t>4.153</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积极自评率也最低（</w:t>
      </w:r>
      <w:r>
        <w:rPr>
          <w:rFonts w:ascii="Times New Roman" w:eastAsia="宋体" w:hAnsi="Times New Roman" w:cs="Times New Roman"/>
          <w:kern w:val="0"/>
          <w:sz w:val="24"/>
        </w:rPr>
        <w:t>87.73%</w:t>
      </w:r>
      <w:r>
        <w:rPr>
          <w:rFonts w:ascii="Times New Roman" w:eastAsia="宋体" w:hAnsi="Times New Roman" w:cs="Times New Roman"/>
          <w:kern w:val="0"/>
          <w:sz w:val="24"/>
        </w:rPr>
        <w:t>）。这提示课堂改进的重点不仅是增加开放问题，更要安排学生独立思考、交流论证与修订的时间，使高阶学习过程能够真实发生。</w:t>
      </w:r>
    </w:p>
    <w:p w14:paraId="358874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）教学自我效能与专业支持需求</w:t>
      </w:r>
    </w:p>
    <w:p w14:paraId="4EE7993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3-25  </w:t>
      </w:r>
      <w:r>
        <w:rPr>
          <w:rFonts w:ascii="Times New Roman" w:eastAsia="黑体" w:hAnsi="Times New Roman" w:cs="Times New Roman"/>
          <w:kern w:val="0"/>
        </w:rPr>
        <w:t>教师教学自我效能的题项表现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3CCFC59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ECE8F5"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B1D80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DB9099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B0B9A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77F484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DBFDF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有把握设计高阶学习任务</w:t>
            </w:r>
          </w:p>
        </w:tc>
        <w:tc>
          <w:tcPr>
            <w:tcW w:w="0" w:type="auto"/>
            <w:tcBorders>
              <w:top w:val="nil"/>
              <w:left w:val="nil"/>
              <w:bottom w:val="nil"/>
              <w:right w:val="nil"/>
            </w:tcBorders>
            <w:tcMar>
              <w:top w:w="-1" w:type="dxa"/>
              <w:left w:w="-1" w:type="dxa"/>
              <w:bottom w:w="-1" w:type="dxa"/>
              <w:right w:w="-1" w:type="dxa"/>
            </w:tcMar>
            <w:vAlign w:val="center"/>
          </w:tcPr>
          <w:p w14:paraId="57AB75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4.049</w:t>
            </w:r>
          </w:p>
        </w:tc>
        <w:tc>
          <w:tcPr>
            <w:tcW w:w="0" w:type="auto"/>
            <w:tcBorders>
              <w:top w:val="nil"/>
              <w:left w:val="nil"/>
              <w:bottom w:val="nil"/>
              <w:right w:val="nil"/>
            </w:tcBorders>
            <w:tcMar>
              <w:top w:w="-1" w:type="dxa"/>
              <w:left w:w="-1" w:type="dxa"/>
              <w:bottom w:w="-1" w:type="dxa"/>
              <w:right w:w="-1" w:type="dxa"/>
            </w:tcMar>
            <w:vAlign w:val="center"/>
          </w:tcPr>
          <w:p w14:paraId="67B473A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0.768</w:t>
            </w:r>
          </w:p>
        </w:tc>
        <w:tc>
          <w:tcPr>
            <w:tcW w:w="2377" w:type="dxa"/>
            <w:tcBorders>
              <w:top w:val="nil"/>
              <w:left w:val="nil"/>
              <w:bottom w:val="nil"/>
              <w:right w:val="nil"/>
            </w:tcBorders>
            <w:tcMar>
              <w:top w:w="-1" w:type="dxa"/>
              <w:left w:w="-1" w:type="dxa"/>
              <w:bottom w:w="-1" w:type="dxa"/>
              <w:right w:w="-1" w:type="dxa"/>
            </w:tcMar>
            <w:vAlign w:val="center"/>
          </w:tcPr>
          <w:p w14:paraId="10C530F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w:t>
            </w:r>
          </w:p>
        </w:tc>
      </w:tr>
      <w:tr w:rsidR="000B1CCE" w14:paraId="5D1B49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8BACE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5B75707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4.061</w:t>
            </w:r>
          </w:p>
        </w:tc>
        <w:tc>
          <w:tcPr>
            <w:tcW w:w="0" w:type="auto"/>
            <w:tcBorders>
              <w:top w:val="nil"/>
              <w:left w:val="nil"/>
              <w:bottom w:val="nil"/>
              <w:right w:val="nil"/>
            </w:tcBorders>
            <w:tcMar>
              <w:top w:w="-1" w:type="dxa"/>
              <w:left w:w="-1" w:type="dxa"/>
              <w:bottom w:w="-1" w:type="dxa"/>
              <w:right w:w="-1" w:type="dxa"/>
            </w:tcMar>
            <w:vAlign w:val="center"/>
          </w:tcPr>
          <w:p w14:paraId="4367540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0.759</w:t>
            </w:r>
          </w:p>
        </w:tc>
        <w:tc>
          <w:tcPr>
            <w:tcW w:w="2377" w:type="dxa"/>
            <w:tcBorders>
              <w:top w:val="nil"/>
              <w:left w:val="nil"/>
              <w:bottom w:val="nil"/>
              <w:right w:val="nil"/>
            </w:tcBorders>
            <w:tcMar>
              <w:top w:w="-1" w:type="dxa"/>
              <w:left w:w="-1" w:type="dxa"/>
              <w:bottom w:w="-1" w:type="dxa"/>
              <w:right w:w="-1" w:type="dxa"/>
            </w:tcMar>
            <w:vAlign w:val="center"/>
          </w:tcPr>
          <w:p w14:paraId="6E0F542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85.89</w:t>
            </w:r>
          </w:p>
        </w:tc>
      </w:tr>
      <w:tr w:rsidR="000B1CCE" w14:paraId="0A3ED52F"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7AE694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AD6B32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9A4240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49061AC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bl>
    <w:p w14:paraId="27853415"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w:t>
      </w:r>
      <w:r>
        <w:rPr>
          <w:rFonts w:ascii="Times New Roman" w:eastAsia="宋体" w:hAnsi="Times New Roman" w:cs="Times New Roman"/>
          <w:kern w:val="0"/>
          <w:sz w:val="24"/>
        </w:rPr>
        <w:t>“</w:t>
      </w:r>
      <w:r>
        <w:rPr>
          <w:rFonts w:ascii="Times New Roman" w:eastAsia="宋体" w:hAnsi="Times New Roman" w:cs="Times New Roman"/>
          <w:kern w:val="0"/>
          <w:sz w:val="24"/>
        </w:rPr>
        <w:t>能观察并识别学生的高阶能力表现</w:t>
      </w:r>
      <w:r>
        <w:rPr>
          <w:rFonts w:ascii="Times New Roman" w:eastAsia="宋体" w:hAnsi="Times New Roman" w:cs="Times New Roman"/>
          <w:kern w:val="0"/>
          <w:sz w:val="24"/>
        </w:rPr>
        <w:t>”</w:t>
      </w:r>
      <w:r>
        <w:rPr>
          <w:rFonts w:ascii="Times New Roman" w:eastAsia="宋体" w:hAnsi="Times New Roman" w:cs="Times New Roman"/>
          <w:kern w:val="0"/>
          <w:sz w:val="24"/>
        </w:rPr>
        <w:t>题项均值为</w:t>
      </w:r>
      <w:r>
        <w:rPr>
          <w:rFonts w:ascii="Times New Roman" w:eastAsia="宋体" w:hAnsi="Times New Roman" w:cs="Times New Roman"/>
          <w:kern w:val="0"/>
          <w:sz w:val="24"/>
        </w:rPr>
        <w:t>4.160</w:t>
      </w:r>
      <w:r>
        <w:rPr>
          <w:rFonts w:ascii="Times New Roman" w:eastAsia="宋体" w:hAnsi="Times New Roman" w:cs="Times New Roman"/>
          <w:kern w:val="0"/>
          <w:sz w:val="24"/>
        </w:rPr>
        <w:t>，积极自评率为</w:t>
      </w:r>
      <w:r>
        <w:rPr>
          <w:rFonts w:ascii="Times New Roman" w:eastAsia="宋体" w:hAnsi="Times New Roman" w:cs="Times New Roman"/>
          <w:kern w:val="0"/>
          <w:sz w:val="24"/>
        </w:rPr>
        <w:t>92.02%</w:t>
      </w:r>
      <w:r>
        <w:rPr>
          <w:rFonts w:ascii="Times New Roman" w:eastAsia="宋体" w:hAnsi="Times New Roman" w:cs="Times New Roman"/>
          <w:kern w:val="0"/>
          <w:sz w:val="24"/>
        </w:rPr>
        <w:t>；有把握设计高阶学习任务和</w:t>
      </w:r>
      <w:r>
        <w:rPr>
          <w:rFonts w:ascii="Times New Roman" w:eastAsia="宋体" w:hAnsi="Times New Roman" w:cs="Times New Roman"/>
          <w:kern w:val="0"/>
          <w:sz w:val="24"/>
        </w:rPr>
        <w:t>“</w:t>
      </w:r>
      <w:r>
        <w:rPr>
          <w:rFonts w:ascii="Times New Roman" w:eastAsia="宋体" w:hAnsi="Times New Roman" w:cs="Times New Roman"/>
          <w:kern w:val="0"/>
          <w:sz w:val="24"/>
        </w:rPr>
        <w:t>能通过提问和点拨推动学生思考</w:t>
      </w:r>
      <w:r>
        <w:rPr>
          <w:rFonts w:ascii="Times New Roman" w:eastAsia="宋体" w:hAnsi="Times New Roman" w:cs="Times New Roman"/>
          <w:kern w:val="0"/>
          <w:sz w:val="24"/>
        </w:rPr>
        <w:t>”</w:t>
      </w:r>
      <w:r>
        <w:rPr>
          <w:rFonts w:ascii="Times New Roman" w:eastAsia="宋体" w:hAnsi="Times New Roman" w:cs="Times New Roman"/>
          <w:kern w:val="0"/>
          <w:sz w:val="24"/>
        </w:rPr>
        <w:t>的题项均值分别为</w:t>
      </w:r>
      <w:r>
        <w:rPr>
          <w:rFonts w:ascii="Times New Roman" w:eastAsia="宋体" w:hAnsi="Times New Roman" w:cs="Times New Roman"/>
          <w:kern w:val="0"/>
          <w:sz w:val="24"/>
        </w:rPr>
        <w:t>4.049</w:t>
      </w:r>
      <w:r>
        <w:rPr>
          <w:rFonts w:ascii="Times New Roman" w:eastAsia="宋体" w:hAnsi="Times New Roman" w:cs="Times New Roman"/>
          <w:kern w:val="0"/>
          <w:sz w:val="24"/>
        </w:rPr>
        <w:t>和</w:t>
      </w:r>
      <w:r>
        <w:rPr>
          <w:rFonts w:ascii="Times New Roman" w:eastAsia="宋体" w:hAnsi="Times New Roman" w:cs="Times New Roman"/>
          <w:kern w:val="0"/>
          <w:sz w:val="24"/>
        </w:rPr>
        <w:t>4.061</w:t>
      </w:r>
      <w:r>
        <w:rPr>
          <w:rFonts w:ascii="Times New Roman" w:eastAsia="宋体" w:hAnsi="Times New Roman" w:cs="Times New Roman"/>
          <w:kern w:val="0"/>
          <w:sz w:val="24"/>
        </w:rPr>
        <w:t>，积极自评率分别为</w:t>
      </w:r>
      <w:r>
        <w:rPr>
          <w:rFonts w:ascii="Times New Roman" w:eastAsia="宋体" w:hAnsi="Times New Roman" w:cs="Times New Roman"/>
          <w:kern w:val="0"/>
          <w:sz w:val="24"/>
        </w:rPr>
        <w:t>84.66%</w:t>
      </w:r>
      <w:r>
        <w:rPr>
          <w:rFonts w:ascii="Times New Roman" w:eastAsia="宋体" w:hAnsi="Times New Roman" w:cs="Times New Roman"/>
          <w:kern w:val="0"/>
          <w:sz w:val="24"/>
        </w:rPr>
        <w:t>和</w:t>
      </w:r>
      <w:r>
        <w:rPr>
          <w:rFonts w:ascii="Times New Roman" w:eastAsia="宋体" w:hAnsi="Times New Roman" w:cs="Times New Roman"/>
          <w:kern w:val="0"/>
          <w:sz w:val="24"/>
        </w:rPr>
        <w:t>85.89%</w:t>
      </w:r>
      <w:r>
        <w:rPr>
          <w:rFonts w:ascii="Times New Roman" w:eastAsia="宋体" w:hAnsi="Times New Roman" w:cs="Times New Roman"/>
          <w:kern w:val="0"/>
          <w:sz w:val="24"/>
        </w:rPr>
        <w:t>。后两项的描述性结果相对较低，说明教师识别学生高阶表现的自评较高，而将能力目标转化为有层次的任务、并根据学生回应通过提问点拨推进思考，仍是专业发展需要着力的环节。</w:t>
      </w:r>
    </w:p>
    <w:p w14:paraId="3C2BD27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3-26  </w:t>
      </w:r>
      <w:r>
        <w:rPr>
          <w:rFonts w:ascii="Times New Roman" w:eastAsia="黑体" w:hAnsi="Times New Roman" w:cs="Times New Roman"/>
          <w:kern w:val="0"/>
        </w:rPr>
        <w:t>教师提出的专业支持需求</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814"/>
        <w:gridCol w:w="1171"/>
        <w:gridCol w:w="2534"/>
      </w:tblGrid>
      <w:tr w:rsidR="000B1CCE" w14:paraId="730F52E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35C19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支持内容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51D8E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253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BFB4EE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选择率（</w:t>
            </w:r>
            <w:r>
              <w:rPr>
                <w:rFonts w:ascii="Times New Roman" w:eastAsia="宋体" w:hAnsi="Times New Roman" w:cs="Times New Roman"/>
                <w:b/>
              </w:rPr>
              <w:t>%</w:t>
            </w:r>
            <w:r>
              <w:rPr>
                <w:rFonts w:ascii="Times New Roman" w:eastAsia="宋体" w:hAnsi="Times New Roman" w:cs="Times New Roman"/>
                <w:b/>
              </w:rPr>
              <w:t>）</w:t>
            </w:r>
          </w:p>
        </w:tc>
      </w:tr>
      <w:tr w:rsidR="000B1CCE" w14:paraId="3E30B8A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DEC575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实操性培训与教研研讨</w:t>
            </w:r>
          </w:p>
        </w:tc>
        <w:tc>
          <w:tcPr>
            <w:tcW w:w="0" w:type="auto"/>
            <w:tcBorders>
              <w:top w:val="nil"/>
              <w:left w:val="nil"/>
              <w:bottom w:val="nil"/>
              <w:right w:val="nil"/>
            </w:tcBorders>
            <w:tcMar>
              <w:top w:w="-1" w:type="dxa"/>
              <w:left w:w="-1" w:type="dxa"/>
              <w:bottom w:w="-1" w:type="dxa"/>
              <w:right w:w="-1" w:type="dxa"/>
            </w:tcMar>
            <w:vAlign w:val="center"/>
          </w:tcPr>
          <w:p w14:paraId="5EDF5BF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120</w:t>
            </w:r>
          </w:p>
        </w:tc>
        <w:tc>
          <w:tcPr>
            <w:tcW w:w="2534" w:type="dxa"/>
            <w:tcBorders>
              <w:top w:val="nil"/>
              <w:left w:val="nil"/>
              <w:bottom w:val="nil"/>
              <w:right w:val="nil"/>
            </w:tcBorders>
            <w:tcMar>
              <w:top w:w="-1" w:type="dxa"/>
              <w:left w:w="-1" w:type="dxa"/>
              <w:bottom w:w="-1" w:type="dxa"/>
              <w:right w:w="-1" w:type="dxa"/>
            </w:tcMar>
            <w:vAlign w:val="center"/>
          </w:tcPr>
          <w:p w14:paraId="39D868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73.62</w:t>
            </w:r>
          </w:p>
        </w:tc>
      </w:tr>
      <w:tr w:rsidR="000B1CCE" w14:paraId="66569A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29A68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4EE76A0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118</w:t>
            </w:r>
          </w:p>
        </w:tc>
        <w:tc>
          <w:tcPr>
            <w:tcW w:w="2534" w:type="dxa"/>
            <w:tcBorders>
              <w:top w:val="nil"/>
              <w:left w:val="nil"/>
              <w:bottom w:val="nil"/>
              <w:right w:val="nil"/>
            </w:tcBorders>
            <w:tcMar>
              <w:top w:w="-1" w:type="dxa"/>
              <w:left w:w="-1" w:type="dxa"/>
              <w:bottom w:w="-1" w:type="dxa"/>
              <w:right w:w="-1" w:type="dxa"/>
            </w:tcMar>
            <w:vAlign w:val="center"/>
          </w:tcPr>
          <w:p w14:paraId="1EDB83A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72.39</w:t>
            </w:r>
          </w:p>
        </w:tc>
      </w:tr>
      <w:tr w:rsidR="000B1CCE" w14:paraId="5526B1A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666C0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2B4ADF5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w:t>
            </w:r>
          </w:p>
        </w:tc>
        <w:tc>
          <w:tcPr>
            <w:tcW w:w="2534" w:type="dxa"/>
            <w:tcBorders>
              <w:top w:val="nil"/>
              <w:left w:val="nil"/>
              <w:bottom w:val="nil"/>
              <w:right w:val="nil"/>
            </w:tcBorders>
            <w:tcMar>
              <w:top w:w="-1" w:type="dxa"/>
              <w:left w:w="-1" w:type="dxa"/>
              <w:bottom w:w="-1" w:type="dxa"/>
              <w:right w:w="-1" w:type="dxa"/>
            </w:tcMar>
            <w:vAlign w:val="center"/>
          </w:tcPr>
          <w:p w14:paraId="72662F0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57.06</w:t>
            </w:r>
          </w:p>
        </w:tc>
      </w:tr>
      <w:tr w:rsidR="000B1CCE" w14:paraId="1977399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7B12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346FDB7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75</w:t>
            </w:r>
          </w:p>
        </w:tc>
        <w:tc>
          <w:tcPr>
            <w:tcW w:w="2534" w:type="dxa"/>
            <w:tcBorders>
              <w:top w:val="nil"/>
              <w:left w:val="nil"/>
              <w:bottom w:val="nil"/>
              <w:right w:val="nil"/>
            </w:tcBorders>
            <w:tcMar>
              <w:top w:w="-1" w:type="dxa"/>
              <w:left w:w="-1" w:type="dxa"/>
              <w:bottom w:w="-1" w:type="dxa"/>
              <w:right w:w="-1" w:type="dxa"/>
            </w:tcMar>
            <w:vAlign w:val="center"/>
          </w:tcPr>
          <w:p w14:paraId="4242D8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46.01</w:t>
            </w:r>
          </w:p>
        </w:tc>
      </w:tr>
      <w:tr w:rsidR="000B1CCE" w14:paraId="5BC33E89"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0DE8AF4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3298AF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267E710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44.17</w:t>
            </w:r>
          </w:p>
        </w:tc>
      </w:tr>
    </w:tbl>
    <w:p w14:paraId="6C42E68F"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实操培训与教研研讨、可借鉴的教案及课例是教师最集中的两类需求，选择率分别为</w:t>
      </w:r>
      <w:r>
        <w:rPr>
          <w:rFonts w:ascii="Times New Roman" w:eastAsia="宋体" w:hAnsi="Times New Roman" w:cs="Times New Roman"/>
          <w:kern w:val="0"/>
          <w:sz w:val="24"/>
        </w:rPr>
        <w:t>73.62%</w:t>
      </w:r>
      <w:r>
        <w:rPr>
          <w:rFonts w:ascii="Times New Roman" w:eastAsia="宋体" w:hAnsi="Times New Roman" w:cs="Times New Roman"/>
          <w:kern w:val="0"/>
          <w:sz w:val="24"/>
        </w:rPr>
        <w:t>和</w:t>
      </w:r>
      <w:r>
        <w:rPr>
          <w:rFonts w:ascii="Times New Roman" w:eastAsia="宋体" w:hAnsi="Times New Roman" w:cs="Times New Roman"/>
          <w:kern w:val="0"/>
          <w:sz w:val="24"/>
        </w:rPr>
        <w:t>72.39%</w:t>
      </w:r>
      <w:r>
        <w:rPr>
          <w:rFonts w:ascii="Times New Roman" w:eastAsia="宋体" w:hAnsi="Times New Roman" w:cs="Times New Roman"/>
          <w:kern w:val="0"/>
          <w:sz w:val="24"/>
        </w:rPr>
        <w:t>。支持内容应聚焦任务设计、学生思维表现识别、反馈和修订等关键环节，以具体课例帮助教师把理念转化为可操作的教学决策。</w:t>
      </w:r>
    </w:p>
    <w:p w14:paraId="5D93DF2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）现实阻碍与实施条件</w:t>
      </w:r>
    </w:p>
    <w:p w14:paraId="0CE4C7E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3-27  </w:t>
      </w:r>
      <w:r>
        <w:rPr>
          <w:rFonts w:ascii="Times New Roman" w:eastAsia="黑体" w:hAnsi="Times New Roman" w:cs="Times New Roman"/>
          <w:kern w:val="0"/>
        </w:rPr>
        <w:t>教师对高阶能力培育现实阻碍的认同情况</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19"/>
        <w:gridCol w:w="1093"/>
        <w:gridCol w:w="1093"/>
        <w:gridCol w:w="2814"/>
      </w:tblGrid>
      <w:tr w:rsidR="000B1CCE" w14:paraId="100ADC4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D53EC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现实阻碍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D761E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BD347BC"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8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73E45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困难认同率（</w:t>
            </w:r>
            <w:r>
              <w:rPr>
                <w:rFonts w:ascii="Times New Roman" w:eastAsia="宋体" w:hAnsi="Times New Roman" w:cs="Times New Roman"/>
                <w:b/>
              </w:rPr>
              <w:t>%</w:t>
            </w:r>
            <w:r>
              <w:rPr>
                <w:rFonts w:ascii="Times New Roman" w:eastAsia="宋体" w:hAnsi="Times New Roman" w:cs="Times New Roman"/>
                <w:b/>
              </w:rPr>
              <w:t>）</w:t>
            </w:r>
          </w:p>
        </w:tc>
      </w:tr>
      <w:tr w:rsidR="000B1CCE" w14:paraId="3BFE0C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B17C5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学生基础差异较大</w:t>
            </w:r>
          </w:p>
        </w:tc>
        <w:tc>
          <w:tcPr>
            <w:tcW w:w="0" w:type="auto"/>
            <w:tcBorders>
              <w:top w:val="nil"/>
              <w:left w:val="nil"/>
              <w:bottom w:val="nil"/>
              <w:right w:val="nil"/>
            </w:tcBorders>
            <w:tcMar>
              <w:top w:w="-1" w:type="dxa"/>
              <w:left w:w="-1" w:type="dxa"/>
              <w:bottom w:w="-1" w:type="dxa"/>
              <w:right w:w="-1" w:type="dxa"/>
            </w:tcMar>
            <w:vAlign w:val="center"/>
          </w:tcPr>
          <w:p w14:paraId="32FCDD3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3.926</w:t>
            </w:r>
          </w:p>
        </w:tc>
        <w:tc>
          <w:tcPr>
            <w:tcW w:w="0" w:type="auto"/>
            <w:tcBorders>
              <w:top w:val="nil"/>
              <w:left w:val="nil"/>
              <w:bottom w:val="nil"/>
              <w:right w:val="nil"/>
            </w:tcBorders>
            <w:tcMar>
              <w:top w:w="-1" w:type="dxa"/>
              <w:left w:w="-1" w:type="dxa"/>
              <w:bottom w:w="-1" w:type="dxa"/>
              <w:right w:w="-1" w:type="dxa"/>
            </w:tcMar>
            <w:vAlign w:val="center"/>
          </w:tcPr>
          <w:p w14:paraId="29BE7FB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0.979</w:t>
            </w:r>
          </w:p>
        </w:tc>
        <w:tc>
          <w:tcPr>
            <w:tcW w:w="2814" w:type="dxa"/>
            <w:tcBorders>
              <w:top w:val="nil"/>
              <w:left w:val="nil"/>
              <w:bottom w:val="nil"/>
              <w:right w:val="nil"/>
            </w:tcBorders>
            <w:tcMar>
              <w:top w:w="-1" w:type="dxa"/>
              <w:left w:w="-1" w:type="dxa"/>
              <w:bottom w:w="-1" w:type="dxa"/>
              <w:right w:w="-1" w:type="dxa"/>
            </w:tcMar>
            <w:vAlign w:val="center"/>
          </w:tcPr>
          <w:p w14:paraId="0C372E7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81.6</w:t>
            </w:r>
          </w:p>
        </w:tc>
      </w:tr>
      <w:tr w:rsidR="000B1CCE" w14:paraId="1492C7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270E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21679FA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3.736</w:t>
            </w:r>
          </w:p>
        </w:tc>
        <w:tc>
          <w:tcPr>
            <w:tcW w:w="0" w:type="auto"/>
            <w:tcBorders>
              <w:top w:val="nil"/>
              <w:left w:val="nil"/>
              <w:bottom w:val="nil"/>
              <w:right w:val="nil"/>
            </w:tcBorders>
            <w:tcMar>
              <w:top w:w="-1" w:type="dxa"/>
              <w:left w:w="-1" w:type="dxa"/>
              <w:bottom w:w="-1" w:type="dxa"/>
              <w:right w:w="-1" w:type="dxa"/>
            </w:tcMar>
            <w:vAlign w:val="center"/>
          </w:tcPr>
          <w:p w14:paraId="1F65B47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1.059</w:t>
            </w:r>
          </w:p>
        </w:tc>
        <w:tc>
          <w:tcPr>
            <w:tcW w:w="2814" w:type="dxa"/>
            <w:tcBorders>
              <w:top w:val="nil"/>
              <w:left w:val="nil"/>
              <w:bottom w:val="nil"/>
              <w:right w:val="nil"/>
            </w:tcBorders>
            <w:tcMar>
              <w:top w:w="-1" w:type="dxa"/>
              <w:left w:w="-1" w:type="dxa"/>
              <w:bottom w:w="-1" w:type="dxa"/>
              <w:right w:w="-1" w:type="dxa"/>
            </w:tcMar>
            <w:vAlign w:val="center"/>
          </w:tcPr>
          <w:p w14:paraId="1BC94C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70.55</w:t>
            </w:r>
          </w:p>
        </w:tc>
      </w:tr>
      <w:tr w:rsidR="000B1CCE" w14:paraId="36BB5B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014FD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735FE71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3.626</w:t>
            </w:r>
          </w:p>
        </w:tc>
        <w:tc>
          <w:tcPr>
            <w:tcW w:w="0" w:type="auto"/>
            <w:tcBorders>
              <w:top w:val="nil"/>
              <w:left w:val="nil"/>
              <w:bottom w:val="nil"/>
              <w:right w:val="nil"/>
            </w:tcBorders>
            <w:tcMar>
              <w:top w:w="-1" w:type="dxa"/>
              <w:left w:w="-1" w:type="dxa"/>
              <w:bottom w:w="-1" w:type="dxa"/>
              <w:right w:w="-1" w:type="dxa"/>
            </w:tcMar>
            <w:vAlign w:val="center"/>
          </w:tcPr>
          <w:p w14:paraId="4130E8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1.095</w:t>
            </w:r>
          </w:p>
        </w:tc>
        <w:tc>
          <w:tcPr>
            <w:tcW w:w="2814" w:type="dxa"/>
            <w:tcBorders>
              <w:top w:val="nil"/>
              <w:left w:val="nil"/>
              <w:bottom w:val="nil"/>
              <w:right w:val="nil"/>
            </w:tcBorders>
            <w:tcMar>
              <w:top w:w="-1" w:type="dxa"/>
              <w:left w:w="-1" w:type="dxa"/>
              <w:bottom w:w="-1" w:type="dxa"/>
              <w:right w:w="-1" w:type="dxa"/>
            </w:tcMar>
            <w:vAlign w:val="center"/>
          </w:tcPr>
          <w:p w14:paraId="0C5512B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69.94</w:t>
            </w:r>
          </w:p>
        </w:tc>
      </w:tr>
      <w:tr w:rsidR="000B1CCE" w14:paraId="1ACBA1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BDD4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2990734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w:t>
            </w:r>
          </w:p>
        </w:tc>
        <w:tc>
          <w:tcPr>
            <w:tcW w:w="0" w:type="auto"/>
            <w:tcBorders>
              <w:top w:val="nil"/>
              <w:left w:val="nil"/>
              <w:bottom w:val="nil"/>
              <w:right w:val="nil"/>
            </w:tcBorders>
            <w:tcMar>
              <w:top w:w="-1" w:type="dxa"/>
              <w:left w:w="-1" w:type="dxa"/>
              <w:bottom w:w="-1" w:type="dxa"/>
              <w:right w:w="-1" w:type="dxa"/>
            </w:tcMar>
            <w:vAlign w:val="center"/>
          </w:tcPr>
          <w:p w14:paraId="25A331E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1.15</w:t>
            </w:r>
          </w:p>
        </w:tc>
        <w:tc>
          <w:tcPr>
            <w:tcW w:w="2814" w:type="dxa"/>
            <w:tcBorders>
              <w:top w:val="nil"/>
              <w:left w:val="nil"/>
              <w:bottom w:val="nil"/>
              <w:right w:val="nil"/>
            </w:tcBorders>
            <w:tcMar>
              <w:top w:w="-1" w:type="dxa"/>
              <w:left w:w="-1" w:type="dxa"/>
              <w:bottom w:w="-1" w:type="dxa"/>
              <w:right w:w="-1" w:type="dxa"/>
            </w:tcMar>
            <w:vAlign w:val="center"/>
          </w:tcPr>
          <w:p w14:paraId="00BE2CD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67.48</w:t>
            </w:r>
          </w:p>
        </w:tc>
      </w:tr>
      <w:tr w:rsidR="000B1CCE" w14:paraId="027605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BD01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276A3E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3.485</w:t>
            </w:r>
          </w:p>
        </w:tc>
        <w:tc>
          <w:tcPr>
            <w:tcW w:w="0" w:type="auto"/>
            <w:tcBorders>
              <w:top w:val="nil"/>
              <w:left w:val="nil"/>
              <w:bottom w:val="nil"/>
              <w:right w:val="nil"/>
            </w:tcBorders>
            <w:tcMar>
              <w:top w:w="-1" w:type="dxa"/>
              <w:left w:w="-1" w:type="dxa"/>
              <w:bottom w:w="-1" w:type="dxa"/>
              <w:right w:w="-1" w:type="dxa"/>
            </w:tcMar>
            <w:vAlign w:val="center"/>
          </w:tcPr>
          <w:p w14:paraId="31E15C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1.173</w:t>
            </w:r>
          </w:p>
        </w:tc>
        <w:tc>
          <w:tcPr>
            <w:tcW w:w="2814" w:type="dxa"/>
            <w:tcBorders>
              <w:top w:val="nil"/>
              <w:left w:val="nil"/>
              <w:bottom w:val="nil"/>
              <w:right w:val="nil"/>
            </w:tcBorders>
            <w:tcMar>
              <w:top w:w="-1" w:type="dxa"/>
              <w:left w:w="-1" w:type="dxa"/>
              <w:bottom w:w="-1" w:type="dxa"/>
              <w:right w:w="-1" w:type="dxa"/>
            </w:tcMar>
            <w:vAlign w:val="center"/>
          </w:tcPr>
          <w:p w14:paraId="2DA733A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60.74</w:t>
            </w:r>
          </w:p>
        </w:tc>
      </w:tr>
      <w:tr w:rsidR="000B1CCE" w14:paraId="0BD63AED"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04AC57F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62B8771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9BC9A7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337E357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w:t>
            </w:r>
          </w:p>
        </w:tc>
      </w:tr>
    </w:tbl>
    <w:p w14:paraId="349F530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学生基础差异是教师最突出的现实顾虑，困难认同率为</w:t>
      </w:r>
      <w:r>
        <w:rPr>
          <w:rFonts w:ascii="Times New Roman" w:eastAsia="宋体" w:hAnsi="Times New Roman" w:cs="Times New Roman"/>
          <w:kern w:val="0"/>
          <w:sz w:val="24"/>
        </w:rPr>
        <w:t>81.60%</w:t>
      </w:r>
      <w:r>
        <w:rPr>
          <w:rFonts w:ascii="Times New Roman" w:eastAsia="宋体" w:hAnsi="Times New Roman" w:cs="Times New Roman"/>
          <w:kern w:val="0"/>
          <w:sz w:val="24"/>
        </w:rPr>
        <w:t>。课时与任</w:t>
      </w:r>
      <w:r>
        <w:rPr>
          <w:rFonts w:ascii="Times New Roman" w:eastAsia="宋体" w:hAnsi="Times New Roman" w:cs="Times New Roman"/>
          <w:kern w:val="0"/>
          <w:sz w:val="24"/>
        </w:rPr>
        <w:lastRenderedPageBreak/>
        <w:t>务负担、资源不足的认同率也接近七成。教师开放意见进一步提出分层授课、结合学情设计课程及课时压力等问题。</w:t>
      </w:r>
      <w:r>
        <w:rPr>
          <w:rFonts w:ascii="Times New Roman" w:eastAsia="宋体" w:hAnsi="Times New Roman" w:cs="Times New Roman"/>
          <w:b/>
          <w:kern w:val="0"/>
          <w:sz w:val="24"/>
        </w:rPr>
        <w:t>由此可见，实践设计需提供不同难度入口与必要支架，明确阶段任务和时间安排，并通过共享课例降低教师独立开发资源的负担。</w:t>
      </w:r>
    </w:p>
    <w:p w14:paraId="5F408DC7" w14:textId="77777777" w:rsidR="000B1CCE" w:rsidRDefault="00000000">
      <w:pPr>
        <w:keepNext/>
        <w:spacing w:before="120"/>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3"/>
                    <a:stretch>
                      <a:fillRect/>
                    </a:stretch>
                  </pic:blipFill>
                  <pic:spPr>
                    <a:xfrm>
                      <a:off x="0" y="0"/>
                      <a:ext cx="5340985" cy="1865630"/>
                    </a:xfrm>
                    <a:prstGeom prst="rect">
                      <a:avLst/>
                    </a:prstGeom>
                  </pic:spPr>
                </pic:pic>
              </a:graphicData>
            </a:graphic>
          </wp:inline>
        </w:drawing>
      </w:r>
    </w:p>
    <w:p w14:paraId="4A8BF684"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3-6  </w:t>
      </w:r>
      <w:r>
        <w:rPr>
          <w:rFonts w:ascii="Times New Roman" w:eastAsia="黑体" w:hAnsi="Times New Roman" w:cs="Times New Roman"/>
        </w:rPr>
        <w:t>教师对高阶能力培育现实阻碍的认同率</w:t>
      </w:r>
    </w:p>
    <w:p w14:paraId="767CFD0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）对培育价值与可行性的判断</w:t>
      </w:r>
    </w:p>
    <w:p w14:paraId="3403853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3-28  </w:t>
      </w:r>
      <w:r>
        <w:rPr>
          <w:rFonts w:ascii="Times New Roman" w:eastAsia="黑体" w:hAnsi="Times New Roman" w:cs="Times New Roman"/>
          <w:kern w:val="0"/>
        </w:rPr>
        <w:t>教师对高阶能力培育价值与可行性的判断</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11"/>
        <w:gridCol w:w="4079"/>
        <w:gridCol w:w="992"/>
        <w:gridCol w:w="1837"/>
      </w:tblGrid>
      <w:tr w:rsidR="000B1CCE" w14:paraId="32F504B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619F46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C11AE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73319A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1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6C7C9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79CD625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C312C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62B574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可较多融入日常课堂</w:t>
            </w:r>
          </w:p>
        </w:tc>
        <w:tc>
          <w:tcPr>
            <w:tcW w:w="0" w:type="auto"/>
            <w:tcBorders>
              <w:top w:val="nil"/>
              <w:left w:val="nil"/>
              <w:bottom w:val="nil"/>
              <w:right w:val="nil"/>
            </w:tcBorders>
            <w:tcMar>
              <w:top w:w="-1" w:type="dxa"/>
              <w:left w:w="-1" w:type="dxa"/>
              <w:bottom w:w="-1" w:type="dxa"/>
              <w:right w:w="-1" w:type="dxa"/>
            </w:tcMar>
            <w:vAlign w:val="center"/>
          </w:tcPr>
          <w:p w14:paraId="664BE2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w:t>
            </w:r>
          </w:p>
        </w:tc>
        <w:tc>
          <w:tcPr>
            <w:tcW w:w="1837" w:type="dxa"/>
            <w:tcBorders>
              <w:top w:val="nil"/>
              <w:left w:val="nil"/>
              <w:bottom w:val="nil"/>
              <w:right w:val="nil"/>
            </w:tcBorders>
            <w:tcMar>
              <w:top w:w="-1" w:type="dxa"/>
              <w:left w:w="-1" w:type="dxa"/>
              <w:bottom w:w="-1" w:type="dxa"/>
              <w:right w:w="-1" w:type="dxa"/>
            </w:tcMar>
            <w:vAlign w:val="center"/>
          </w:tcPr>
          <w:p w14:paraId="0831CE8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36.81</w:t>
            </w:r>
          </w:p>
        </w:tc>
      </w:tr>
      <w:tr w:rsidR="000B1CCE" w14:paraId="70E7F91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41A3A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0C2F28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081FC53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45DE016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71D8AB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C0E8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16D5E77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一般，约束较多</w:t>
            </w:r>
          </w:p>
        </w:tc>
        <w:tc>
          <w:tcPr>
            <w:tcW w:w="0" w:type="auto"/>
            <w:tcBorders>
              <w:top w:val="nil"/>
              <w:left w:val="nil"/>
              <w:bottom w:val="nil"/>
              <w:right w:val="nil"/>
            </w:tcBorders>
            <w:tcMar>
              <w:top w:w="-1" w:type="dxa"/>
              <w:left w:w="-1" w:type="dxa"/>
              <w:bottom w:w="-1" w:type="dxa"/>
              <w:right w:w="-1" w:type="dxa"/>
            </w:tcMar>
            <w:vAlign w:val="center"/>
          </w:tcPr>
          <w:p w14:paraId="271CE6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837" w:type="dxa"/>
            <w:tcBorders>
              <w:top w:val="nil"/>
              <w:left w:val="nil"/>
              <w:bottom w:val="nil"/>
              <w:right w:val="nil"/>
            </w:tcBorders>
            <w:tcMar>
              <w:top w:w="-1" w:type="dxa"/>
              <w:left w:w="-1" w:type="dxa"/>
              <w:bottom w:w="-1" w:type="dxa"/>
              <w:right w:w="-1" w:type="dxa"/>
            </w:tcMar>
            <w:vAlign w:val="center"/>
          </w:tcPr>
          <w:p w14:paraId="1AB6CC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w:t>
            </w:r>
          </w:p>
        </w:tc>
      </w:tr>
      <w:tr w:rsidR="000B1CCE" w14:paraId="2230DA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39171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4938688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很低</w:t>
            </w:r>
          </w:p>
        </w:tc>
        <w:tc>
          <w:tcPr>
            <w:tcW w:w="0" w:type="auto"/>
            <w:tcBorders>
              <w:top w:val="nil"/>
              <w:left w:val="nil"/>
              <w:bottom w:val="nil"/>
              <w:right w:val="nil"/>
            </w:tcBorders>
            <w:tcMar>
              <w:top w:w="-1" w:type="dxa"/>
              <w:left w:w="-1" w:type="dxa"/>
              <w:bottom w:w="-1" w:type="dxa"/>
              <w:right w:w="-1" w:type="dxa"/>
            </w:tcMar>
            <w:vAlign w:val="center"/>
          </w:tcPr>
          <w:p w14:paraId="140E2D2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2</w:t>
            </w:r>
          </w:p>
        </w:tc>
        <w:tc>
          <w:tcPr>
            <w:tcW w:w="1837" w:type="dxa"/>
            <w:tcBorders>
              <w:top w:val="nil"/>
              <w:left w:val="nil"/>
              <w:bottom w:val="nil"/>
              <w:right w:val="nil"/>
            </w:tcBorders>
            <w:tcMar>
              <w:top w:w="-1" w:type="dxa"/>
              <w:left w:w="-1" w:type="dxa"/>
              <w:bottom w:w="-1" w:type="dxa"/>
              <w:right w:w="-1" w:type="dxa"/>
            </w:tcMar>
            <w:vAlign w:val="center"/>
          </w:tcPr>
          <w:p w14:paraId="7EE7EB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1.23</w:t>
            </w:r>
          </w:p>
        </w:tc>
      </w:tr>
      <w:tr w:rsidR="000B1CCE" w14:paraId="25BB14C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43708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0140C0E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2C358AA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w:t>
            </w:r>
          </w:p>
        </w:tc>
        <w:tc>
          <w:tcPr>
            <w:tcW w:w="1837" w:type="dxa"/>
            <w:tcBorders>
              <w:top w:val="nil"/>
              <w:left w:val="nil"/>
              <w:bottom w:val="nil"/>
              <w:right w:val="nil"/>
            </w:tcBorders>
            <w:tcMar>
              <w:top w:w="-1" w:type="dxa"/>
              <w:left w:w="-1" w:type="dxa"/>
              <w:bottom w:w="-1" w:type="dxa"/>
              <w:right w:w="-1" w:type="dxa"/>
            </w:tcMar>
            <w:vAlign w:val="center"/>
          </w:tcPr>
          <w:p w14:paraId="1D14101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41.1</w:t>
            </w:r>
          </w:p>
        </w:tc>
      </w:tr>
      <w:tr w:rsidR="000B1CCE" w14:paraId="0C8E41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189EC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6C90D66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0B7E314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033468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32A0DBD0"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486DBE7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353193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49E12A2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5E1A50F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0.61</w:t>
            </w:r>
          </w:p>
        </w:tc>
      </w:tr>
    </w:tbl>
    <w:p w14:paraId="601D8A5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绝大多数教师认可高阶能力培育具有价值，</w:t>
      </w:r>
      <w:r>
        <w:rPr>
          <w:rFonts w:ascii="Times New Roman" w:eastAsia="宋体" w:hAnsi="Times New Roman" w:cs="Times New Roman"/>
          <w:kern w:val="0"/>
          <w:sz w:val="24"/>
        </w:rPr>
        <w:t>162</w:t>
      </w:r>
      <w:r>
        <w:rPr>
          <w:rFonts w:ascii="Times New Roman" w:eastAsia="宋体" w:hAnsi="Times New Roman" w:cs="Times New Roman"/>
          <w:kern w:val="0"/>
          <w:sz w:val="24"/>
        </w:rPr>
        <w:t>人认为其有一定或较大价值，占</w:t>
      </w:r>
      <w:r>
        <w:rPr>
          <w:rFonts w:ascii="Times New Roman" w:eastAsia="宋体" w:hAnsi="Times New Roman" w:cs="Times New Roman"/>
          <w:kern w:val="0"/>
          <w:sz w:val="24"/>
        </w:rPr>
        <w:t>99.39%</w:t>
      </w:r>
      <w:r>
        <w:rPr>
          <w:rFonts w:ascii="Times New Roman" w:eastAsia="宋体" w:hAnsi="Times New Roman" w:cs="Times New Roman"/>
          <w:kern w:val="0"/>
          <w:sz w:val="24"/>
        </w:rPr>
        <w:t>；</w:t>
      </w:r>
      <w:r>
        <w:rPr>
          <w:rFonts w:ascii="Times New Roman" w:eastAsia="宋体" w:hAnsi="Times New Roman" w:cs="Times New Roman"/>
          <w:kern w:val="0"/>
          <w:sz w:val="24"/>
        </w:rPr>
        <w:t>155</w:t>
      </w:r>
      <w:r>
        <w:rPr>
          <w:rFonts w:ascii="Times New Roman" w:eastAsia="宋体" w:hAnsi="Times New Roman" w:cs="Times New Roman"/>
          <w:kern w:val="0"/>
          <w:sz w:val="24"/>
        </w:rPr>
        <w:t>人认为具有一定或较高可行性，占</w:t>
      </w:r>
      <w:r>
        <w:rPr>
          <w:rFonts w:ascii="Times New Roman" w:eastAsia="宋体" w:hAnsi="Times New Roman" w:cs="Times New Roman"/>
          <w:kern w:val="0"/>
          <w:sz w:val="24"/>
        </w:rPr>
        <w:t>95.09%</w:t>
      </w:r>
      <w:r>
        <w:rPr>
          <w:rFonts w:ascii="Times New Roman" w:eastAsia="宋体" w:hAnsi="Times New Roman" w:cs="Times New Roman"/>
          <w:kern w:val="0"/>
          <w:sz w:val="24"/>
        </w:rPr>
        <w:t>。不过，</w:t>
      </w:r>
      <w:r>
        <w:rPr>
          <w:rFonts w:ascii="Times New Roman" w:eastAsia="宋体" w:hAnsi="Times New Roman" w:cs="Times New Roman"/>
          <w:kern w:val="0"/>
          <w:sz w:val="24"/>
        </w:rPr>
        <w:t>58.28%</w:t>
      </w:r>
      <w:r>
        <w:rPr>
          <w:rFonts w:ascii="Times New Roman" w:eastAsia="宋体" w:hAnsi="Times New Roman" w:cs="Times New Roman"/>
          <w:kern w:val="0"/>
          <w:sz w:val="24"/>
        </w:rPr>
        <w:t>的教师倾向于先在部分课时、小范围尝试，也有</w:t>
      </w:r>
      <w:r>
        <w:rPr>
          <w:rFonts w:ascii="Times New Roman" w:eastAsia="宋体" w:hAnsi="Times New Roman" w:cs="Times New Roman"/>
          <w:kern w:val="0"/>
          <w:sz w:val="24"/>
        </w:rPr>
        <w:t>58.28%</w:t>
      </w:r>
      <w:r>
        <w:rPr>
          <w:rFonts w:ascii="Times New Roman" w:eastAsia="宋体" w:hAnsi="Times New Roman" w:cs="Times New Roman"/>
          <w:kern w:val="0"/>
          <w:sz w:val="24"/>
        </w:rPr>
        <w:t>认为推进需结合现实条件。学校宜通过连续课例实践积累证据，再逐步完善实施方案。</w:t>
      </w:r>
    </w:p>
    <w:p w14:paraId="6851D6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）教师背景与培育判断的差异检验</w:t>
      </w:r>
    </w:p>
    <w:p w14:paraId="269BAF6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教龄、职称和任教学段与教师对培育可行性、价值的判断，在原报告所列</w:t>
      </w:r>
      <w:r>
        <w:rPr>
          <w:rFonts w:ascii="Times New Roman" w:eastAsia="宋体" w:hAnsi="Times New Roman" w:cs="Times New Roman"/>
          <w:kern w:val="0"/>
          <w:sz w:val="24"/>
        </w:rPr>
        <w:t>Pearson</w:t>
      </w:r>
      <w:r>
        <w:rPr>
          <w:rFonts w:ascii="Times New Roman" w:eastAsia="宋体" w:hAnsi="Times New Roman" w:cs="Times New Roman"/>
          <w:kern w:val="0"/>
          <w:sz w:val="24"/>
        </w:rPr>
        <w:t>卡方检验中均未达到显著水平。培训经历的交叉表存在低频选项，</w:t>
      </w:r>
      <w:r>
        <w:rPr>
          <w:rFonts w:ascii="Times New Roman" w:eastAsia="宋体" w:hAnsi="Times New Roman" w:cs="Times New Roman"/>
          <w:kern w:val="0"/>
          <w:sz w:val="24"/>
        </w:rPr>
        <w:t>Pearson</w:t>
      </w:r>
      <w:r>
        <w:rPr>
          <w:rFonts w:ascii="Times New Roman" w:eastAsia="宋体" w:hAnsi="Times New Roman" w:cs="Times New Roman"/>
          <w:kern w:val="0"/>
          <w:sz w:val="24"/>
        </w:rPr>
        <w:t>卡方的渐近近似需审慎解释，可行性判断有多个单元格期望频数低于</w:t>
      </w:r>
      <w:r>
        <w:rPr>
          <w:rFonts w:ascii="Times New Roman" w:eastAsia="宋体" w:hAnsi="Times New Roman" w:cs="Times New Roman"/>
          <w:kern w:val="0"/>
          <w:sz w:val="24"/>
        </w:rPr>
        <w:t>5</w:t>
      </w:r>
      <w:r>
        <w:rPr>
          <w:rFonts w:ascii="Times New Roman" w:eastAsia="宋体" w:hAnsi="Times New Roman" w:cs="Times New Roman"/>
          <w:kern w:val="0"/>
          <w:sz w:val="24"/>
        </w:rPr>
        <w:t>；价值判断中价值一般仅</w:t>
      </w:r>
      <w:r>
        <w:rPr>
          <w:rFonts w:ascii="Times New Roman" w:eastAsia="宋体" w:hAnsi="Times New Roman" w:cs="Times New Roman"/>
          <w:kern w:val="0"/>
          <w:sz w:val="24"/>
        </w:rPr>
        <w:t>1</w:t>
      </w:r>
      <w:r>
        <w:rPr>
          <w:rFonts w:ascii="Times New Roman" w:eastAsia="宋体" w:hAnsi="Times New Roman" w:cs="Times New Roman"/>
          <w:kern w:val="0"/>
          <w:sz w:val="24"/>
        </w:rPr>
        <w:t>人。为减少稀疏频数对近似检验的影响，课题组依据完整选项频数补做固定边际精确检验，结果见表</w:t>
      </w:r>
      <w:r>
        <w:rPr>
          <w:rFonts w:ascii="Times New Roman" w:eastAsia="宋体" w:hAnsi="Times New Roman" w:cs="Times New Roman"/>
          <w:kern w:val="0"/>
          <w:sz w:val="24"/>
        </w:rPr>
        <w:t>3-29</w:t>
      </w:r>
      <w:r>
        <w:rPr>
          <w:rFonts w:ascii="Times New Roman" w:eastAsia="宋体" w:hAnsi="Times New Roman" w:cs="Times New Roman"/>
          <w:kern w:val="0"/>
          <w:sz w:val="24"/>
        </w:rPr>
        <w:t>。</w:t>
      </w:r>
    </w:p>
    <w:p w14:paraId="3DA49E7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3-29  </w:t>
      </w:r>
      <w:r>
        <w:rPr>
          <w:rFonts w:ascii="Times New Roman" w:eastAsia="黑体" w:hAnsi="Times New Roman" w:cs="Times New Roman"/>
          <w:kern w:val="0"/>
        </w:rPr>
        <w:t>培训经历与教师培育判断的分组检验结果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84"/>
        <w:gridCol w:w="2217"/>
        <w:gridCol w:w="1093"/>
        <w:gridCol w:w="1631"/>
        <w:gridCol w:w="1894"/>
      </w:tblGrid>
      <w:tr w:rsidR="000B1CCE" w14:paraId="044CEB45"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5F2C57"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34F6E6"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Pearsonχ²</w:t>
            </w:r>
            <w:r>
              <w:rPr>
                <w:rFonts w:ascii="Times New Roman" w:eastAsia="宋体" w:hAnsi="Times New Roman" w:cs="Times New Roman"/>
                <w:b/>
              </w:rPr>
              <w:t>（</w:t>
            </w:r>
            <w:proofErr w:type="spellStart"/>
            <w:r>
              <w:rPr>
                <w:rFonts w:ascii="Times New Roman" w:eastAsia="宋体" w:hAnsi="Times New Roman" w:cs="Times New Roman"/>
                <w:b/>
              </w:rPr>
              <w:t>df</w:t>
            </w:r>
            <w:proofErr w:type="spellEnd"/>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7F0A19B"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渐近</w:t>
            </w:r>
            <w:r>
              <w:rPr>
                <w:rFonts w:ascii="Times New Roman" w:eastAsia="宋体" w:hAnsi="Times New Roman" w:cs="Times New Roman"/>
                <w:b/>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5749F29"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精确检验</w:t>
            </w:r>
            <w:r>
              <w:rPr>
                <w:rFonts w:ascii="Times New Roman" w:eastAsia="宋体" w:hAnsi="Times New Roman" w:cs="Times New Roman"/>
                <w:b/>
              </w:rPr>
              <w:t>p</w:t>
            </w:r>
          </w:p>
        </w:tc>
        <w:tc>
          <w:tcPr>
            <w:tcW w:w="1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0AB84B"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52E3F9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EA5743"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培育可行性</w:t>
            </w:r>
          </w:p>
        </w:tc>
        <w:tc>
          <w:tcPr>
            <w:tcW w:w="0" w:type="auto"/>
            <w:tcBorders>
              <w:top w:val="nil"/>
              <w:left w:val="nil"/>
              <w:bottom w:val="nil"/>
              <w:right w:val="nil"/>
            </w:tcBorders>
            <w:tcMar>
              <w:top w:w="-1" w:type="dxa"/>
              <w:left w:w="-1" w:type="dxa"/>
              <w:bottom w:w="-1" w:type="dxa"/>
              <w:right w:w="-1" w:type="dxa"/>
            </w:tcMar>
            <w:vAlign w:val="center"/>
          </w:tcPr>
          <w:p w14:paraId="5A226AB9"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5.458</w:t>
            </w: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75651CB0"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0.141</w:t>
            </w:r>
          </w:p>
        </w:tc>
        <w:tc>
          <w:tcPr>
            <w:tcW w:w="0" w:type="auto"/>
            <w:tcBorders>
              <w:top w:val="nil"/>
              <w:left w:val="nil"/>
              <w:bottom w:val="nil"/>
              <w:right w:val="nil"/>
            </w:tcBorders>
            <w:tcMar>
              <w:top w:w="-1" w:type="dxa"/>
              <w:left w:w="-1" w:type="dxa"/>
              <w:bottom w:w="-1" w:type="dxa"/>
              <w:right w:w="-1" w:type="dxa"/>
            </w:tcMar>
            <w:vAlign w:val="center"/>
          </w:tcPr>
          <w:p w14:paraId="430A71D7"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0.132</w:t>
            </w:r>
          </w:p>
        </w:tc>
        <w:tc>
          <w:tcPr>
            <w:tcW w:w="1894" w:type="dxa"/>
            <w:tcBorders>
              <w:top w:val="nil"/>
              <w:left w:val="nil"/>
              <w:bottom w:val="nil"/>
              <w:right w:val="nil"/>
            </w:tcBorders>
            <w:tcMar>
              <w:top w:w="-1" w:type="dxa"/>
              <w:left w:w="-1" w:type="dxa"/>
              <w:bottom w:w="-1" w:type="dxa"/>
              <w:right w:w="-1" w:type="dxa"/>
            </w:tcMar>
            <w:vAlign w:val="center"/>
          </w:tcPr>
          <w:p w14:paraId="02BE2026"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0.792</w:t>
            </w:r>
          </w:p>
        </w:tc>
      </w:tr>
      <w:tr w:rsidR="000B1CCE" w14:paraId="1DF27A50"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0EE82123"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7A4C0092"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5.284</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0BEDE78"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45697DFB"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7B12DE98"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0.368</w:t>
            </w:r>
          </w:p>
        </w:tc>
      </w:tr>
    </w:tbl>
    <w:p w14:paraId="7A4B03B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sz w:val="24"/>
        </w:rPr>
        <w:t>培训经历与两项判断采用固定边际的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w:t>
      </w:r>
      <w:r>
        <w:rPr>
          <w:rFonts w:ascii="Times New Roman" w:eastAsia="宋体" w:hAnsi="Times New Roman" w:cs="Times New Roman"/>
          <w:sz w:val="24"/>
        </w:rPr>
        <w:t xml:space="preserve">Holm </w:t>
      </w:r>
      <w:r>
        <w:rPr>
          <w:rFonts w:ascii="Times New Roman" w:eastAsia="宋体" w:hAnsi="Times New Roman" w:cs="Times New Roman"/>
          <w:sz w:val="24"/>
        </w:rPr>
        <w:t>校正按</w:t>
      </w:r>
      <w:r>
        <w:rPr>
          <w:rFonts w:ascii="Times New Roman" w:eastAsia="宋体" w:hAnsi="Times New Roman" w:cs="Times New Roman"/>
          <w:sz w:val="24"/>
        </w:rPr>
        <w:t>4</w:t>
      </w:r>
      <w:r>
        <w:rPr>
          <w:rFonts w:ascii="Times New Roman" w:eastAsia="宋体" w:hAnsi="Times New Roman" w:cs="Times New Roman"/>
          <w:sz w:val="24"/>
        </w:rPr>
        <w:t>类背景变量与</w:t>
      </w:r>
      <w:r>
        <w:rPr>
          <w:rFonts w:ascii="Times New Roman" w:eastAsia="宋体" w:hAnsi="Times New Roman" w:cs="Times New Roman"/>
          <w:sz w:val="24"/>
        </w:rPr>
        <w:t>2</w:t>
      </w:r>
      <w:r>
        <w:rPr>
          <w:rFonts w:ascii="Times New Roman" w:eastAsia="宋体" w:hAnsi="Times New Roman" w:cs="Times New Roman"/>
          <w:sz w:val="24"/>
        </w:rPr>
        <w:t>项判断共</w:t>
      </w:r>
      <w:r>
        <w:rPr>
          <w:rFonts w:ascii="Times New Roman" w:eastAsia="宋体" w:hAnsi="Times New Roman" w:cs="Times New Roman"/>
          <w:sz w:val="24"/>
        </w:rPr>
        <w:t>8</w:t>
      </w:r>
      <w:r>
        <w:rPr>
          <w:rFonts w:ascii="Times New Roman" w:eastAsia="宋体" w:hAnsi="Times New Roman" w:cs="Times New Roman"/>
          <w:sz w:val="24"/>
        </w:rPr>
        <w:t>项比较计算，表中高端选项比例为描述性统计。</w:t>
      </w:r>
    </w:p>
    <w:p w14:paraId="2ADB37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因部分选项的理论频数较小，本研究采用固定边际的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精确检验，比较不同培训经历教师在培育可行性和培育价值各选项上的整体分布。未经校正时，价值判断差异达到名义显著水平（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0.046</w:t>
      </w:r>
      <w:r>
        <w:rPr>
          <w:rFonts w:ascii="Times New Roman" w:eastAsia="宋体" w:hAnsi="Times New Roman" w:cs="Times New Roman"/>
          <w:sz w:val="24"/>
        </w:rPr>
        <w:t>），可行性判断差异未达显著水平（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0.132</w:t>
      </w:r>
      <w:r>
        <w:rPr>
          <w:rFonts w:ascii="Times New Roman" w:eastAsia="宋体" w:hAnsi="Times New Roman" w:cs="Times New Roman"/>
          <w:sz w:val="24"/>
        </w:rPr>
        <w:t>）；经</w:t>
      </w:r>
      <w:r>
        <w:rPr>
          <w:rFonts w:ascii="Times New Roman" w:eastAsia="宋体" w:hAnsi="Times New Roman" w:cs="Times New Roman"/>
          <w:sz w:val="24"/>
        </w:rPr>
        <w:t>8</w:t>
      </w:r>
      <w:r>
        <w:rPr>
          <w:rFonts w:ascii="Times New Roman" w:eastAsia="宋体" w:hAnsi="Times New Roman" w:cs="Times New Roman"/>
          <w:sz w:val="24"/>
        </w:rPr>
        <w:t>项比较的</w:t>
      </w:r>
      <w:r>
        <w:rPr>
          <w:rFonts w:ascii="Times New Roman" w:eastAsia="宋体" w:hAnsi="Times New Roman" w:cs="Times New Roman"/>
          <w:sz w:val="24"/>
        </w:rPr>
        <w:t xml:space="preserve"> Holm </w:t>
      </w:r>
      <w:r>
        <w:rPr>
          <w:rFonts w:ascii="Times New Roman" w:eastAsia="宋体" w:hAnsi="Times New Roman" w:cs="Times New Roman"/>
          <w:sz w:val="24"/>
        </w:rPr>
        <w:t>校正后，两项结果均未达到显著水平（校正后</w:t>
      </w:r>
      <w:r>
        <w:rPr>
          <w:rFonts w:ascii="Times New Roman" w:eastAsia="宋体" w:hAnsi="Times New Roman" w:cs="Times New Roman"/>
          <w:sz w:val="24"/>
        </w:rPr>
        <w:t xml:space="preserve"> p </w:t>
      </w:r>
      <w:r>
        <w:rPr>
          <w:rFonts w:ascii="Times New Roman" w:eastAsia="宋体" w:hAnsi="Times New Roman" w:cs="Times New Roman"/>
          <w:sz w:val="24"/>
        </w:rPr>
        <w:t>分别为</w:t>
      </w:r>
      <w:r>
        <w:rPr>
          <w:rFonts w:ascii="Times New Roman" w:eastAsia="宋体" w:hAnsi="Times New Roman" w:cs="Times New Roman"/>
          <w:sz w:val="24"/>
        </w:rPr>
        <w:t>0.368</w:t>
      </w:r>
      <w:r>
        <w:rPr>
          <w:rFonts w:ascii="Times New Roman" w:eastAsia="宋体" w:hAnsi="Times New Roman" w:cs="Times New Roman"/>
          <w:sz w:val="24"/>
        </w:rPr>
        <w:t>和</w:t>
      </w:r>
      <w:r>
        <w:rPr>
          <w:rFonts w:ascii="Times New Roman" w:eastAsia="宋体" w:hAnsi="Times New Roman" w:cs="Times New Roman"/>
          <w:sz w:val="24"/>
        </w:rPr>
        <w:t>0.792</w:t>
      </w:r>
      <w:r>
        <w:rPr>
          <w:rFonts w:ascii="Times New Roman" w:eastAsia="宋体" w:hAnsi="Times New Roman" w:cs="Times New Roman"/>
          <w:sz w:val="24"/>
        </w:rPr>
        <w:t>）。参加过培训教师选择可行性较高和价值很大的比例分别为</w:t>
      </w:r>
      <w:r>
        <w:rPr>
          <w:rFonts w:ascii="Times New Roman" w:eastAsia="宋体" w:hAnsi="Times New Roman" w:cs="Times New Roman"/>
          <w:sz w:val="24"/>
        </w:rPr>
        <w:t>40.77%</w:t>
      </w:r>
      <w:r>
        <w:rPr>
          <w:rFonts w:ascii="Times New Roman" w:eastAsia="宋体" w:hAnsi="Times New Roman" w:cs="Times New Roman"/>
          <w:sz w:val="24"/>
        </w:rPr>
        <w:t>和</w:t>
      </w:r>
      <w:r>
        <w:rPr>
          <w:rFonts w:ascii="Times New Roman" w:eastAsia="宋体" w:hAnsi="Times New Roman" w:cs="Times New Roman"/>
          <w:sz w:val="24"/>
        </w:rPr>
        <w:t>45.38%</w:t>
      </w:r>
      <w:r>
        <w:rPr>
          <w:rFonts w:ascii="Times New Roman" w:eastAsia="宋体" w:hAnsi="Times New Roman" w:cs="Times New Roman"/>
          <w:sz w:val="24"/>
        </w:rPr>
        <w:t>，未参加者分别为</w:t>
      </w:r>
      <w:r>
        <w:rPr>
          <w:rFonts w:ascii="Times New Roman" w:eastAsia="宋体" w:hAnsi="Times New Roman" w:cs="Times New Roman"/>
          <w:sz w:val="24"/>
        </w:rPr>
        <w:t>21.21%</w:t>
      </w:r>
      <w:r>
        <w:rPr>
          <w:rFonts w:ascii="Times New Roman" w:eastAsia="宋体" w:hAnsi="Times New Roman" w:cs="Times New Roman"/>
          <w:sz w:val="24"/>
        </w:rPr>
        <w:t>和</w:t>
      </w:r>
      <w:r>
        <w:rPr>
          <w:rFonts w:ascii="Times New Roman" w:eastAsia="宋体" w:hAnsi="Times New Roman" w:cs="Times New Roman"/>
          <w:sz w:val="24"/>
        </w:rPr>
        <w:t>24.24%</w:t>
      </w:r>
      <w:r>
        <w:rPr>
          <w:rFonts w:ascii="Times New Roman" w:eastAsia="宋体" w:hAnsi="Times New Roman" w:cs="Times New Roman"/>
          <w:sz w:val="24"/>
        </w:rPr>
        <w:t>。上述比例为描述性结果。</w:t>
      </w:r>
    </w:p>
    <w:p w14:paraId="36F60B7A" w14:textId="77777777" w:rsidR="000B1CCE" w:rsidRDefault="00000000">
      <w:pPr>
        <w:keepNext/>
        <w:spacing w:before="120"/>
        <w:jc w:val="center"/>
      </w:pPr>
      <w:r>
        <w:rPr>
          <w:noProof/>
        </w:rPr>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4"/>
                    <a:stretch>
                      <a:fillRect/>
                    </a:stretch>
                  </pic:blipFill>
                  <pic:spPr>
                    <a:xfrm>
                      <a:off x="0" y="0"/>
                      <a:ext cx="4890135" cy="2482850"/>
                    </a:xfrm>
                    <a:prstGeom prst="rect">
                      <a:avLst/>
                    </a:prstGeom>
                  </pic:spPr>
                </pic:pic>
              </a:graphicData>
            </a:graphic>
          </wp:inline>
        </w:drawing>
      </w:r>
    </w:p>
    <w:p w14:paraId="18231B8B" w14:textId="77777777" w:rsidR="000B1CCE" w:rsidRDefault="00000000">
      <w:pPr>
        <w:spacing w:before="60" w:after="180"/>
        <w:jc w:val="center"/>
      </w:pPr>
      <w:r>
        <w:rPr>
          <w:rFonts w:ascii="Times New Roman" w:eastAsia="黑体" w:hAnsi="Times New Roman" w:cs="Times New Roman"/>
          <w:color w:val="3C464C"/>
        </w:rPr>
        <w:t>图</w:t>
      </w:r>
      <w:r>
        <w:rPr>
          <w:rFonts w:ascii="Times New Roman" w:eastAsia="黑体" w:hAnsi="Times New Roman" w:cs="Times New Roman"/>
          <w:color w:val="3C464C"/>
        </w:rPr>
        <w:t xml:space="preserve">3-7  </w:t>
      </w:r>
      <w:r>
        <w:rPr>
          <w:rFonts w:ascii="Times New Roman" w:eastAsia="黑体" w:hAnsi="Times New Roman" w:cs="Times New Roman"/>
          <w:color w:val="3C464C"/>
        </w:rPr>
        <w:t>不同培训经历教师选择高端判断选项的比例</w:t>
      </w:r>
    </w:p>
    <w:p w14:paraId="15E45D4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）教师前测诊断与实践重点</w:t>
      </w:r>
    </w:p>
    <w:p w14:paraId="74DAD54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3-30  </w:t>
      </w:r>
      <w:r>
        <w:rPr>
          <w:rFonts w:ascii="Times New Roman" w:eastAsia="黑体" w:hAnsi="Times New Roman" w:cs="Times New Roman"/>
          <w:kern w:val="0"/>
        </w:rPr>
        <w:t>教师前测证据与课题实践重点</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800"/>
        <w:gridCol w:w="3004"/>
        <w:gridCol w:w="2715"/>
      </w:tblGrid>
      <w:tr w:rsidR="000B1CCE" w14:paraId="57B1B38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346A3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前测发现</w:t>
            </w:r>
          </w:p>
        </w:tc>
        <w:tc>
          <w:tcPr>
            <w:tcW w:w="30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DAC79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主要统计依据</w:t>
            </w:r>
          </w:p>
        </w:tc>
        <w:tc>
          <w:tcPr>
            <w:tcW w:w="27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2709D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后续研究重点</w:t>
            </w:r>
          </w:p>
        </w:tc>
      </w:tr>
      <w:tr w:rsidR="000B1CCE" w14:paraId="19E77C5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4233B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价值认同较高，概念理解仍需深化</w:t>
            </w:r>
          </w:p>
        </w:tc>
        <w:tc>
          <w:tcPr>
            <w:tcW w:w="3004" w:type="dxa"/>
            <w:tcBorders>
              <w:top w:val="nil"/>
              <w:left w:val="nil"/>
              <w:bottom w:val="nil"/>
              <w:right w:val="nil"/>
            </w:tcBorders>
            <w:tcMar>
              <w:top w:w="-1" w:type="dxa"/>
              <w:left w:w="-1" w:type="dxa"/>
              <w:bottom w:w="-1" w:type="dxa"/>
              <w:right w:w="-1" w:type="dxa"/>
            </w:tcMar>
            <w:vAlign w:val="center"/>
          </w:tcPr>
          <w:p w14:paraId="21C7BBBE"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长远发展认同</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4.405</w:t>
            </w:r>
            <w:r>
              <w:rPr>
                <w:rFonts w:ascii="Times New Roman" w:eastAsia="宋体" w:hAnsi="Times New Roman" w:cs="Times New Roman"/>
              </w:rPr>
              <w:t>；区分高低阶学习</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4.276</w:t>
            </w:r>
          </w:p>
        </w:tc>
        <w:tc>
          <w:tcPr>
            <w:tcW w:w="2715" w:type="dxa"/>
            <w:tcBorders>
              <w:top w:val="nil"/>
              <w:left w:val="nil"/>
              <w:bottom w:val="nil"/>
              <w:right w:val="nil"/>
            </w:tcBorders>
            <w:tcMar>
              <w:top w:w="-1" w:type="dxa"/>
              <w:left w:w="-1" w:type="dxa"/>
              <w:bottom w:w="-1" w:type="dxa"/>
              <w:right w:w="-1" w:type="dxa"/>
            </w:tcMar>
            <w:vAlign w:val="center"/>
          </w:tcPr>
          <w:p w14:paraId="067A38F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以学科任务呈现高阶能力目标及其学习表现</w:t>
            </w:r>
          </w:p>
        </w:tc>
      </w:tr>
      <w:tr w:rsidR="000B1CCE" w14:paraId="5E9620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09A336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B2E4CA"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开放性问题积极自评</w:t>
            </w:r>
            <w:r>
              <w:rPr>
                <w:rFonts w:ascii="Times New Roman" w:eastAsia="宋体" w:hAnsi="Times New Roman" w:cs="Times New Roman"/>
              </w:rPr>
              <w:t>95.71%</w:t>
            </w:r>
            <w:r>
              <w:rPr>
                <w:rFonts w:ascii="Times New Roman" w:eastAsia="宋体" w:hAnsi="Times New Roman" w:cs="Times New Roman"/>
              </w:rPr>
              <w:t>；思考时间</w:t>
            </w:r>
            <w:r>
              <w:rPr>
                <w:rFonts w:ascii="Times New Roman" w:eastAsia="宋体" w:hAnsi="Times New Roman" w:cs="Times New Roman"/>
              </w:rPr>
              <w:t>87.73%</w:t>
            </w:r>
          </w:p>
        </w:tc>
        <w:tc>
          <w:tcPr>
            <w:tcW w:w="2715" w:type="dxa"/>
            <w:tcBorders>
              <w:top w:val="nil"/>
              <w:left w:val="nil"/>
              <w:bottom w:val="nil"/>
              <w:right w:val="nil"/>
            </w:tcBorders>
            <w:tcMar>
              <w:top w:w="-1" w:type="dxa"/>
              <w:left w:w="-1" w:type="dxa"/>
              <w:bottom w:w="-1" w:type="dxa"/>
              <w:right w:w="-1" w:type="dxa"/>
            </w:tcMar>
            <w:vAlign w:val="center"/>
          </w:tcPr>
          <w:p w14:paraId="67FFE2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在任务流程中保障独立思考、交流和修订时间</w:t>
            </w:r>
          </w:p>
        </w:tc>
      </w:tr>
      <w:tr w:rsidR="000B1CCE" w14:paraId="32FEA9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72B47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0B8165B0"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观察识别</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4.160</w:t>
            </w:r>
            <w:r>
              <w:rPr>
                <w:rFonts w:ascii="Times New Roman" w:eastAsia="宋体" w:hAnsi="Times New Roman" w:cs="Times New Roman"/>
              </w:rPr>
              <w:t>；任务设计</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4.049</w:t>
            </w:r>
          </w:p>
        </w:tc>
        <w:tc>
          <w:tcPr>
            <w:tcW w:w="2715" w:type="dxa"/>
            <w:tcBorders>
              <w:top w:val="nil"/>
              <w:left w:val="nil"/>
              <w:bottom w:val="nil"/>
              <w:right w:val="nil"/>
            </w:tcBorders>
            <w:tcMar>
              <w:top w:w="-1" w:type="dxa"/>
              <w:left w:w="-1" w:type="dxa"/>
              <w:bottom w:w="-1" w:type="dxa"/>
              <w:right w:w="-1" w:type="dxa"/>
            </w:tcMar>
            <w:vAlign w:val="center"/>
          </w:tcPr>
          <w:p w14:paraId="7E26D6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加强目标转化、任务设计与证据反馈的课例研修</w:t>
            </w:r>
          </w:p>
        </w:tc>
      </w:tr>
      <w:tr w:rsidR="000B1CCE" w14:paraId="351AEFC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A6B5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lastRenderedPageBreak/>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0C9A4269"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差异困难认同</w:t>
            </w:r>
            <w:r>
              <w:rPr>
                <w:rFonts w:ascii="Times New Roman" w:eastAsia="宋体" w:hAnsi="Times New Roman" w:cs="Times New Roman"/>
              </w:rPr>
              <w:t>81.60%</w:t>
            </w:r>
            <w:r>
              <w:rPr>
                <w:rFonts w:ascii="Times New Roman" w:eastAsia="宋体" w:hAnsi="Times New Roman" w:cs="Times New Roman"/>
              </w:rPr>
              <w:t>；课时负担</w:t>
            </w:r>
            <w:r>
              <w:rPr>
                <w:rFonts w:ascii="Times New Roman" w:eastAsia="宋体" w:hAnsi="Times New Roman" w:cs="Times New Roman"/>
              </w:rPr>
              <w:t>70.55%</w:t>
            </w:r>
          </w:p>
        </w:tc>
        <w:tc>
          <w:tcPr>
            <w:tcW w:w="2715" w:type="dxa"/>
            <w:tcBorders>
              <w:top w:val="nil"/>
              <w:left w:val="nil"/>
              <w:bottom w:val="nil"/>
              <w:right w:val="nil"/>
            </w:tcBorders>
            <w:tcMar>
              <w:top w:w="-1" w:type="dxa"/>
              <w:left w:w="-1" w:type="dxa"/>
              <w:bottom w:w="-1" w:type="dxa"/>
              <w:right w:w="-1" w:type="dxa"/>
            </w:tcMar>
            <w:vAlign w:val="center"/>
          </w:tcPr>
          <w:p w14:paraId="14F2790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设计分层入口、阶段任务并统筹资源与时间</w:t>
            </w:r>
          </w:p>
        </w:tc>
      </w:tr>
      <w:tr w:rsidR="000B1CCE" w14:paraId="32B457EF"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656E133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4AE30D7A"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培训研讨需求</w:t>
            </w:r>
            <w:r>
              <w:rPr>
                <w:rFonts w:ascii="Times New Roman" w:eastAsia="宋体" w:hAnsi="Times New Roman" w:cs="Times New Roman"/>
              </w:rPr>
              <w:t>73.62%</w:t>
            </w:r>
            <w:r>
              <w:rPr>
                <w:rFonts w:ascii="Times New Roman" w:eastAsia="宋体" w:hAnsi="Times New Roman" w:cs="Times New Roman"/>
              </w:rPr>
              <w:t>；课例需求</w:t>
            </w:r>
            <w:r>
              <w:rPr>
                <w:rFonts w:ascii="Times New Roman" w:eastAsia="宋体" w:hAnsi="Times New Roman" w:cs="Times New Roman"/>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388D08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围绕真实课堂持续开展共同备课、观察与改进</w:t>
            </w:r>
          </w:p>
        </w:tc>
      </w:tr>
    </w:tbl>
    <w:p w14:paraId="4B9E289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0D880E9D"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（三）前测综合诊断与关键问题</w:t>
      </w:r>
    </w:p>
    <w:p w14:paraId="37A543C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问卷与学生问卷分别从教与学两个侧面呈现了学校高阶能力培育的现实基础。综合两类前测可以发现，学校已具备高阶能力培育意识，学生也有较好基础，真正需要突破的是教师已有的育人意图如何转化为学生真实而持续的高阶学习。</w:t>
      </w:r>
      <w:r>
        <w:rPr>
          <w:rFonts w:ascii="Times New Roman" w:eastAsia="宋体" w:hAnsi="Times New Roman" w:cs="Times New Roman"/>
          <w:b/>
          <w:sz w:val="24"/>
        </w:rPr>
        <w:t>因此，前测的价值在于识别从理念到实践、从参与到能力生成之间的关键断点。</w:t>
      </w:r>
    </w:p>
    <w:p w14:paraId="5A25D93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教与学两端的前测诊断</w:t>
      </w:r>
    </w:p>
    <w:p w14:paraId="790C29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）教师培育的实践基础与现实困难</w:t>
      </w:r>
    </w:p>
    <w:p w14:paraId="6299E3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教师前测表明，教师已经形成较高的高阶能力培育认同，并具有一定实践基础，但在任务设计、差异支持、提问点拨和课堂实施资源等方面仍存在现实困难，整体呈现出高认同、有实践和缺支架的特征。</w:t>
      </w:r>
    </w:p>
    <w:p w14:paraId="44C0B9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这说明，当前教师发展的关键在于能否把抽象的能力要求转化为具体的学习目标、任务结构、教学支架和评价依据。</w:t>
      </w:r>
      <w:r>
        <w:rPr>
          <w:rFonts w:ascii="Times New Roman" w:eastAsia="宋体" w:hAnsi="Times New Roman" w:cs="Times New Roman"/>
          <w:b/>
          <w:sz w:val="24"/>
        </w:rPr>
        <w:t>换言之，高阶能力培育的瓶颈正在由理念认同不足转向专业转化不足。</w:t>
      </w:r>
    </w:p>
    <w:p w14:paraId="30A9443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）学生高阶能力发展的总体特征</w:t>
      </w:r>
    </w:p>
    <w:p w14:paraId="68A9BA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提升空间。</w:t>
      </w:r>
    </w:p>
    <w:p w14:paraId="526F60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这表明，学生已经具备进入高阶学习的基础，但尚需由完成任务、参与活动</w:t>
      </w:r>
      <w:r>
        <w:rPr>
          <w:rFonts w:ascii="Times New Roman" w:eastAsia="宋体" w:hAnsi="Times New Roman" w:cs="Times New Roman"/>
          <w:sz w:val="24"/>
        </w:rPr>
        <w:lastRenderedPageBreak/>
        <w:t>进一步走向深度分析、证据判断、方案生成、持续反思和迁移创新。</w:t>
      </w:r>
      <w:r>
        <w:rPr>
          <w:rFonts w:ascii="Times New Roman" w:eastAsia="宋体" w:hAnsi="Times New Roman" w:cs="Times New Roman"/>
          <w:b/>
          <w:sz w:val="24"/>
        </w:rPr>
        <w:t>因此，高阶能力培养的重点在于提升学习过程的深度与质量。</w:t>
      </w:r>
    </w:p>
    <w:p w14:paraId="15CB552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）教师端与学生端结果的对应</w:t>
      </w:r>
    </w:p>
    <w:p w14:paraId="348FA3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058C8E8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下一阶段研究不能只关注教师做了什么，也不能只关注学生得分怎样，而应进一步研究二者之间的作用机制，即什么样的目标、任务、学习活动和教学支持，能够真正促进学生高阶能力发生。这一教与学转化问题，构成了后续模式建构的直接现实依据。</w:t>
      </w:r>
    </w:p>
    <w:p w14:paraId="7C447F5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高阶能力培育需要突破的主要问题</w:t>
      </w:r>
    </w:p>
    <w:p w14:paraId="6AD65C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综合两类前测结果，后续研究需要重点突破以下四个方面。</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259"/>
        <w:gridCol w:w="2872"/>
        <w:gridCol w:w="3388"/>
      </w:tblGrid>
      <w:tr w:rsidR="000B1CCE" w14:paraId="7F8501AE" w14:textId="77777777">
        <w:trPr>
          <w:tblHeader/>
          <w:jc w:val="center"/>
        </w:trPr>
        <w:tc>
          <w:tcPr>
            <w:tcW w:w="225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B73FEB"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现实问题</w:t>
            </w:r>
          </w:p>
        </w:tc>
        <w:tc>
          <w:tcPr>
            <w:tcW w:w="28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1BFC27"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核心矛盾</w:t>
            </w:r>
          </w:p>
        </w:tc>
        <w:tc>
          <w:tcPr>
            <w:tcW w:w="338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A53F95"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模式建构要求</w:t>
            </w:r>
          </w:p>
        </w:tc>
      </w:tr>
      <w:tr w:rsidR="000B1CCE" w14:paraId="589F51E4"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C9E6626"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高阶能力要求较为抽象</w:t>
            </w:r>
          </w:p>
        </w:tc>
        <w:tc>
          <w:tcPr>
            <w:tcW w:w="2872" w:type="dxa"/>
            <w:tcBorders>
              <w:top w:val="nil"/>
              <w:left w:val="nil"/>
              <w:bottom w:val="nil"/>
              <w:right w:val="nil"/>
            </w:tcBorders>
            <w:tcMar>
              <w:top w:w="-1" w:type="dxa"/>
              <w:left w:w="-1" w:type="dxa"/>
              <w:bottom w:w="-1" w:type="dxa"/>
              <w:right w:w="-1" w:type="dxa"/>
            </w:tcMar>
            <w:vAlign w:val="center"/>
          </w:tcPr>
          <w:p w14:paraId="53C195E5" w14:textId="77777777" w:rsidR="000B1CCE" w:rsidRDefault="00000000">
            <w:pPr>
              <w:snapToGrid w:val="0"/>
              <w:spacing w:before="20" w:after="20"/>
              <w:jc w:val="center"/>
              <w:rPr>
                <w:rFonts w:ascii="宋体" w:eastAsia="宋体"/>
              </w:rPr>
            </w:pPr>
            <w:r>
              <w:rPr>
                <w:rFonts w:ascii="Times New Roman" w:eastAsia="宋体" w:hAnsi="Times New Roman" w:cs="Times New Roman"/>
              </w:rPr>
              <w:t>育人目标与课堂学习之间存在距离</w:t>
            </w:r>
          </w:p>
        </w:tc>
        <w:tc>
          <w:tcPr>
            <w:tcW w:w="3388" w:type="dxa"/>
            <w:tcBorders>
              <w:top w:val="nil"/>
              <w:left w:val="nil"/>
              <w:bottom w:val="nil"/>
              <w:right w:val="nil"/>
            </w:tcBorders>
            <w:tcMar>
              <w:top w:w="-1" w:type="dxa"/>
              <w:left w:w="-1" w:type="dxa"/>
              <w:bottom w:w="-1" w:type="dxa"/>
              <w:right w:w="-1" w:type="dxa"/>
            </w:tcMar>
            <w:vAlign w:val="center"/>
          </w:tcPr>
          <w:p w14:paraId="44A06714" w14:textId="77777777" w:rsidR="000B1CCE" w:rsidRDefault="00000000">
            <w:pPr>
              <w:snapToGrid w:val="0"/>
              <w:spacing w:before="20" w:after="20"/>
              <w:jc w:val="center"/>
              <w:rPr>
                <w:rFonts w:ascii="宋体" w:eastAsia="宋体"/>
              </w:rPr>
            </w:pPr>
            <w:r>
              <w:rPr>
                <w:rFonts w:ascii="Times New Roman" w:eastAsia="宋体" w:hAnsi="Times New Roman" w:cs="Times New Roman"/>
              </w:rPr>
              <w:t>推动能力目标具体化、表现化</w:t>
            </w:r>
          </w:p>
        </w:tc>
      </w:tr>
      <w:tr w:rsidR="000B1CCE" w14:paraId="6B3F7181"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731579AF"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19EA10F5" w14:textId="77777777" w:rsidR="000B1CCE" w:rsidRDefault="00000000">
            <w:pPr>
              <w:snapToGrid w:val="0"/>
              <w:spacing w:before="20" w:after="20"/>
              <w:jc w:val="center"/>
              <w:rPr>
                <w:rFonts w:ascii="宋体" w:eastAsia="宋体"/>
              </w:rPr>
            </w:pPr>
            <w:r>
              <w:rPr>
                <w:rFonts w:ascii="Times New Roman" w:eastAsia="宋体" w:hAnsi="Times New Roman" w:cs="Times New Roman"/>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43994D83" w14:textId="77777777" w:rsidR="000B1CCE" w:rsidRDefault="00000000">
            <w:pPr>
              <w:snapToGrid w:val="0"/>
              <w:spacing w:before="20" w:after="20"/>
              <w:jc w:val="center"/>
              <w:rPr>
                <w:rFonts w:ascii="宋体" w:eastAsia="宋体"/>
              </w:rPr>
            </w:pPr>
            <w:r>
              <w:rPr>
                <w:rFonts w:ascii="Times New Roman" w:eastAsia="宋体" w:hAnsi="Times New Roman" w:cs="Times New Roman"/>
              </w:rPr>
              <w:t>建立有梯度、有支架的任务体系</w:t>
            </w:r>
          </w:p>
        </w:tc>
      </w:tr>
      <w:tr w:rsidR="000B1CCE" w14:paraId="378318E0"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7BF256AC"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1AF40B95" w14:textId="77777777" w:rsidR="000B1CCE" w:rsidRDefault="00000000">
            <w:pPr>
              <w:snapToGrid w:val="0"/>
              <w:spacing w:before="20" w:after="20"/>
              <w:jc w:val="center"/>
              <w:rPr>
                <w:rFonts w:ascii="宋体" w:eastAsia="宋体"/>
              </w:rPr>
            </w:pPr>
            <w:r>
              <w:rPr>
                <w:rFonts w:ascii="Times New Roman" w:eastAsia="宋体" w:hAnsi="Times New Roman" w:cs="Times New Roman"/>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F6D19CA" w14:textId="77777777" w:rsidR="000B1CCE" w:rsidRDefault="00000000">
            <w:pPr>
              <w:snapToGrid w:val="0"/>
              <w:spacing w:before="20" w:after="20"/>
              <w:jc w:val="center"/>
              <w:rPr>
                <w:rFonts w:ascii="宋体" w:eastAsia="宋体"/>
              </w:rPr>
            </w:pPr>
            <w:r>
              <w:rPr>
                <w:rFonts w:ascii="Times New Roman" w:eastAsia="宋体" w:hAnsi="Times New Roman" w:cs="Times New Roman"/>
              </w:rPr>
              <w:t>强化分析、论证、创造、反思等深度学习过程</w:t>
            </w:r>
          </w:p>
        </w:tc>
      </w:tr>
      <w:tr w:rsidR="000B1CCE" w14:paraId="44C1CE8D"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3B5E0F95"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2288A88A" w14:textId="77777777" w:rsidR="000B1CCE" w:rsidRDefault="00000000">
            <w:pPr>
              <w:snapToGrid w:val="0"/>
              <w:spacing w:before="20" w:after="20"/>
              <w:jc w:val="center"/>
              <w:rPr>
                <w:rFonts w:ascii="宋体" w:eastAsia="宋体"/>
              </w:rPr>
            </w:pPr>
            <w:r>
              <w:rPr>
                <w:rFonts w:ascii="Times New Roman" w:eastAsia="宋体" w:hAnsi="Times New Roman" w:cs="Times New Roman"/>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6FB66EB3" w14:textId="77777777" w:rsidR="000B1CCE" w:rsidRDefault="00000000">
            <w:pPr>
              <w:snapToGrid w:val="0"/>
              <w:spacing w:before="20" w:after="20"/>
              <w:jc w:val="center"/>
              <w:rPr>
                <w:rFonts w:ascii="宋体" w:eastAsia="宋体"/>
              </w:rPr>
            </w:pPr>
            <w:r>
              <w:rPr>
                <w:rFonts w:ascii="Times New Roman" w:eastAsia="宋体" w:hAnsi="Times New Roman" w:cs="Times New Roman"/>
              </w:rPr>
              <w:t>加强动态支持与差异化教学</w:t>
            </w:r>
          </w:p>
        </w:tc>
      </w:tr>
    </w:tbl>
    <w:p w14:paraId="5A1DC4E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由此可以看出，后续模式建构的重点是建立一条能够贯通能力目标、学习任务、深度学习、教学支持和能力发展的完整机制。</w:t>
      </w:r>
    </w:p>
    <w:p w14:paraId="431879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综上所述，前测结果表明，学校高阶能力培育已经具备较好的教师认知基础和学生发展基础，当前研究真正需要解决的，是如何让高阶能力从教师认同的育人目标转化为学生真实发生的学习过程。</w:t>
      </w:r>
    </w:p>
    <w:p w14:paraId="1CF780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此，后续研究将重点围绕目标清晰化、任务结构化、学习深度化、支持适切化展开，并进一步回答学生怎样进入高阶学习、教师怎样促进高阶学习、学习怎样实现持续深化与迁移三个核心问题，为中学生高阶能力培育模式的建构提供现实依据。</w:t>
      </w:r>
    </w:p>
    <w:p w14:paraId="5DFC10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2A0122FC"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（四）高阶能力培育模型的建构</w:t>
      </w:r>
    </w:p>
    <w:p w14:paraId="08A7E9F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模型提出的背景与逻辑</w:t>
      </w:r>
    </w:p>
    <w:p w14:paraId="2CC7D9C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）模型提出的背景</w:t>
      </w:r>
    </w:p>
    <w:p w14:paraId="09FAD6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期调查和持续实践使我们逐步明确，高阶能力培育的难点已经在于如何把育人目标真正转化为学生可经历、教师可支持、过程可判断的学习。教师普遍认同高阶能力培养的重要性，课堂中也已具有任务学习、合作探究、开放提问等实践基础，但在能力目标转化、任务设计、差异支持和反馈调节等方面，仍存在由理念走向稳定实施的现实困难。</w:t>
      </w:r>
    </w:p>
    <w:p w14:paraId="76F754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096784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6351E7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模型与教学模型协同运行的基本结构。</w:t>
      </w:r>
    </w:p>
    <w:p w14:paraId="5827454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）模型建构的逻辑</w:t>
      </w:r>
    </w:p>
    <w:p w14:paraId="75991C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是总分关系。</w:t>
      </w:r>
    </w:p>
    <w:p w14:paraId="0DDF33E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总体设计上，模型以七维高阶能力发展为核心，将高阶思维与高阶社会情感作为相互协同的两个方面，以三层六阶和两境四维刻画两类能力的发展进阶；以目标引领、任务驱动、探究展学、反馈迭代和反思迁移的五环组织学生高阶学习过程；以诊断发现、干预、实施和评估组织教师循证调节；以目标可见、思维可见、证据可见、进步可见和能力可见贯穿教与学全过程，并在学科教学和科创教育两个场域中持续实践。</w:t>
      </w:r>
    </w:p>
    <w:p w14:paraId="46D5EE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模型以能力目标、学习发生、教学支持、证据反馈和持续改进为基本线索，形成一套把能力发展、学生学习、教师支持和证据反馈连接起来的学校实践框架。</w:t>
      </w:r>
    </w:p>
    <w:p w14:paraId="183B7F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模型的各个组成部分有明确的理论来源。学习模型中的目标引领对应可见的学习关于学习意图与成功标准的主张，即学生在任务开始前理解要学什么、做到什么程度才算学会；反馈迭代对应反馈三问，反馈研究进一步指出，指向任务完成、学习过程和自我调节的反馈对深入学习的作用各不相同，笼统的表扬作用有限（</w:t>
      </w:r>
      <w:r>
        <w:rPr>
          <w:rFonts w:ascii="Times New Roman" w:eastAsia="宋体" w:hAnsi="Times New Roman" w:cs="Times New Roman"/>
          <w:kern w:val="0"/>
          <w:sz w:val="24"/>
        </w:rPr>
        <w:t>Hattie &amp; Timperley, 2007</w:t>
      </w:r>
      <w:r>
        <w:rPr>
          <w:rFonts w:ascii="Times New Roman" w:eastAsia="宋体" w:hAnsi="Times New Roman" w:cs="Times New Roman"/>
          <w:kern w:val="0"/>
          <w:sz w:val="24"/>
        </w:rPr>
        <w:t>），因此反馈迭代强调过程层面和自我调节层面的反馈。教学模型的诊断发现、干预和评估来自可见的学习关于教师诊断学生起点、实施针对性干预并评估其影响的主张，本研究在干预与评估之间增加实施环节，以突出教师在真实课堂中依据学生即时表现进行动态调节。五见则是对教与学双向可见的具体化。</w:t>
      </w:r>
    </w:p>
    <w:p w14:paraId="3D9121D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能力进阶尺度同样以高阶能力理论为依据。高阶思维是非算法性的、需要在不确定条件下作出判断的加工过程（</w:t>
      </w:r>
      <w:r>
        <w:rPr>
          <w:rFonts w:ascii="Times New Roman" w:eastAsia="宋体" w:hAnsi="Times New Roman" w:cs="Times New Roman"/>
          <w:kern w:val="0"/>
          <w:sz w:val="24"/>
        </w:rPr>
        <w:t>Ünal et al., 2026</w:t>
      </w:r>
      <w:r>
        <w:rPr>
          <w:rFonts w:ascii="Times New Roman" w:eastAsia="宋体" w:hAnsi="Times New Roman" w:cs="Times New Roman"/>
          <w:kern w:val="0"/>
          <w:sz w:val="24"/>
        </w:rPr>
        <w:t>），这决定了学习任务必须具有开放性和一定的认知挑战，否则学生无需调用高阶思维即可完成任务。三层六阶以布卢姆分类修订版的六个认知过程为基础，用于界定学习任务对认知加工的要求；判断学生的实际表现时，课堂观察同时参照</w:t>
      </w:r>
      <w:r>
        <w:rPr>
          <w:rFonts w:ascii="Times New Roman" w:eastAsia="宋体" w:hAnsi="Times New Roman" w:cs="Times New Roman"/>
          <w:kern w:val="0"/>
          <w:sz w:val="24"/>
        </w:rPr>
        <w:t>SOLO</w:t>
      </w:r>
      <w:r>
        <w:rPr>
          <w:rFonts w:ascii="Times New Roman" w:eastAsia="宋体" w:hAnsi="Times New Roman" w:cs="Times New Roman"/>
          <w:kern w:val="0"/>
          <w:sz w:val="24"/>
        </w:rPr>
        <w:t>分类，区分学生的回答是单点罗列、多点并列，还是能够建立联系并迁移到新问题。两境四维的依据在于社会情感能力具有明显的情境依赖性，国内测评数据也显示社会情感能力在中学阶段并不随年龄增长自然提高，因此需要在常规情境与复杂、冲突、开放情</w:t>
      </w:r>
      <w:r>
        <w:rPr>
          <w:rFonts w:ascii="Times New Roman" w:eastAsia="宋体" w:hAnsi="Times New Roman" w:cs="Times New Roman"/>
          <w:kern w:val="0"/>
          <w:sz w:val="24"/>
        </w:rPr>
        <w:lastRenderedPageBreak/>
        <w:t>境中分别观察。</w:t>
      </w:r>
    </w:p>
    <w:p w14:paraId="03CD25C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高阶能力培育总模型</w:t>
      </w:r>
    </w:p>
    <w:p w14:paraId="702E2A5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）总模型的整体结构</w:t>
      </w:r>
    </w:p>
    <w:p w14:paraId="361C16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构建的可见的学习视域下中学生高阶能力培育总模型，以中学生七维高阶能力发展为核心目标。其中，高阶思维包括分析、评价、创造，高阶社会情感包括责任担当、情绪调节、合作共情、包容创新。两类能力在真实、复杂的学习过程中共同发挥作用。</w:t>
      </w:r>
    </w:p>
    <w:p w14:paraId="6E8658D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330A4C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实践运行层面，总模型内部形成两个相互联系的子模型，一是以五环为主线的学习模型，解决学生怎样经历高阶学习的问题；二是以诊断发现、干预、实施和评估为主线的教学模型，解决教师怎样基于学习证据支持、判断和调整教学的问题。</w:t>
      </w:r>
      <w:r>
        <w:rPr>
          <w:rFonts w:ascii="Times New Roman" w:eastAsia="宋体" w:hAnsi="Times New Roman" w:cs="Times New Roman"/>
          <w:b/>
          <w:sz w:val="24"/>
        </w:rPr>
        <w:t>可见的学习构成两者之间的连接机制，学生的目标、思维、证据和进步逐步对教师可见，教师的诊断、支架、反馈和调节也逐步对学生可见，教与学由此通过学习证据建立双向联系。</w:t>
      </w:r>
    </w:p>
    <w:p w14:paraId="2D1E01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两个模型共同运行于学科教学和科创教育两个场域，在持续实践中形成不同的高阶学习样态，并通过多源证据不断接受检验和修正。</w:t>
      </w:r>
    </w:p>
    <w:p w14:paraId="733C1C9C"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5"/>
                    <a:stretch>
                      <a:fillRect/>
                    </a:stretch>
                  </pic:blipFill>
                  <pic:spPr>
                    <a:xfrm>
                      <a:off x="0" y="0"/>
                      <a:ext cx="4768215" cy="3576320"/>
                    </a:xfrm>
                    <a:prstGeom prst="rect">
                      <a:avLst/>
                    </a:prstGeom>
                  </pic:spPr>
                </pic:pic>
              </a:graphicData>
            </a:graphic>
          </wp:inline>
        </w:drawing>
      </w:r>
    </w:p>
    <w:p w14:paraId="64228C1F"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3-8  </w:t>
      </w:r>
      <w:r>
        <w:rPr>
          <w:rFonts w:ascii="Times New Roman" w:eastAsia="黑体" w:hAnsi="Times New Roman" w:cs="Times New Roman"/>
        </w:rPr>
        <w:t>可见的学习视域下中学生高阶能力培育总模型图</w:t>
      </w:r>
    </w:p>
    <w:p w14:paraId="1C6680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）总模型的内在关系</w:t>
      </w:r>
    </w:p>
    <w:p w14:paraId="235945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总模型内部围绕中学生高阶能力发展形成五层相互贯通的关系。</w:t>
      </w:r>
    </w:p>
    <w:p w14:paraId="32D44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第一，七维高阶能力是共同指向。无论学习设计、教学支持还是评价反馈，最终都指向分析、评价、创造以及责任担当、情绪调节、合作共情、包容创新的发展。</w:t>
      </w:r>
    </w:p>
    <w:p w14:paraId="143B58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第二，三层六阶与两境四维提供进阶尺度。前者主要解决认知如何由基础理解走向分析、评价和创造，后者主要解决学生能否在越来越复杂的学习情境中持续调动社会情感资源。</w:t>
      </w:r>
    </w:p>
    <w:p w14:paraId="43AF1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第三，学习模型与教学模型构成两个相互作用的运行系统。学习模型描述学生怎样学，教学模型描述教师怎样教。学生的学习状态不断为教师提供调节依据，教师的教学支持又不断改变学生后续学习。</w:t>
      </w:r>
    </w:p>
    <w:p w14:paraId="2F9F8B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第四，五见构成连接教与学的可见机制。目标可见使方向明确，思维可见使学习过程能够被理解，证据可见使判断有据，进步可见使变化能够被比较，能力可见使零散表现逐步转化为对能力发展的判断。</w:t>
      </w:r>
    </w:p>
    <w:p w14:paraId="16B6D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第五，两域实践与循证改进保证模型持续生成。学科教学提供日常、连续的能力培育场域，科创教育提供真实、开放、综合的问题解决场域。模型在不同情境中不断接受实践检验。</w:t>
      </w:r>
    </w:p>
    <w:p w14:paraId="7FF1103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3.</w:t>
      </w:r>
      <w:r>
        <w:rPr>
          <w:rFonts w:ascii="Times New Roman" w:eastAsia="黑体" w:hAnsi="Times New Roman" w:cs="Times New Roman"/>
          <w:b/>
          <w:sz w:val="24"/>
        </w:rPr>
        <w:t>指向高阶能力发展的学习模型</w:t>
      </w:r>
    </w:p>
    <w:p w14:paraId="5E090718"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7434667B" wp14:editId="194C6F1A">
            <wp:extent cx="4646295" cy="3484880"/>
            <wp:effectExtent l="0" t="0" r="1905" b="1270"/>
            <wp:docPr id="36" name="图片 36" descr="b2307fd3-18ed-4a34-8168-1e85cfc8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2307fd3-18ed-4a34-8168-1e85cfc8879a"/>
                    <pic:cNvPicPr>
                      <a:picLocks noChangeAspect="1"/>
                    </pic:cNvPicPr>
                  </pic:nvPicPr>
                  <pic:blipFill>
                    <a:blip r:embed="rId16"/>
                    <a:stretch>
                      <a:fillRect/>
                    </a:stretch>
                  </pic:blipFill>
                  <pic:spPr>
                    <a:xfrm>
                      <a:off x="0" y="0"/>
                      <a:ext cx="4646295" cy="3484880"/>
                    </a:xfrm>
                    <a:prstGeom prst="rect">
                      <a:avLst/>
                    </a:prstGeom>
                  </pic:spPr>
                </pic:pic>
              </a:graphicData>
            </a:graphic>
          </wp:inline>
        </w:drawing>
      </w:r>
    </w:p>
    <w:p w14:paraId="1B620534"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3-9  </w:t>
      </w:r>
      <w:r>
        <w:rPr>
          <w:rFonts w:ascii="Times New Roman" w:eastAsia="黑体" w:hAnsi="Times New Roman" w:cs="Times New Roman"/>
          <w:bCs/>
          <w:szCs w:val="21"/>
        </w:rPr>
        <w:t>指向高阶能力发展的学习模型图</w:t>
      </w:r>
    </w:p>
    <w:p w14:paraId="1A6E5B6F" w14:textId="77777777" w:rsidR="000B1CCE" w:rsidRDefault="000B1CCE">
      <w:pPr>
        <w:adjustRightInd w:val="0"/>
        <w:snapToGrid w:val="0"/>
        <w:spacing w:line="360" w:lineRule="auto"/>
        <w:ind w:firstLineChars="200" w:firstLine="480"/>
        <w:rPr>
          <w:rFonts w:ascii="宋体" w:eastAsia="宋体" w:hAnsi="宋体" w:cs="宋体"/>
          <w:sz w:val="24"/>
        </w:rPr>
      </w:pPr>
    </w:p>
    <w:p w14:paraId="16B6660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）学习模型的基本逻辑</w:t>
      </w:r>
    </w:p>
    <w:p w14:paraId="6E73DC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和迁移的连续学习过程。</w:t>
      </w:r>
    </w:p>
    <w:p w14:paraId="6DCEA91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不把高阶学习理解为若干高难度活动的叠加，而把它理解为学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2C395E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）以七维高阶能力确立能力目标</w:t>
      </w:r>
    </w:p>
    <w:p w14:paraId="2FFB6A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w:t>
      </w:r>
      <w:r>
        <w:rPr>
          <w:rFonts w:ascii="Times New Roman" w:eastAsia="宋体" w:hAnsi="Times New Roman" w:cs="Times New Roman"/>
          <w:sz w:val="24"/>
        </w:rPr>
        <w:lastRenderedPageBreak/>
        <w:t>或成果。</w:t>
      </w:r>
    </w:p>
    <w:p w14:paraId="5B414B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72E92CD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七维能力无须在一节课中同时覆盖。具体学习中，应根据学科内容、任务性质和学生基础确定重点，使能力目标少而准、能够进入学习过程，也能够留下真实表现。</w:t>
      </w:r>
    </w:p>
    <w:p w14:paraId="7669AB9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）以三层六阶和两境四维刻画进阶尺度</w:t>
      </w:r>
    </w:p>
    <w:p w14:paraId="4EE79864"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高阶能力在认知复杂度和情境复杂度不断提高的过程中逐步形成。</w:t>
      </w:r>
      <w:r>
        <w:rPr>
          <w:rFonts w:ascii="Times New Roman" w:eastAsia="宋体" w:hAnsi="Times New Roman" w:cs="Times New Roman"/>
          <w:sz w:val="24"/>
        </w:rPr>
        <w:t>三层六阶用于刻画高阶思维的发展，学习理解、应用实践和迁移创新呈现学习从理解知识到使用知识、再到迁移创新的基本进程，记忆、理解、应用、分析、评价和创造进一步标示认知活动逐步深化的层次。</w:t>
      </w:r>
    </w:p>
    <w:p w14:paraId="25CE0F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6D3616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两套尺度分别从认知和情境两个方面描述发展要求，不机械对应，也不构成两套彼此独立的教学流程。</w:t>
      </w:r>
    </w:p>
    <w:p w14:paraId="4F1BDDA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）以五环推进学习过程</w:t>
      </w:r>
    </w:p>
    <w:p w14:paraId="7B13BE29"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五环是学习模型的运行主线。</w:t>
      </w:r>
      <w:r>
        <w:rPr>
          <w:rFonts w:ascii="Times New Roman" w:eastAsia="宋体" w:hAnsi="Times New Roman" w:cs="Times New Roman"/>
          <w:sz w:val="24"/>
        </w:rPr>
        <w:t>目标引领解决为什么学、学到什么程度，使学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向更好的表现，推动学生依据反馈修订原有观点、方案或作品；反思迁移解决学习怎样转化为能力，帮助学生提炼方法，并在新的问题和情境中再次运用。</w:t>
      </w:r>
    </w:p>
    <w:p w14:paraId="3F7331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五环是相互衔接的学习过程。真实学习中可以前后回返，但总体方向始终是推动学生由完成任务走向理解方法、由参与活动走向形成能力。</w:t>
      </w:r>
    </w:p>
    <w:p w14:paraId="4137C5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从高阶能力的发展机制看，五环中的每一环承担不同功能。任务驱动提供认知挑战，使学生必须分析条件、比较方案并作出判断；探究展学要求学生把推理过程说出来、写出来或画出来，使思考过程外显并接受同伴质疑，这与第一部分综述的合作学习、结构化对话和图形组织器研究所揭示的机制一致；反馈迭代使学生依据反馈修订初次表现，形成可以比较的前后证据；反思迁移依靠元认知，帮助学生把具体任务中的做法上升为可以迁移的策略。显性的元认知指导能够提升学生在劣构问题中重构问题表征和进行远距离联想的能力（</w:t>
      </w:r>
      <w:r>
        <w:rPr>
          <w:rFonts w:ascii="Times New Roman" w:eastAsia="宋体" w:hAnsi="Times New Roman" w:cs="Times New Roman"/>
          <w:kern w:val="0"/>
          <w:sz w:val="24"/>
        </w:rPr>
        <w:t>Guo et al., 2025</w:t>
      </w:r>
      <w:r>
        <w:rPr>
          <w:rFonts w:ascii="Times New Roman" w:eastAsia="宋体" w:hAnsi="Times New Roman" w:cs="Times New Roman"/>
          <w:kern w:val="0"/>
          <w:sz w:val="24"/>
        </w:rPr>
        <w:t>），这为反思迁移环节中的策略提炼和迁移练习提供了依据。</w:t>
      </w:r>
    </w:p>
    <w:p w14:paraId="138E2D6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）以五见贯穿学习表征</w:t>
      </w:r>
    </w:p>
    <w:p w14:paraId="50719BEB"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五见是贯穿五环全过程的学习表征。</w:t>
      </w:r>
      <w:r>
        <w:rPr>
          <w:rFonts w:ascii="Times New Roman" w:eastAsia="宋体" w:hAnsi="Times New Roman" w:cs="Times New Roman"/>
          <w:sz w:val="24"/>
        </w:rPr>
        <w:t>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317760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因此，五见的价值在于使学生能够依据目标和反馈调整学习，也使教师真正看见学生如何学习、在哪里遇到困难、哪里已经发生变化。</w:t>
      </w:r>
    </w:p>
    <w:p w14:paraId="4BC6E86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4.</w:t>
      </w:r>
      <w:r>
        <w:rPr>
          <w:rFonts w:ascii="Times New Roman" w:eastAsia="黑体" w:hAnsi="Times New Roman" w:cs="Times New Roman"/>
          <w:b/>
          <w:sz w:val="24"/>
        </w:rPr>
        <w:t>指向高阶能力培育的教学模型</w:t>
      </w:r>
    </w:p>
    <w:p w14:paraId="28CDDA82"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244EFA02" wp14:editId="04D9F619">
            <wp:extent cx="4859020" cy="3898265"/>
            <wp:effectExtent l="0" t="0" r="8255" b="6985"/>
            <wp:docPr id="13" name="图片 13" descr="03_教学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_教学模型图"/>
                    <pic:cNvPicPr>
                      <a:picLocks noChangeAspect="1"/>
                    </pic:cNvPicPr>
                  </pic:nvPicPr>
                  <pic:blipFill>
                    <a:blip r:embed="rId17"/>
                    <a:stretch>
                      <a:fillRect/>
                    </a:stretch>
                  </pic:blipFill>
                  <pic:spPr>
                    <a:xfrm>
                      <a:off x="0" y="0"/>
                      <a:ext cx="4859020" cy="3898265"/>
                    </a:xfrm>
                    <a:prstGeom prst="rect">
                      <a:avLst/>
                    </a:prstGeom>
                  </pic:spPr>
                </pic:pic>
              </a:graphicData>
            </a:graphic>
          </wp:inline>
        </w:drawing>
      </w:r>
    </w:p>
    <w:p w14:paraId="7C447E12"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3-10  </w:t>
      </w:r>
      <w:r>
        <w:rPr>
          <w:rFonts w:ascii="Times New Roman" w:eastAsia="黑体" w:hAnsi="Times New Roman" w:cs="Times New Roman"/>
          <w:bCs/>
          <w:szCs w:val="21"/>
        </w:rPr>
        <w:t>指向高阶能力培育的教学模型图</w:t>
      </w:r>
    </w:p>
    <w:p w14:paraId="6AA5785D" w14:textId="77777777" w:rsidR="000B1CCE" w:rsidRDefault="000B1CCE">
      <w:pPr>
        <w:adjustRightInd w:val="0"/>
        <w:snapToGrid w:val="0"/>
        <w:spacing w:line="360" w:lineRule="auto"/>
        <w:jc w:val="center"/>
        <w:rPr>
          <w:rFonts w:ascii="宋体" w:eastAsia="宋体" w:hAnsi="宋体" w:cs="宋体"/>
          <w:b/>
          <w:bCs/>
          <w:szCs w:val="21"/>
        </w:rPr>
      </w:pPr>
    </w:p>
    <w:p w14:paraId="690783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）教学模型的基本逻辑</w:t>
      </w:r>
    </w:p>
    <w:p w14:paraId="60468E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在于持续判断自己的教学对学生学习产生了怎样的影响，并依据证据作出调整。</w:t>
      </w:r>
    </w:p>
    <w:p w14:paraId="0DD976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其基本过程依次为诊断发现、干预、实施、评估和进入下一轮调节。</w:t>
      </w:r>
    </w:p>
    <w:p w14:paraId="6A9C1EF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）基于证据的诊断发现</w:t>
      </w:r>
    </w:p>
    <w:p w14:paraId="025CF6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首先回答学生现在在哪里。教师依据前测、课堂回答、学习任务、已有作品和课堂表现，了解学生的知识基础、能力起点、主要困难和个体差异。诊断的目的是发现学习目标与当前状态之间的差距。只有明确学生现在在哪里和需要走到哪里，后续任务、支架和反馈才有依据。</w:t>
      </w:r>
    </w:p>
    <w:p w14:paraId="4364720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）面向差异的干预设计</w:t>
      </w:r>
    </w:p>
    <w:p w14:paraId="7F7756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是通过适切的问题、任务和支持，使不同基础的学生都能够进入具有真实认知挑战的学习过程。</w:t>
      </w:r>
    </w:p>
    <w:p w14:paraId="20399DE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）动态调节中的实施推进</w:t>
      </w:r>
    </w:p>
    <w:p w14:paraId="5D6C93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施过程依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在于教师能否依据学生的真实表现及时调整教学。</w:t>
      </w:r>
    </w:p>
    <w:p w14:paraId="29614A0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）依据学习证据的评估改进</w:t>
      </w:r>
    </w:p>
    <w:p w14:paraId="146242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设置、任务设计、支架和反馈是否有效。评估结果是下一轮诊断和调整的起点，由此形成基于证据持续改进的专业行动方式。</w:t>
      </w:r>
    </w:p>
    <w:p w14:paraId="1898D6B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模型的运行依赖教师的专业判断。同一种教学方法在不同学生和任务中的效果差异明显，教师需要依据学生的即时表现决定何时提供支架、何时撤除支架。模型在不同学科中的转化还涉及忠实执行与本地适应之间的平衡，本研究因此要求教师在每轮实践中说明对模型作了哪些调整及其理由，以区分核心要素的保留与形式上的变通（</w:t>
      </w:r>
      <w:r>
        <w:rPr>
          <w:rFonts w:ascii="Times New Roman" w:eastAsia="宋体" w:hAnsi="Times New Roman" w:cs="Times New Roman"/>
          <w:kern w:val="0"/>
          <w:sz w:val="24"/>
        </w:rPr>
        <w:t>Cowen et al., 2015</w:t>
      </w:r>
      <w:r>
        <w:rPr>
          <w:rFonts w:ascii="Times New Roman" w:eastAsia="宋体" w:hAnsi="Times New Roman" w:cs="Times New Roman"/>
          <w:kern w:val="0"/>
          <w:sz w:val="24"/>
        </w:rPr>
        <w:t>）。</w:t>
      </w:r>
    </w:p>
    <w:p w14:paraId="3A72A1D2" w14:textId="77777777" w:rsidR="000B1CCE" w:rsidRDefault="000B1CCE">
      <w:pPr>
        <w:adjustRightInd w:val="0"/>
        <w:snapToGrid w:val="0"/>
        <w:spacing w:line="360" w:lineRule="auto"/>
        <w:ind w:firstLineChars="200" w:firstLine="480"/>
        <w:rPr>
          <w:rFonts w:ascii="宋体" w:eastAsia="宋体" w:hAnsi="宋体" w:cs="宋体"/>
          <w:sz w:val="24"/>
        </w:rPr>
      </w:pPr>
    </w:p>
    <w:p w14:paraId="5AB6BF9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学习模型与教学模型的协同运行</w:t>
      </w:r>
    </w:p>
    <w:p w14:paraId="2FE1F1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）学生学习与教师教学的双向可见</w:t>
      </w:r>
    </w:p>
    <w:p w14:paraId="09F7EB6C"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学习模型和教学模型能够真正协同，关键在于可见的学习。</w:t>
      </w:r>
      <w:r>
        <w:rPr>
          <w:rFonts w:ascii="Times New Roman" w:eastAsia="宋体" w:hAnsi="Times New Roman" w:cs="Times New Roman"/>
          <w:sz w:val="24"/>
        </w:rPr>
        <w:t>一方面，学生的目标、思维、证据和进步需要对教师可见。教师只有看见学生怎样理解问题、依据什么判断、在哪里遇到困难以及反馈后发生了什么变化，才能作出有依据的</w:t>
      </w:r>
      <w:r>
        <w:rPr>
          <w:rFonts w:ascii="Times New Roman" w:eastAsia="宋体" w:hAnsi="Times New Roman" w:cs="Times New Roman"/>
          <w:sz w:val="24"/>
        </w:rPr>
        <w:lastRenderedPageBreak/>
        <w:t>教学调整。另一方面，教师的诊断、支架、反馈和调节也需要对学生可见。学生需要理解学习要求、成功标准、当前差距以及下一步改进方向，才能逐步由依赖教师评价走向主动调节学习。</w:t>
      </w:r>
    </w:p>
    <w:p w14:paraId="070F35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学生以学习表现为教师提供调节依据，教师以目标、支架和反馈为学生提供学习依据。</w:t>
      </w:r>
    </w:p>
    <w:p w14:paraId="6D7B8A4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）五环学习与教师循证调节的相互作用</w:t>
      </w:r>
    </w:p>
    <w:p w14:paraId="3773D8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之间存在交错对应。学生可能处于探究展学，教师此时既可能进行诊断，也可能实施追问和支架；学生进入反馈迭代，教师既可能提供干预，也可能依据新的学习证据重新判断。因此，教师的诊断发现、干预、实施和评估可以贯穿五环全过程。</w:t>
      </w:r>
    </w:p>
    <w:p w14:paraId="7255B29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五环描述学习怎样向前推进，教师循证调节描述教学怎样围绕学习持续变化。二者共同构成学习发生、证据呈现、教学调节和学习再发生的动态过程。</w:t>
      </w:r>
    </w:p>
    <w:p w14:paraId="5CB066E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）学科教学与科创教育的两域转化</w:t>
      </w:r>
    </w:p>
    <w:p w14:paraId="766879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211A09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7EEE717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两个场域虽然学习材料、任务性质和成果形态不同，但共同遵循同一基本逻辑，学生按照学习模型经历高阶学习，教师按照教学模型持续提供循证支持。</w:t>
      </w:r>
      <w:r>
        <w:rPr>
          <w:rFonts w:ascii="Times New Roman" w:eastAsia="宋体" w:hAnsi="Times New Roman" w:cs="Times New Roman"/>
          <w:b/>
          <w:sz w:val="24"/>
        </w:rPr>
        <w:t>由此，总模型不再是一张静态结构图，而成为能够在不同学科、不同项目和不同学生群体中转化使用的实践框架。</w:t>
      </w:r>
    </w:p>
    <w:p w14:paraId="1C83E8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w:t>
      </w:r>
      <w:r>
        <w:rPr>
          <w:rFonts w:ascii="Times New Roman" w:eastAsia="宋体" w:hAnsi="Times New Roman" w:cs="Times New Roman"/>
          <w:sz w:val="24"/>
        </w:rPr>
        <w:lastRenderedPageBreak/>
        <w:t>分层既回应了课题前期关于学习模型与课堂教学模式的研究设计，也为后续两域实践、典型样态提炼和多源证据评价提供了清晰的理论归属。</w:t>
      </w:r>
    </w:p>
    <w:p w14:paraId="0B75A3C8"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szCs w:val="28"/>
        </w:rPr>
        <w:t>（五）双模型协同下的实践与迭代</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文在可见的学习视域下，分别从学生怎样学、教师怎样教两个方面形成了高阶能力发展的学习模型与教学模型。学习模型以目标引领、任务驱动、探究展学、反馈迭代和反思迁移五环组织学生的高阶学习过程；教学模型则以诊断发现、干预、实施和评估组织教师基于学习证据的持续调节。两者共同指向中学生七维高阶能力发展。</w:t>
      </w:r>
    </w:p>
    <w:p w14:paraId="47B11F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入实践阶段后，我们关注的重点是两个模型能否共同进入真实课堂和真实项目，能否真正改变学生的学习方式，能否帮助教师依据学生的学习证据作出更准确的教学判断。基于这一认识，课题组没有把两个模型作为两套彼此独立的程序加以推广，而把它们放在同一个学习过程中协同运行，学生沿五环推进学习，教师围绕学生不断呈现的学习状态实施诊断、支持、调节与评估，使学习发生与教学改进形成持续互动。</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协同实践的框架与逻辑</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）实践框架</w:t>
      </w:r>
    </w:p>
    <w:p w14:paraId="2FC0A1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的实践框架建立在前期模型建构基础上。早期研究已围绕能力目标、学习任务、学习决策路径和学习层次探索高阶能力发展的学习模型，同时通过诊断、干预、实施与评估研究教师如何基于学生真实学习状态调整教学。随着课题推进，我们逐步把二者整合为学生学习与教师教学两个相互作用的运行系统。</w:t>
      </w:r>
    </w:p>
    <w:p w14:paraId="0BFB3E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生侧，五环构成高阶学习的基本推进路径。学生从理解学习目标和成功标准出发，在具有一定挑战度的任务中进入真实问题，通过探究、表达、合作和证据运用逐步形成认识，再依据反馈不断修订，最终通过反思与迁移把具体任务中的学习转化为较为稳定的能力。</w:t>
      </w:r>
    </w:p>
    <w:p w14:paraId="409228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教师侧，教学围绕学生在学习过程中的真实表现持续进行调节。教师通过观察学生怎样理解任务、怎样表达观点、怎样使用证据、哪里出现困难以及反馈后发生什么变化，判断当前学习状态，并据此调整任务难度、支架方式、追问深度和反馈策略。评估所得的新证据又进入下一轮判断，使教学形成持续的循证改</w:t>
      </w:r>
      <w:r>
        <w:rPr>
          <w:rFonts w:ascii="Times New Roman" w:eastAsia="宋体" w:hAnsi="Times New Roman" w:cs="Times New Roman"/>
          <w:sz w:val="24"/>
        </w:rPr>
        <w:lastRenderedPageBreak/>
        <w:t>进。</w:t>
      </w:r>
    </w:p>
    <w:p w14:paraId="421B36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这一实践框架中，可见的学习是五环得以运行的基本方式。所谓可见，首先是让学生知道学习要走向哪里。教师需要把抽象的课程要求和能力目标转化为学生能够理解的学习目标、成功标准和表现要求，使学什么、做到什么程度、怎样知道自己学会了变得清楚。与此同时，学生的学习也需要对教师可见，他们如何理解问题、依据什么作出判断、在哪一步出现困难、接受反馈后发生了什么变化，都应当通过语言、学习单、作品、数据或行动表现出来。只有这样，教师才有可能基于证据作出调整。</w:t>
      </w:r>
    </w:p>
    <w:p w14:paraId="290BD6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与教学模型之间通过五见形成联系。目标可见，使师生共享学习方向；思维可见，使学生内隐的分析、判断和推理能够被理解；证据可见，使教学判断建立在真实学习表现基础上；进步可见，使学生前后的变化能够被比较；能力可见，则使多次任务中的稳定表现逐步成为判断高阶能力发展的依据。</w:t>
      </w:r>
    </w:p>
    <w:p w14:paraId="4625F5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此基础上，两个模型共同进入学科教学与科创教育两个主要场域。学科教学承担高阶能力日常、持续的积累，科创教育则为学生提供更加真实、复杂和开放的问题情境。不同场域共享同一学习与教学逻辑，又根据学科知识结构、任务性质和学习周期作出具体转化。</w:t>
      </w:r>
    </w:p>
    <w:p w14:paraId="3942D484"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noProof/>
          <w:sz w:val="24"/>
        </w:rPr>
        <w:drawing>
          <wp:inline distT="0" distB="0" distL="114300" distR="114300" wp14:anchorId="774D07BD" wp14:editId="612ED0E6">
            <wp:extent cx="4853305" cy="3434080"/>
            <wp:effectExtent l="0" t="0" r="4445" b="4445"/>
            <wp:docPr id="3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IMG_256"/>
                    <pic:cNvPicPr>
                      <a:picLocks noChangeAspect="1"/>
                    </pic:cNvPicPr>
                  </pic:nvPicPr>
                  <pic:blipFill>
                    <a:blip r:embed="rId18"/>
                    <a:stretch>
                      <a:fillRect/>
                    </a:stretch>
                  </pic:blipFill>
                  <pic:spPr>
                    <a:xfrm>
                      <a:off x="0" y="0"/>
                      <a:ext cx="4853305" cy="3434080"/>
                    </a:xfrm>
                    <a:prstGeom prst="rect">
                      <a:avLst/>
                    </a:prstGeom>
                    <a:noFill/>
                    <a:ln w="9525">
                      <a:noFill/>
                    </a:ln>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3-11  </w:t>
      </w:r>
      <w:r>
        <w:rPr>
          <w:rFonts w:ascii="Times New Roman" w:eastAsia="黑体" w:hAnsi="Times New Roman" w:cs="Times New Roman"/>
          <w:bCs/>
          <w:szCs w:val="21"/>
        </w:rPr>
        <w:t>可见的学习视域下中学生高阶能力培育模型实施框架图</w:t>
      </w:r>
    </w:p>
    <w:p w14:paraId="448C5E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其基本过程依次为七维能力目标、学习模型与教学模型协同运行、两域实践、</w:t>
      </w:r>
      <w:r>
        <w:rPr>
          <w:rFonts w:ascii="Times New Roman" w:eastAsia="宋体" w:hAnsi="Times New Roman" w:cs="Times New Roman"/>
          <w:sz w:val="24"/>
        </w:rPr>
        <w:lastRenderedPageBreak/>
        <w:t>高阶学习样态生成、实践证据形成和模型迭代优化。</w:t>
      </w:r>
    </w:p>
    <w:p w14:paraId="58018B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这一框架的意义在于，高阶能力培育不再停留于目标表述，而通过学生学习、教师调节和实践证据之间的持续循环进入真实教育过程。</w:t>
      </w:r>
    </w:p>
    <w:p w14:paraId="4E51280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）实践逻辑</w:t>
      </w:r>
    </w:p>
    <w:p w14:paraId="1A798AC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）以七维高阶能力统领双模型实践</w:t>
      </w:r>
    </w:p>
    <w:p w14:paraId="43CDE6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实践首先要解决的是为什么实践和最终指向什么。本研究不以课堂活动是否丰富、学生参与是否热烈作为主要成效判断，而始终把七维高阶能力的发展作为实践的最终指向。高阶思维主要关注学生能否对复杂信息进行分析、依据标准和证据作出评价，并综合已有知识形成新的观点、方案或成果；高阶社会情感则关注学生能否在持续、协作和具有不确定性的任务中承担责任、调节状态、理解他人、协同解决问题，并在面对不同观点和未知结果时保持开放和创新。</w:t>
      </w:r>
    </w:p>
    <w:p w14:paraId="4D0756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无论是学生五环学习，还是教师循证调节，都是为了使抽象的能力要求进入真实学习过程。具体实践中，并不追求每一节课同时覆盖七个维度，而根据学科内容、任务性质和学生基础确定重点，使能力目标能够真正落到学习任务和学习表现上。</w:t>
      </w:r>
      <w:r>
        <w:rPr>
          <w:rFonts w:ascii="Times New Roman" w:eastAsia="宋体" w:hAnsi="Times New Roman" w:cs="Times New Roman"/>
          <w:b/>
          <w:sz w:val="24"/>
        </w:rPr>
        <w:t>可见的学习解决的是如何看见并促进学习发生，高阶能力培育解决的是学习最终应当走向哪里。</w:t>
      </w:r>
    </w:p>
    <w:p w14:paraId="2D89B05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）以五环学习与循证调节协同推动学习发生</w:t>
      </w:r>
    </w:p>
    <w:p w14:paraId="163FB38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高阶能力的发展，需要经历连续而有深度的学习过程。五环描述的正是这种学习怎样向前推进，目标引领使学生明确学习方向和成功标准；任务驱动把能力目标转化为真实的认知挑战；探究展学促使学生把分析、判断、观点和合作过程外显出来；反馈迭代使学生依据学习证据不断修订原有表现；反思迁移则推动学生由完成一次任务走向方法提炼和新情境应用。</w:t>
      </w:r>
    </w:p>
    <w:p w14:paraId="24D82B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此同时，教师围绕学生在五环中的表现持续进行循证调节。学生进入任务前，教师需要判断其已有基础和主要困难；任务实施过程中，需要根据学生表现调整问题、支架和资源；探究过程中，需要通过追问、点拨和同伴协作推动学习深化；反馈之后，则需要判断学生是否真正发生变化，并决定后续教学如何调整。</w:t>
      </w:r>
    </w:p>
    <w:p w14:paraId="1400EA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五环描述学生的学习怎样向前推进，循证调节描述教师怎样围绕学生学习不断调整教学。</w:t>
      </w:r>
    </w:p>
    <w:p w14:paraId="022B7B4E"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）以五见贯通学生学习与教师教学</w:t>
      </w:r>
    </w:p>
    <w:p w14:paraId="5926156F"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学习模型与教学模型能够真正发生联系，关键在于学习是否可见。</w:t>
      </w:r>
      <w:r>
        <w:rPr>
          <w:rFonts w:ascii="Times New Roman" w:eastAsia="宋体" w:hAnsi="Times New Roman" w:cs="Times New Roman"/>
          <w:sz w:val="24"/>
        </w:rPr>
        <w:t>过去课堂中，教师往往能够看到学生有没有做、答得对不对，却不一定能够看到学生为什么这样想、依据什么判断、在哪一步遇到困难；学生也常常知道教师布置了什么任务，却未必清楚自己应该达到什么标准、当前与目标之间还有什么差距。</w:t>
      </w:r>
    </w:p>
    <w:p w14:paraId="251122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把五见作为连接学习与教学的重要机制。目标可见使学习方向和成功标准成为师生共同参照；思维可见使分析、推理、判断和观点形成过程能够被观察；证据可见使评价建立在真实表现而非印象之上；进步可见使学生能够看到第一次表现与修订后表现之间的差异；能力可见则使分散在不同任务中的表现逐渐积累为对学生能力发展的判断。</w:t>
      </w:r>
    </w:p>
    <w:p w14:paraId="1D6D735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）以两域实践检验模型并提炼高阶学习样态</w:t>
      </w:r>
    </w:p>
    <w:p w14:paraId="0AEF89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只有进入真实教育情境，才能检验其有效性和适切性。学科教学是学生高阶能力持续发展的基本场域，课堂学习围绕学科核心知识和关键问题展开，更强调分析、解释、比较、论证和迁移；科创教育则提供更加开放和复杂的实践情境，学生需要围绕真实问题开展方案设计、实验验证、协同合作、结果分析和成果迭代。</w:t>
      </w:r>
    </w:p>
    <w:p w14:paraId="2269C8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场域使用的是同一学习模型和教学调节逻辑，但并不追求完全相同的实施方式。在持续实践中，我们依据课堂表现、学生作品、项目成果、教师专业评价以及课堂行为智能评价等已有证据，对反复出现的学习行为进行比较和归纳，逐步提炼出五种较为稳定的高阶学习典型样态，真实情境的任务性实践、方案比较的验证性实践、证据支撑的论证性实践、协同探究的建构性实践和综合迁移的创新性实践。</w:t>
      </w:r>
    </w:p>
    <w:p w14:paraId="4F4B73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五种典型样态是学习模型在不同学科内容、任务类型和实践情境中呈现出的典型高阶学习形态。</w:t>
      </w:r>
    </w:p>
    <w:p w14:paraId="1C9C6A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所形成的实践逻辑可以概括为以可见的学习为基本方式，以七维高阶能力发展为目标，以五环学习与教师循证调节为运行路径，以学科课堂和科创教育为实践场域，在实践中观察并提炼高阶学习样态，再依据多源证据反观模型、修正模型。其核心在于让目标、学习、证据和改进之间建立起稳定联系。表</w:t>
      </w:r>
      <w:r>
        <w:rPr>
          <w:rFonts w:ascii="Times New Roman" w:eastAsia="宋体" w:hAnsi="Times New Roman" w:cs="Times New Roman"/>
          <w:sz w:val="24"/>
        </w:rPr>
        <w:t>3-31</w:t>
      </w:r>
      <w:r>
        <w:rPr>
          <w:rFonts w:ascii="Times New Roman" w:eastAsia="宋体" w:hAnsi="Times New Roman" w:cs="Times New Roman"/>
          <w:sz w:val="24"/>
        </w:rPr>
        <w:t>和表</w:t>
      </w:r>
      <w:r>
        <w:rPr>
          <w:rFonts w:ascii="Times New Roman" w:eastAsia="宋体" w:hAnsi="Times New Roman" w:cs="Times New Roman"/>
          <w:sz w:val="24"/>
        </w:rPr>
        <w:t>3-32</w:t>
      </w:r>
      <w:r>
        <w:rPr>
          <w:rFonts w:ascii="Times New Roman" w:eastAsia="宋体" w:hAnsi="Times New Roman" w:cs="Times New Roman"/>
          <w:sz w:val="24"/>
        </w:rPr>
        <w:t>分别呈现五环与可见的学习、高阶能力培育的对应关系，以及</w:t>
      </w:r>
      <w:r>
        <w:rPr>
          <w:rFonts w:ascii="Times New Roman" w:eastAsia="宋体" w:hAnsi="Times New Roman" w:cs="Times New Roman"/>
          <w:sz w:val="24"/>
        </w:rPr>
        <w:lastRenderedPageBreak/>
        <w:t>学生学习与教师循证调节的协同关系。</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3-31  </w:t>
      </w:r>
      <w:r>
        <w:rPr>
          <w:rFonts w:ascii="Times New Roman" w:eastAsia="黑体" w:hAnsi="Times New Roman" w:cs="Times New Roman"/>
        </w:rPr>
        <w:t>五环实践中可见的学习与高阶能力培育的对应关系</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976"/>
        <w:gridCol w:w="1821"/>
        <w:gridCol w:w="1469"/>
        <w:gridCol w:w="1611"/>
        <w:gridCol w:w="2642"/>
      </w:tblGrid>
      <w:tr w:rsidR="000B1CCE" w14:paraId="7531D65E" w14:textId="77777777">
        <w:trPr>
          <w:tblHeader/>
          <w:jc w:val="center"/>
        </w:trPr>
        <w:tc>
          <w:tcPr>
            <w:tcW w:w="9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五环</w:t>
            </w:r>
          </w:p>
        </w:tc>
        <w:tc>
          <w:tcPr>
            <w:tcW w:w="1821"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w:t>
            </w:r>
            <w:r>
              <w:rPr>
                <w:rStyle w:val="a7"/>
                <w:rFonts w:ascii="Times New Roman" w:eastAsia="宋体" w:hAnsi="Times New Roman" w:cs="Times New Roman"/>
                <w:kern w:val="0"/>
                <w:szCs w:val="21"/>
                <w:lang w:bidi="ar"/>
              </w:rPr>
              <w:t>可见</w:t>
            </w:r>
            <w:r>
              <w:rPr>
                <w:rStyle w:val="a7"/>
                <w:rFonts w:ascii="Times New Roman" w:eastAsia="宋体" w:hAnsi="Times New Roman" w:cs="Times New Roman"/>
                <w:kern w:val="0"/>
                <w:szCs w:val="21"/>
                <w:lang w:bidi="ar"/>
              </w:rPr>
              <w:t>”</w:t>
            </w:r>
            <w:r>
              <w:rPr>
                <w:rStyle w:val="a7"/>
                <w:rFonts w:ascii="Times New Roman" w:eastAsia="宋体" w:hAnsi="Times New Roman" w:cs="Times New Roman"/>
                <w:kern w:val="0"/>
                <w:szCs w:val="21"/>
                <w:lang w:bidi="ar"/>
              </w:rPr>
              <w:t>关键问题</w:t>
            </w:r>
          </w:p>
        </w:tc>
        <w:tc>
          <w:tcPr>
            <w:tcW w:w="1469"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09314D"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学生学习可见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BB50F8A"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教师调节可见</w:t>
            </w:r>
          </w:p>
        </w:tc>
        <w:tc>
          <w:tcPr>
            <w:tcW w:w="26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C2226A7"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高阶能力指向</w:t>
            </w:r>
          </w:p>
        </w:tc>
      </w:tr>
      <w:tr w:rsidR="000B1CCE" w14:paraId="108BA3B0"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目标引领</w:t>
            </w:r>
          </w:p>
        </w:tc>
        <w:tc>
          <w:tcPr>
            <w:tcW w:w="1821" w:type="dxa"/>
            <w:tcBorders>
              <w:top w:val="nil"/>
              <w:left w:val="nil"/>
              <w:bottom w:val="nil"/>
              <w:right w:val="nil"/>
            </w:tcBorders>
            <w:tcMar>
              <w:top w:w="-1" w:type="dxa"/>
              <w:left w:w="-1" w:type="dxa"/>
              <w:bottom w:w="-1" w:type="dxa"/>
              <w:right w:w="-1" w:type="dxa"/>
            </w:tcMar>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学什么？</w:t>
            </w:r>
          </w:p>
          <w:p w14:paraId="268129C6"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学到什么程度？</w:t>
            </w:r>
          </w:p>
        </w:tc>
        <w:tc>
          <w:tcPr>
            <w:tcW w:w="1469" w:type="dxa"/>
            <w:tcBorders>
              <w:top w:val="nil"/>
              <w:left w:val="nil"/>
              <w:bottom w:val="nil"/>
              <w:right w:val="nil"/>
            </w:tcBorders>
            <w:tcMar>
              <w:top w:w="-1" w:type="dxa"/>
              <w:left w:w="-1" w:type="dxa"/>
              <w:bottom w:w="-1" w:type="dxa"/>
              <w:right w:w="-1" w:type="dxa"/>
            </w:tcMar>
            <w:vAlign w:val="center"/>
          </w:tcPr>
          <w:p w14:paraId="442C5F3B" w14:textId="77777777" w:rsidR="000B1CCE" w:rsidRDefault="00000000">
            <w:pPr>
              <w:widowControl/>
              <w:snapToGrid w:val="0"/>
              <w:spacing w:before="20" w:after="20"/>
              <w:jc w:val="center"/>
              <w:rPr>
                <w:rStyle w:val="a7"/>
                <w:rFonts w:ascii="宋体" w:eastAsia="宋体" w:hAnsi="宋体" w:cs="宋体"/>
                <w:b w:val="0"/>
                <w:bCs/>
                <w:kern w:val="0"/>
                <w:szCs w:val="21"/>
                <w:lang w:bidi="ar"/>
              </w:rPr>
            </w:pPr>
            <w:r>
              <w:rPr>
                <w:rStyle w:val="a7"/>
                <w:rFonts w:ascii="Times New Roman" w:eastAsia="宋体" w:hAnsi="Times New Roman" w:cs="Times New Roman"/>
                <w:b w:val="0"/>
                <w:bCs/>
                <w:kern w:val="0"/>
                <w:szCs w:val="21"/>
                <w:lang w:bidi="ar"/>
              </w:rPr>
              <w:t>目标提前告知</w:t>
            </w:r>
          </w:p>
          <w:p w14:paraId="754E2D27" w14:textId="77777777" w:rsidR="000B1CCE" w:rsidRDefault="00000000">
            <w:pPr>
              <w:widowControl/>
              <w:snapToGrid w:val="0"/>
              <w:spacing w:before="20" w:after="20"/>
              <w:jc w:val="center"/>
              <w:rPr>
                <w:rStyle w:val="a7"/>
                <w:rFonts w:ascii="宋体" w:eastAsia="宋体" w:hAnsi="宋体" w:cs="宋体"/>
                <w:b w:val="0"/>
                <w:bCs/>
                <w:kern w:val="0"/>
                <w:szCs w:val="21"/>
                <w:lang w:bidi="ar"/>
              </w:rPr>
            </w:pPr>
            <w:r>
              <w:rPr>
                <w:rStyle w:val="a7"/>
                <w:rFonts w:ascii="Times New Roman" w:eastAsia="宋体" w:hAnsi="Times New Roman" w:cs="Times New Roman"/>
                <w:b w:val="0"/>
                <w:bCs/>
                <w:kern w:val="0"/>
                <w:szCs w:val="21"/>
                <w:lang w:bidi="ar"/>
              </w:rPr>
              <w:t>标准提前明确</w:t>
            </w:r>
          </w:p>
          <w:p w14:paraId="53271F63"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预期表现可见</w:t>
            </w:r>
          </w:p>
        </w:tc>
        <w:tc>
          <w:tcPr>
            <w:tcW w:w="0" w:type="auto"/>
            <w:tcBorders>
              <w:top w:val="nil"/>
              <w:left w:val="nil"/>
              <w:bottom w:val="nil"/>
              <w:right w:val="nil"/>
            </w:tcBorders>
            <w:tcMar>
              <w:top w:w="-1" w:type="dxa"/>
              <w:left w:w="-1" w:type="dxa"/>
              <w:bottom w:w="-1" w:type="dxa"/>
              <w:right w:w="-1" w:type="dxa"/>
            </w:tcMar>
            <w:vAlign w:val="center"/>
          </w:tcPr>
          <w:p w14:paraId="1EEBFA4D"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起点、差距、重点</w:t>
            </w:r>
          </w:p>
        </w:tc>
        <w:tc>
          <w:tcPr>
            <w:tcW w:w="2642" w:type="dxa"/>
            <w:tcBorders>
              <w:top w:val="nil"/>
              <w:left w:val="nil"/>
              <w:bottom w:val="nil"/>
              <w:right w:val="nil"/>
            </w:tcBorders>
            <w:tcMar>
              <w:top w:w="-1" w:type="dxa"/>
              <w:left w:w="-1" w:type="dxa"/>
              <w:bottom w:w="-1" w:type="dxa"/>
              <w:right w:w="-1" w:type="dxa"/>
            </w:tcMar>
            <w:vAlign w:val="center"/>
          </w:tcPr>
          <w:p w14:paraId="5DEE0D93"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能力目标显化，依据学习任务确定重点</w:t>
            </w:r>
          </w:p>
        </w:tc>
      </w:tr>
      <w:tr w:rsidR="000B1CCE" w14:paraId="48B412CD"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58133DE6"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任务驱动</w:t>
            </w:r>
          </w:p>
        </w:tc>
        <w:tc>
          <w:tcPr>
            <w:tcW w:w="1821" w:type="dxa"/>
            <w:tcBorders>
              <w:top w:val="nil"/>
              <w:left w:val="nil"/>
              <w:bottom w:val="nil"/>
              <w:right w:val="nil"/>
            </w:tcBorders>
            <w:tcMar>
              <w:top w:w="-1" w:type="dxa"/>
              <w:left w:w="-1" w:type="dxa"/>
              <w:bottom w:w="-1" w:type="dxa"/>
              <w:right w:w="-1" w:type="dxa"/>
            </w:tcMar>
            <w:vAlign w:val="center"/>
          </w:tcPr>
          <w:p w14:paraId="753A8BC6"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解决什么？</w:t>
            </w:r>
          </w:p>
          <w:p w14:paraId="6211285C"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挑战在哪里？</w:t>
            </w:r>
          </w:p>
        </w:tc>
        <w:tc>
          <w:tcPr>
            <w:tcW w:w="1469" w:type="dxa"/>
            <w:tcBorders>
              <w:top w:val="nil"/>
              <w:left w:val="nil"/>
              <w:bottom w:val="nil"/>
              <w:right w:val="nil"/>
            </w:tcBorders>
            <w:tcMar>
              <w:top w:w="-1" w:type="dxa"/>
              <w:left w:w="-1" w:type="dxa"/>
              <w:bottom w:w="-1" w:type="dxa"/>
              <w:right w:w="-1" w:type="dxa"/>
            </w:tcMar>
            <w:vAlign w:val="center"/>
          </w:tcPr>
          <w:p w14:paraId="47462DCF"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问题、任务、认知冲突可见</w:t>
            </w:r>
          </w:p>
        </w:tc>
        <w:tc>
          <w:tcPr>
            <w:tcW w:w="0" w:type="auto"/>
            <w:tcBorders>
              <w:top w:val="nil"/>
              <w:left w:val="nil"/>
              <w:bottom w:val="nil"/>
              <w:right w:val="nil"/>
            </w:tcBorders>
            <w:tcMar>
              <w:top w:w="-1" w:type="dxa"/>
              <w:left w:w="-1" w:type="dxa"/>
              <w:bottom w:w="-1" w:type="dxa"/>
              <w:right w:w="-1" w:type="dxa"/>
            </w:tcMar>
            <w:vAlign w:val="center"/>
          </w:tcPr>
          <w:p w14:paraId="6A58369D"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进入方式、主要困难</w:t>
            </w:r>
          </w:p>
        </w:tc>
        <w:tc>
          <w:tcPr>
            <w:tcW w:w="2642" w:type="dxa"/>
            <w:tcBorders>
              <w:top w:val="nil"/>
              <w:left w:val="nil"/>
              <w:bottom w:val="nil"/>
              <w:right w:val="nil"/>
            </w:tcBorders>
            <w:tcMar>
              <w:top w:w="-1" w:type="dxa"/>
              <w:left w:w="-1" w:type="dxa"/>
              <w:bottom w:w="-1" w:type="dxa"/>
              <w:right w:w="-1" w:type="dxa"/>
            </w:tcMar>
            <w:vAlign w:val="center"/>
          </w:tcPr>
          <w:p w14:paraId="55340BC3"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分析、评价、责任担当</w:t>
            </w:r>
          </w:p>
        </w:tc>
      </w:tr>
      <w:tr w:rsidR="000B1CCE" w14:paraId="7D157486"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3F422FF1"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探究展学</w:t>
            </w:r>
          </w:p>
        </w:tc>
        <w:tc>
          <w:tcPr>
            <w:tcW w:w="1821" w:type="dxa"/>
            <w:tcBorders>
              <w:top w:val="nil"/>
              <w:left w:val="nil"/>
              <w:bottom w:val="nil"/>
              <w:right w:val="nil"/>
            </w:tcBorders>
            <w:tcMar>
              <w:top w:w="-1" w:type="dxa"/>
              <w:left w:w="-1" w:type="dxa"/>
              <w:bottom w:w="-1" w:type="dxa"/>
              <w:right w:w="-1" w:type="dxa"/>
            </w:tcMar>
            <w:vAlign w:val="center"/>
          </w:tcPr>
          <w:p w14:paraId="693618D9"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怎么想？</w:t>
            </w:r>
          </w:p>
          <w:p w14:paraId="5B64370A"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依据什么？</w:t>
            </w:r>
          </w:p>
        </w:tc>
        <w:tc>
          <w:tcPr>
            <w:tcW w:w="1469" w:type="dxa"/>
            <w:tcBorders>
              <w:top w:val="nil"/>
              <w:left w:val="nil"/>
              <w:bottom w:val="nil"/>
              <w:right w:val="nil"/>
            </w:tcBorders>
            <w:tcMar>
              <w:top w:w="-1" w:type="dxa"/>
              <w:left w:w="-1" w:type="dxa"/>
              <w:bottom w:w="-1" w:type="dxa"/>
              <w:right w:w="-1" w:type="dxa"/>
            </w:tcMar>
            <w:vAlign w:val="center"/>
          </w:tcPr>
          <w:p w14:paraId="2EA05E4A"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思维、观点、证据、合作可见</w:t>
            </w:r>
          </w:p>
        </w:tc>
        <w:tc>
          <w:tcPr>
            <w:tcW w:w="0" w:type="auto"/>
            <w:tcBorders>
              <w:top w:val="nil"/>
              <w:left w:val="nil"/>
              <w:bottom w:val="nil"/>
              <w:right w:val="nil"/>
            </w:tcBorders>
            <w:tcMar>
              <w:top w:w="-1" w:type="dxa"/>
              <w:left w:w="-1" w:type="dxa"/>
              <w:bottom w:w="-1" w:type="dxa"/>
              <w:right w:w="-1" w:type="dxa"/>
            </w:tcMar>
            <w:vAlign w:val="center"/>
          </w:tcPr>
          <w:p w14:paraId="594E06B0"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思维路径、误区、生成</w:t>
            </w:r>
          </w:p>
        </w:tc>
        <w:tc>
          <w:tcPr>
            <w:tcW w:w="2642" w:type="dxa"/>
            <w:tcBorders>
              <w:top w:val="nil"/>
              <w:left w:val="nil"/>
              <w:bottom w:val="nil"/>
              <w:right w:val="nil"/>
            </w:tcBorders>
            <w:tcMar>
              <w:top w:w="-1" w:type="dxa"/>
              <w:left w:w="-1" w:type="dxa"/>
              <w:bottom w:w="-1" w:type="dxa"/>
              <w:right w:w="-1" w:type="dxa"/>
            </w:tcMar>
            <w:vAlign w:val="center"/>
          </w:tcPr>
          <w:p w14:paraId="2163648F"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分析、评价、合作共情、包容创新</w:t>
            </w:r>
          </w:p>
        </w:tc>
      </w:tr>
      <w:tr w:rsidR="000B1CCE" w14:paraId="62B35745"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3B2429D2"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反馈迭代</w:t>
            </w:r>
          </w:p>
        </w:tc>
        <w:tc>
          <w:tcPr>
            <w:tcW w:w="1821" w:type="dxa"/>
            <w:tcBorders>
              <w:top w:val="nil"/>
              <w:left w:val="nil"/>
              <w:bottom w:val="nil"/>
              <w:right w:val="nil"/>
            </w:tcBorders>
            <w:tcMar>
              <w:top w:w="-1" w:type="dxa"/>
              <w:left w:w="-1" w:type="dxa"/>
              <w:bottom w:w="-1" w:type="dxa"/>
              <w:right w:w="-1" w:type="dxa"/>
            </w:tcMar>
            <w:vAlign w:val="center"/>
          </w:tcPr>
          <w:p w14:paraId="756541C4"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差在哪里？</w:t>
            </w:r>
          </w:p>
          <w:p w14:paraId="4898EC4C"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怎样改进？</w:t>
            </w:r>
          </w:p>
        </w:tc>
        <w:tc>
          <w:tcPr>
            <w:tcW w:w="1469" w:type="dxa"/>
            <w:tcBorders>
              <w:top w:val="nil"/>
              <w:left w:val="nil"/>
              <w:bottom w:val="nil"/>
              <w:right w:val="nil"/>
            </w:tcBorders>
            <w:tcMar>
              <w:top w:w="-1" w:type="dxa"/>
              <w:left w:w="-1" w:type="dxa"/>
              <w:bottom w:w="-1" w:type="dxa"/>
              <w:right w:w="-1" w:type="dxa"/>
            </w:tcMar>
            <w:vAlign w:val="center"/>
          </w:tcPr>
          <w:p w14:paraId="2DADEF42"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差距、反馈、修订过程可见</w:t>
            </w:r>
          </w:p>
        </w:tc>
        <w:tc>
          <w:tcPr>
            <w:tcW w:w="0" w:type="auto"/>
            <w:tcBorders>
              <w:top w:val="nil"/>
              <w:left w:val="nil"/>
              <w:bottom w:val="nil"/>
              <w:right w:val="nil"/>
            </w:tcBorders>
            <w:tcMar>
              <w:top w:w="-1" w:type="dxa"/>
              <w:left w:w="-1" w:type="dxa"/>
              <w:bottom w:w="-1" w:type="dxa"/>
              <w:right w:w="-1" w:type="dxa"/>
            </w:tcMar>
            <w:vAlign w:val="center"/>
          </w:tcPr>
          <w:p w14:paraId="04C0940B"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变化、支架、调节</w:t>
            </w:r>
          </w:p>
        </w:tc>
        <w:tc>
          <w:tcPr>
            <w:tcW w:w="2642" w:type="dxa"/>
            <w:tcBorders>
              <w:top w:val="nil"/>
              <w:left w:val="nil"/>
              <w:bottom w:val="nil"/>
              <w:right w:val="nil"/>
            </w:tcBorders>
            <w:tcMar>
              <w:top w:w="-1" w:type="dxa"/>
              <w:left w:w="-1" w:type="dxa"/>
              <w:bottom w:w="-1" w:type="dxa"/>
              <w:right w:w="-1" w:type="dxa"/>
            </w:tcMar>
            <w:vAlign w:val="center"/>
          </w:tcPr>
          <w:p w14:paraId="6AFC0E09"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评价、情绪调节、责任担当</w:t>
            </w:r>
          </w:p>
        </w:tc>
      </w:tr>
      <w:tr w:rsidR="000B1CCE" w14:paraId="3AC77B2B" w14:textId="77777777">
        <w:trPr>
          <w:jc w:val="center"/>
        </w:trPr>
        <w:tc>
          <w:tcPr>
            <w:tcW w:w="976" w:type="dxa"/>
            <w:tcBorders>
              <w:top w:val="nil"/>
              <w:left w:val="nil"/>
              <w:bottom w:val="single" w:sz="12" w:space="0" w:color="000000"/>
              <w:right w:val="nil"/>
            </w:tcBorders>
            <w:tcMar>
              <w:top w:w="-1" w:type="dxa"/>
              <w:left w:w="-1" w:type="dxa"/>
              <w:bottom w:w="-1" w:type="dxa"/>
              <w:right w:w="-1" w:type="dxa"/>
            </w:tcMar>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反思迁移</w:t>
            </w:r>
          </w:p>
        </w:tc>
        <w:tc>
          <w:tcPr>
            <w:tcW w:w="1821" w:type="dxa"/>
            <w:tcBorders>
              <w:top w:val="nil"/>
              <w:left w:val="nil"/>
              <w:bottom w:val="single" w:sz="12" w:space="0" w:color="000000"/>
              <w:right w:val="nil"/>
            </w:tcBorders>
            <w:tcMar>
              <w:top w:w="-1" w:type="dxa"/>
              <w:left w:w="-1" w:type="dxa"/>
              <w:bottom w:w="-1" w:type="dxa"/>
              <w:right w:w="-1" w:type="dxa"/>
            </w:tcMar>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学会了什么？</w:t>
            </w:r>
          </w:p>
          <w:p w14:paraId="5636BF78"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还能怎样用？</w:t>
            </w:r>
          </w:p>
        </w:tc>
        <w:tc>
          <w:tcPr>
            <w:tcW w:w="1469" w:type="dxa"/>
            <w:tcBorders>
              <w:top w:val="nil"/>
              <w:left w:val="nil"/>
              <w:bottom w:val="single" w:sz="12" w:space="0" w:color="000000"/>
              <w:right w:val="nil"/>
            </w:tcBorders>
            <w:tcMar>
              <w:top w:w="-1" w:type="dxa"/>
              <w:left w:w="-1" w:type="dxa"/>
              <w:bottom w:w="-1" w:type="dxa"/>
              <w:right w:w="-1" w:type="dxa"/>
            </w:tcMar>
            <w:vAlign w:val="center"/>
          </w:tcPr>
          <w:p w14:paraId="0D5C434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方法、迁移、能力进步可见</w:t>
            </w:r>
          </w:p>
        </w:tc>
        <w:tc>
          <w:tcPr>
            <w:tcW w:w="1611" w:type="dxa"/>
            <w:tcBorders>
              <w:top w:val="nil"/>
              <w:left w:val="nil"/>
              <w:bottom w:val="single" w:sz="12" w:space="0" w:color="000000"/>
              <w:right w:val="nil"/>
            </w:tcBorders>
            <w:tcMar>
              <w:top w:w="-1" w:type="dxa"/>
              <w:left w:w="-1" w:type="dxa"/>
              <w:bottom w:w="-1" w:type="dxa"/>
              <w:right w:w="-1" w:type="dxa"/>
            </w:tcMar>
            <w:vAlign w:val="center"/>
          </w:tcPr>
          <w:p w14:paraId="278E993F"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迁移水平、能力发展</w:t>
            </w:r>
          </w:p>
        </w:tc>
        <w:tc>
          <w:tcPr>
            <w:tcW w:w="2642" w:type="dxa"/>
            <w:tcBorders>
              <w:top w:val="nil"/>
              <w:left w:val="nil"/>
              <w:bottom w:val="single" w:sz="12" w:space="0" w:color="000000"/>
              <w:right w:val="nil"/>
            </w:tcBorders>
            <w:tcMar>
              <w:top w:w="-1" w:type="dxa"/>
              <w:left w:w="-1" w:type="dxa"/>
              <w:bottom w:w="-1" w:type="dxa"/>
              <w:right w:w="-1" w:type="dxa"/>
            </w:tcMar>
            <w:vAlign w:val="center"/>
          </w:tcPr>
          <w:p w14:paraId="2499C9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创造、包容创新、责任担当</w:t>
            </w:r>
          </w:p>
        </w:tc>
      </w:tr>
    </w:tbl>
    <w:p w14:paraId="11CD06D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3-32  </w:t>
      </w:r>
      <w:r>
        <w:rPr>
          <w:rFonts w:ascii="Times New Roman" w:eastAsia="黑体" w:hAnsi="Times New Roman" w:cs="Times New Roman"/>
        </w:rPr>
        <w:t>五环学习模型与教师循证调节的协同关系</w:t>
      </w:r>
    </w:p>
    <w:tbl>
      <w:tblPr>
        <w:tblW w:w="9845" w:type="dxa"/>
        <w:jc w:val="center"/>
        <w:tblBorders>
          <w:top w:val="single" w:sz="12" w:space="0" w:color="000000"/>
          <w:left w:val="nil"/>
          <w:bottom w:val="single" w:sz="12" w:space="0" w:color="000000"/>
          <w:right w:val="nil"/>
          <w:insideH w:val="nil"/>
          <w:insideV w:val="nil"/>
        </w:tblBorders>
        <w:tblCellMar>
          <w:left w:w="0" w:type="dxa"/>
          <w:right w:w="0" w:type="dxa"/>
        </w:tblCellMar>
        <w:tblLook w:val="04A0" w:firstRow="1" w:lastRow="0" w:firstColumn="1" w:lastColumn="0" w:noHBand="0" w:noVBand="1"/>
      </w:tblPr>
      <w:tblGrid>
        <w:gridCol w:w="1565"/>
        <w:gridCol w:w="2160"/>
        <w:gridCol w:w="1920"/>
        <w:gridCol w:w="2160"/>
        <w:gridCol w:w="2040"/>
      </w:tblGrid>
      <w:tr w:rsidR="000B1CCE" w14:paraId="581A8087" w14:textId="77777777">
        <w:trPr>
          <w:tblHeader/>
          <w:jc w:val="center"/>
        </w:trPr>
        <w:tc>
          <w:tcPr>
            <w:tcW w:w="156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8B9D3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五环学习过程</w:t>
            </w:r>
          </w:p>
        </w:tc>
        <w:tc>
          <w:tcPr>
            <w:tcW w:w="21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41A917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学生学习关键问题</w:t>
            </w:r>
          </w:p>
        </w:tc>
        <w:tc>
          <w:tcPr>
            <w:tcW w:w="19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A4C015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学生学习可见</w:t>
            </w:r>
          </w:p>
        </w:tc>
        <w:tc>
          <w:tcPr>
            <w:tcW w:w="21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DD1E6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教师循证调节</w:t>
            </w:r>
          </w:p>
        </w:tc>
        <w:tc>
          <w:tcPr>
            <w:tcW w:w="20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DE3680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高阶能力指向</w:t>
            </w:r>
          </w:p>
        </w:tc>
      </w:tr>
      <w:tr w:rsidR="000B1CCE" w14:paraId="2C8A4DFA"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0BC191E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目标引领</w:t>
            </w:r>
          </w:p>
        </w:tc>
        <w:tc>
          <w:tcPr>
            <w:tcW w:w="2160" w:type="dxa"/>
            <w:tcBorders>
              <w:top w:val="nil"/>
              <w:left w:val="nil"/>
              <w:bottom w:val="nil"/>
              <w:right w:val="nil"/>
            </w:tcBorders>
            <w:tcMar>
              <w:top w:w="-1" w:type="dxa"/>
              <w:left w:w="-1" w:type="dxa"/>
              <w:bottom w:w="-1" w:type="dxa"/>
              <w:right w:w="-1" w:type="dxa"/>
            </w:tcMar>
            <w:vAlign w:val="center"/>
          </w:tcPr>
          <w:p w14:paraId="1C0678F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学什么？</w:t>
            </w:r>
            <w:r>
              <w:rPr>
                <w:rFonts w:ascii="Times New Roman" w:eastAsia="宋体" w:hAnsi="Times New Roman" w:cs="Times New Roman"/>
              </w:rPr>
              <w:br/>
            </w:r>
            <w:r>
              <w:rPr>
                <w:rFonts w:ascii="Times New Roman" w:eastAsia="宋体" w:hAnsi="Times New Roman" w:cs="Times New Roman"/>
              </w:rPr>
              <w:t>学到什么程度？</w:t>
            </w:r>
          </w:p>
        </w:tc>
        <w:tc>
          <w:tcPr>
            <w:tcW w:w="1920" w:type="dxa"/>
            <w:tcBorders>
              <w:top w:val="nil"/>
              <w:left w:val="nil"/>
              <w:bottom w:val="nil"/>
              <w:right w:val="nil"/>
            </w:tcBorders>
            <w:tcMar>
              <w:top w:w="-1" w:type="dxa"/>
              <w:left w:w="-1" w:type="dxa"/>
              <w:bottom w:w="-1" w:type="dxa"/>
              <w:right w:w="-1" w:type="dxa"/>
            </w:tcMar>
            <w:vAlign w:val="center"/>
          </w:tcPr>
          <w:p w14:paraId="3F5AC0B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目标、标准和预期表现可见</w:t>
            </w:r>
          </w:p>
        </w:tc>
        <w:tc>
          <w:tcPr>
            <w:tcW w:w="2160" w:type="dxa"/>
            <w:tcBorders>
              <w:top w:val="nil"/>
              <w:left w:val="nil"/>
              <w:bottom w:val="nil"/>
              <w:right w:val="nil"/>
            </w:tcBorders>
            <w:tcMar>
              <w:top w:w="-1" w:type="dxa"/>
              <w:left w:w="-1" w:type="dxa"/>
              <w:bottom w:w="-1" w:type="dxa"/>
              <w:right w:w="-1" w:type="dxa"/>
            </w:tcMar>
            <w:vAlign w:val="center"/>
          </w:tcPr>
          <w:p w14:paraId="179F2BE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诊断学习起点，识别差距与能力重点</w:t>
            </w:r>
          </w:p>
        </w:tc>
        <w:tc>
          <w:tcPr>
            <w:tcW w:w="2040" w:type="dxa"/>
            <w:tcBorders>
              <w:top w:val="nil"/>
              <w:left w:val="nil"/>
              <w:bottom w:val="nil"/>
              <w:right w:val="nil"/>
            </w:tcBorders>
            <w:tcMar>
              <w:top w:w="-1" w:type="dxa"/>
              <w:left w:w="-1" w:type="dxa"/>
              <w:bottom w:w="-1" w:type="dxa"/>
              <w:right w:w="-1" w:type="dxa"/>
            </w:tcMar>
            <w:vAlign w:val="center"/>
          </w:tcPr>
          <w:p w14:paraId="506422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明确重点能力目标</w:t>
            </w:r>
          </w:p>
        </w:tc>
      </w:tr>
      <w:tr w:rsidR="000B1CCE" w14:paraId="74029315"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50DE2C2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任务驱动</w:t>
            </w:r>
          </w:p>
        </w:tc>
        <w:tc>
          <w:tcPr>
            <w:tcW w:w="2160" w:type="dxa"/>
            <w:tcBorders>
              <w:top w:val="nil"/>
              <w:left w:val="nil"/>
              <w:bottom w:val="nil"/>
              <w:right w:val="nil"/>
            </w:tcBorders>
            <w:tcMar>
              <w:top w:w="-1" w:type="dxa"/>
              <w:left w:w="-1" w:type="dxa"/>
              <w:bottom w:w="-1" w:type="dxa"/>
              <w:right w:w="-1" w:type="dxa"/>
            </w:tcMar>
            <w:vAlign w:val="center"/>
          </w:tcPr>
          <w:p w14:paraId="76501D0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解决什么？</w:t>
            </w:r>
            <w:r>
              <w:rPr>
                <w:rFonts w:ascii="Times New Roman" w:eastAsia="宋体" w:hAnsi="Times New Roman" w:cs="Times New Roman"/>
              </w:rPr>
              <w:br/>
            </w:r>
            <w:r>
              <w:rPr>
                <w:rFonts w:ascii="Times New Roman" w:eastAsia="宋体" w:hAnsi="Times New Roman" w:cs="Times New Roman"/>
              </w:rPr>
              <w:t>挑战在哪里？</w:t>
            </w:r>
          </w:p>
        </w:tc>
        <w:tc>
          <w:tcPr>
            <w:tcW w:w="1920" w:type="dxa"/>
            <w:tcBorders>
              <w:top w:val="nil"/>
              <w:left w:val="nil"/>
              <w:bottom w:val="nil"/>
              <w:right w:val="nil"/>
            </w:tcBorders>
            <w:tcMar>
              <w:top w:w="-1" w:type="dxa"/>
              <w:left w:w="-1" w:type="dxa"/>
              <w:bottom w:w="-1" w:type="dxa"/>
              <w:right w:w="-1" w:type="dxa"/>
            </w:tcMar>
            <w:vAlign w:val="center"/>
          </w:tcPr>
          <w:p w14:paraId="7A762E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问题、任务和认知冲突可见</w:t>
            </w:r>
          </w:p>
        </w:tc>
        <w:tc>
          <w:tcPr>
            <w:tcW w:w="2160" w:type="dxa"/>
            <w:tcBorders>
              <w:top w:val="nil"/>
              <w:left w:val="nil"/>
              <w:bottom w:val="nil"/>
              <w:right w:val="nil"/>
            </w:tcBorders>
            <w:tcMar>
              <w:top w:w="-1" w:type="dxa"/>
              <w:left w:w="-1" w:type="dxa"/>
              <w:bottom w:w="-1" w:type="dxa"/>
              <w:right w:w="-1" w:type="dxa"/>
            </w:tcMar>
            <w:vAlign w:val="center"/>
          </w:tcPr>
          <w:p w14:paraId="22E8441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根据差异调整任务、支架和进入方式</w:t>
            </w:r>
          </w:p>
        </w:tc>
        <w:tc>
          <w:tcPr>
            <w:tcW w:w="2040" w:type="dxa"/>
            <w:tcBorders>
              <w:top w:val="nil"/>
              <w:left w:val="nil"/>
              <w:bottom w:val="nil"/>
              <w:right w:val="nil"/>
            </w:tcBorders>
            <w:tcMar>
              <w:top w:w="-1" w:type="dxa"/>
              <w:left w:w="-1" w:type="dxa"/>
              <w:bottom w:w="-1" w:type="dxa"/>
              <w:right w:w="-1" w:type="dxa"/>
            </w:tcMar>
            <w:vAlign w:val="center"/>
          </w:tcPr>
          <w:p w14:paraId="4388D93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分析、评价、责任担当</w:t>
            </w:r>
          </w:p>
        </w:tc>
      </w:tr>
      <w:tr w:rsidR="000B1CCE" w14:paraId="550636DD"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21D186F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探究展学</w:t>
            </w:r>
          </w:p>
        </w:tc>
        <w:tc>
          <w:tcPr>
            <w:tcW w:w="2160" w:type="dxa"/>
            <w:tcBorders>
              <w:top w:val="nil"/>
              <w:left w:val="nil"/>
              <w:bottom w:val="nil"/>
              <w:right w:val="nil"/>
            </w:tcBorders>
            <w:tcMar>
              <w:top w:w="-1" w:type="dxa"/>
              <w:left w:w="-1" w:type="dxa"/>
              <w:bottom w:w="-1" w:type="dxa"/>
              <w:right w:w="-1" w:type="dxa"/>
            </w:tcMar>
            <w:vAlign w:val="center"/>
          </w:tcPr>
          <w:p w14:paraId="7E3463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怎么想？</w:t>
            </w:r>
            <w:r>
              <w:rPr>
                <w:rFonts w:ascii="Times New Roman" w:eastAsia="宋体" w:hAnsi="Times New Roman" w:cs="Times New Roman"/>
              </w:rPr>
              <w:br/>
            </w:r>
            <w:r>
              <w:rPr>
                <w:rFonts w:ascii="Times New Roman" w:eastAsia="宋体" w:hAnsi="Times New Roman" w:cs="Times New Roman"/>
              </w:rPr>
              <w:t>依据什么？</w:t>
            </w:r>
          </w:p>
        </w:tc>
        <w:tc>
          <w:tcPr>
            <w:tcW w:w="1920" w:type="dxa"/>
            <w:tcBorders>
              <w:top w:val="nil"/>
              <w:left w:val="nil"/>
              <w:bottom w:val="nil"/>
              <w:right w:val="nil"/>
            </w:tcBorders>
            <w:tcMar>
              <w:top w:w="-1" w:type="dxa"/>
              <w:left w:w="-1" w:type="dxa"/>
              <w:bottom w:w="-1" w:type="dxa"/>
              <w:right w:w="-1" w:type="dxa"/>
            </w:tcMar>
            <w:vAlign w:val="center"/>
          </w:tcPr>
          <w:p w14:paraId="3ACEFD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思维、观点、证据和合作过程可见</w:t>
            </w:r>
          </w:p>
        </w:tc>
        <w:tc>
          <w:tcPr>
            <w:tcW w:w="2160" w:type="dxa"/>
            <w:tcBorders>
              <w:top w:val="nil"/>
              <w:left w:val="nil"/>
              <w:bottom w:val="nil"/>
              <w:right w:val="nil"/>
            </w:tcBorders>
            <w:tcMar>
              <w:top w:w="-1" w:type="dxa"/>
              <w:left w:w="-1" w:type="dxa"/>
              <w:bottom w:w="-1" w:type="dxa"/>
              <w:right w:w="-1" w:type="dxa"/>
            </w:tcMar>
            <w:vAlign w:val="center"/>
          </w:tcPr>
          <w:p w14:paraId="31E05D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通过追问、点拨和资源支持动态调节</w:t>
            </w:r>
          </w:p>
        </w:tc>
        <w:tc>
          <w:tcPr>
            <w:tcW w:w="2040" w:type="dxa"/>
            <w:tcBorders>
              <w:top w:val="nil"/>
              <w:left w:val="nil"/>
              <w:bottom w:val="nil"/>
              <w:right w:val="nil"/>
            </w:tcBorders>
            <w:tcMar>
              <w:top w:w="-1" w:type="dxa"/>
              <w:left w:w="-1" w:type="dxa"/>
              <w:bottom w:w="-1" w:type="dxa"/>
              <w:right w:w="-1" w:type="dxa"/>
            </w:tcMar>
            <w:vAlign w:val="center"/>
          </w:tcPr>
          <w:p w14:paraId="077CAD0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分析、评价、合作共情、包容创新</w:t>
            </w:r>
          </w:p>
        </w:tc>
      </w:tr>
      <w:tr w:rsidR="000B1CCE" w14:paraId="7D35BF64"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6A738FE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反馈迭代</w:t>
            </w:r>
          </w:p>
        </w:tc>
        <w:tc>
          <w:tcPr>
            <w:tcW w:w="2160" w:type="dxa"/>
            <w:tcBorders>
              <w:top w:val="nil"/>
              <w:left w:val="nil"/>
              <w:bottom w:val="nil"/>
              <w:right w:val="nil"/>
            </w:tcBorders>
            <w:tcMar>
              <w:top w:w="-1" w:type="dxa"/>
              <w:left w:w="-1" w:type="dxa"/>
              <w:bottom w:w="-1" w:type="dxa"/>
              <w:right w:w="-1" w:type="dxa"/>
            </w:tcMar>
            <w:vAlign w:val="center"/>
          </w:tcPr>
          <w:p w14:paraId="6E64860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差在哪里？</w:t>
            </w:r>
            <w:r>
              <w:rPr>
                <w:rFonts w:ascii="Times New Roman" w:eastAsia="宋体" w:hAnsi="Times New Roman" w:cs="Times New Roman"/>
              </w:rPr>
              <w:br/>
            </w:r>
            <w:r>
              <w:rPr>
                <w:rFonts w:ascii="Times New Roman" w:eastAsia="宋体" w:hAnsi="Times New Roman" w:cs="Times New Roman"/>
              </w:rPr>
              <w:t>怎样改进？</w:t>
            </w:r>
          </w:p>
        </w:tc>
        <w:tc>
          <w:tcPr>
            <w:tcW w:w="1920" w:type="dxa"/>
            <w:tcBorders>
              <w:top w:val="nil"/>
              <w:left w:val="nil"/>
              <w:bottom w:val="nil"/>
              <w:right w:val="nil"/>
            </w:tcBorders>
            <w:tcMar>
              <w:top w:w="-1" w:type="dxa"/>
              <w:left w:w="-1" w:type="dxa"/>
              <w:bottom w:w="-1" w:type="dxa"/>
              <w:right w:w="-1" w:type="dxa"/>
            </w:tcMar>
            <w:vAlign w:val="center"/>
          </w:tcPr>
          <w:p w14:paraId="2176B7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差距、反馈和修订过程可见</w:t>
            </w:r>
          </w:p>
        </w:tc>
        <w:tc>
          <w:tcPr>
            <w:tcW w:w="2160" w:type="dxa"/>
            <w:tcBorders>
              <w:top w:val="nil"/>
              <w:left w:val="nil"/>
              <w:bottom w:val="nil"/>
              <w:right w:val="nil"/>
            </w:tcBorders>
            <w:tcMar>
              <w:top w:w="-1" w:type="dxa"/>
              <w:left w:w="-1" w:type="dxa"/>
              <w:bottom w:w="-1" w:type="dxa"/>
              <w:right w:w="-1" w:type="dxa"/>
            </w:tcMar>
            <w:vAlign w:val="center"/>
          </w:tcPr>
          <w:p w14:paraId="625A29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判断学习变化，调整反馈与支架</w:t>
            </w:r>
          </w:p>
        </w:tc>
        <w:tc>
          <w:tcPr>
            <w:tcW w:w="2040" w:type="dxa"/>
            <w:tcBorders>
              <w:top w:val="nil"/>
              <w:left w:val="nil"/>
              <w:bottom w:val="nil"/>
              <w:right w:val="nil"/>
            </w:tcBorders>
            <w:tcMar>
              <w:top w:w="-1" w:type="dxa"/>
              <w:left w:w="-1" w:type="dxa"/>
              <w:bottom w:w="-1" w:type="dxa"/>
              <w:right w:w="-1" w:type="dxa"/>
            </w:tcMar>
            <w:vAlign w:val="center"/>
          </w:tcPr>
          <w:p w14:paraId="37F2EB3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评价、情绪调节、责任担当</w:t>
            </w:r>
          </w:p>
        </w:tc>
      </w:tr>
      <w:tr w:rsidR="000B1CCE" w14:paraId="435BC8A4" w14:textId="77777777">
        <w:trPr>
          <w:jc w:val="center"/>
        </w:trPr>
        <w:tc>
          <w:tcPr>
            <w:tcW w:w="1565" w:type="dxa"/>
            <w:tcBorders>
              <w:top w:val="nil"/>
              <w:left w:val="nil"/>
              <w:bottom w:val="single" w:sz="12" w:space="0" w:color="000000"/>
              <w:right w:val="nil"/>
            </w:tcBorders>
            <w:tcMar>
              <w:top w:w="-1" w:type="dxa"/>
              <w:left w:w="-1" w:type="dxa"/>
              <w:bottom w:w="-1" w:type="dxa"/>
              <w:right w:w="-1" w:type="dxa"/>
            </w:tcMar>
            <w:vAlign w:val="center"/>
          </w:tcPr>
          <w:p w14:paraId="11FC648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反思迁移</w:t>
            </w:r>
          </w:p>
        </w:tc>
        <w:tc>
          <w:tcPr>
            <w:tcW w:w="2160" w:type="dxa"/>
            <w:tcBorders>
              <w:top w:val="nil"/>
              <w:left w:val="nil"/>
              <w:bottom w:val="single" w:sz="12" w:space="0" w:color="000000"/>
              <w:right w:val="nil"/>
            </w:tcBorders>
            <w:tcMar>
              <w:top w:w="-1" w:type="dxa"/>
              <w:left w:w="-1" w:type="dxa"/>
              <w:bottom w:w="-1" w:type="dxa"/>
              <w:right w:w="-1" w:type="dxa"/>
            </w:tcMar>
            <w:vAlign w:val="center"/>
          </w:tcPr>
          <w:p w14:paraId="1AAA4D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学会了什么？</w:t>
            </w:r>
            <w:r>
              <w:rPr>
                <w:rFonts w:ascii="Times New Roman" w:eastAsia="宋体" w:hAnsi="Times New Roman" w:cs="Times New Roman"/>
              </w:rPr>
              <w:br/>
            </w:r>
            <w:r>
              <w:rPr>
                <w:rFonts w:ascii="Times New Roman" w:eastAsia="宋体" w:hAnsi="Times New Roman" w:cs="Times New Roman"/>
              </w:rPr>
              <w:t>还能怎样用？</w:t>
            </w:r>
          </w:p>
        </w:tc>
        <w:tc>
          <w:tcPr>
            <w:tcW w:w="1920" w:type="dxa"/>
            <w:tcBorders>
              <w:top w:val="nil"/>
              <w:left w:val="nil"/>
              <w:bottom w:val="single" w:sz="12" w:space="0" w:color="000000"/>
              <w:right w:val="nil"/>
            </w:tcBorders>
            <w:tcMar>
              <w:top w:w="-1" w:type="dxa"/>
              <w:left w:w="-1" w:type="dxa"/>
              <w:bottom w:w="-1" w:type="dxa"/>
              <w:right w:w="-1" w:type="dxa"/>
            </w:tcMar>
            <w:vAlign w:val="center"/>
          </w:tcPr>
          <w:p w14:paraId="1268AD5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方法、迁移和能力进步可见</w:t>
            </w:r>
          </w:p>
        </w:tc>
        <w:tc>
          <w:tcPr>
            <w:tcW w:w="2160" w:type="dxa"/>
            <w:tcBorders>
              <w:top w:val="nil"/>
              <w:left w:val="nil"/>
              <w:bottom w:val="single" w:sz="12" w:space="0" w:color="000000"/>
              <w:right w:val="nil"/>
            </w:tcBorders>
            <w:tcMar>
              <w:top w:w="-1" w:type="dxa"/>
              <w:left w:w="-1" w:type="dxa"/>
              <w:bottom w:w="-1" w:type="dxa"/>
              <w:right w:w="-1" w:type="dxa"/>
            </w:tcMar>
            <w:vAlign w:val="center"/>
          </w:tcPr>
          <w:p w14:paraId="54CE56D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评估迁移表现，判断能力发展</w:t>
            </w:r>
          </w:p>
        </w:tc>
        <w:tc>
          <w:tcPr>
            <w:tcW w:w="2040" w:type="dxa"/>
            <w:tcBorders>
              <w:top w:val="nil"/>
              <w:left w:val="nil"/>
              <w:bottom w:val="single" w:sz="12" w:space="0" w:color="000000"/>
              <w:right w:val="nil"/>
            </w:tcBorders>
            <w:tcMar>
              <w:top w:w="-1" w:type="dxa"/>
              <w:left w:w="-1" w:type="dxa"/>
              <w:bottom w:w="-1" w:type="dxa"/>
              <w:right w:w="-1" w:type="dxa"/>
            </w:tcMar>
            <w:vAlign w:val="center"/>
          </w:tcPr>
          <w:p w14:paraId="0AE6627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创造、包容创新、责任担当</w:t>
            </w:r>
          </w:p>
        </w:tc>
      </w:tr>
    </w:tbl>
    <w:p w14:paraId="332D26E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3-32</w:t>
      </w:r>
      <w:r>
        <w:rPr>
          <w:rFonts w:ascii="Times New Roman" w:eastAsia="黑体" w:hAnsi="Times New Roman" w:cs="Times New Roman"/>
        </w:rPr>
        <w:t>从实践角度说明，学生学习推进到不同状态时，教师需要关注的证据以及相应的判断和调节。其核心仍然是让学生真实学习成为教师改进教学的依据。</w:t>
      </w:r>
    </w:p>
    <w:p w14:paraId="66393D6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学科课堂中的五环实践</w:t>
      </w:r>
    </w:p>
    <w:p w14:paraId="3CF5BD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是学校高阶能力培育最稳定、最普遍的场域。我们在实践中逐步形成一个基本认识，高阶能力不能脱离学科知识单独训练，也不能靠增加几个开放题、讨论活动自然生成。真正有效的做法，是把高阶能力要求嵌入日常教学，使学生在理解、运用和重构学科知识的过程中完成分析、判断、论证和迁移。基于这一认识，五环在学科课堂中的实施重点，是改变学习发生的质量。教师循证调节则嵌入五环全过程，依据学生学习证据不断调整目标、任务、支架和反馈。</w:t>
      </w:r>
    </w:p>
    <w:p w14:paraId="3A703DE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）以能力目标引领学习进阶</w:t>
      </w:r>
    </w:p>
    <w:p w14:paraId="7F04DD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目标引领首先解决课堂往哪里走的问题。实践中，我们要求教师把课程标准</w:t>
      </w:r>
      <w:r>
        <w:rPr>
          <w:rFonts w:ascii="Times New Roman" w:eastAsia="宋体" w:hAnsi="Times New Roman" w:cs="Times New Roman"/>
          <w:sz w:val="24"/>
        </w:rPr>
        <w:lastRenderedPageBreak/>
        <w:t>中的素养要求、单元目标和本课内容联系起来，明确本节课希望学生形成的高阶学习表现。与一般知识目标相比，这类目标更强调学生能够做什么，能否比较不同解法，能否依据文本证据评价观点，能否从多因素关系解释现象，能否基于实验数据修正判断。</w:t>
      </w:r>
    </w:p>
    <w:p w14:paraId="78A042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此同时，目标必须转化为学生可理解的成功标准。只有学生知道什么样的回答、论证或作品才算高质量，目标才真正进入学习过程。教师则通过预习单、前置任务、课堂初始表达等资料判断学生起点，使目标既对学生可见，也成为教师调整教学的依据。</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2980F560"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71AF3C2"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案例片段｜语文《拿来主义》第二课时，从读懂观点到依据证据形成判断</w:t>
            </w:r>
          </w:p>
          <w:p w14:paraId="20063737"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胡志禹老师的课例在课前即以预习任务和学习表现了解学生起点，并把观点、证据与解释的一致性作为课堂高阶学习的成功标准。学生在理解鲁迅观点的基础上，需要说明依据、回应质疑，并根据新的证据修订判断。目标由知识理解转化为可观察的论证表现，也成为教师后续诊断、追问和反馈的依据。</w:t>
            </w:r>
          </w:p>
        </w:tc>
      </w:tr>
    </w:tbl>
    <w:p w14:paraId="535226C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）以进阶任务驱动高阶学习</w:t>
      </w:r>
    </w:p>
    <w:p w14:paraId="11A6CE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高阶能力只有在解决具有一定复杂度的问题时才会被真正调用。</w:t>
      </w:r>
      <w:r>
        <w:rPr>
          <w:rFonts w:ascii="Times New Roman" w:eastAsia="宋体" w:hAnsi="Times New Roman" w:cs="Times New Roman"/>
          <w:b/>
          <w:sz w:val="24"/>
        </w:rPr>
        <w:t>因此，任务驱动是把能力目标转化为必须经过思考才能完成的学习任务。</w:t>
      </w:r>
      <w:r>
        <w:rPr>
          <w:rFonts w:ascii="Times New Roman" w:eastAsia="宋体" w:hAnsi="Times New Roman" w:cs="Times New Roman"/>
          <w:sz w:val="24"/>
        </w:rPr>
        <w:t>我们强调任务之间应当有内在联系和认知递进，使学生从识别、理解逐步走向比较、判断、论证和迁移。对于内容较复杂的单元，可以形成若干相互关联的任务序列，但任务群只是任务驱动的组织方式，不构成独立于五环之外的另一套模式。</w:t>
      </w:r>
    </w:p>
    <w:p w14:paraId="47558A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重要的是，任务本身也是诊断工具。学生如何理解任务、先从哪里入手、在哪一步卡住、采取了什么策略，都会暴露其当前认知状态。教师据此决定是否增加材料、调整问题、提供支架。这样，任务既驱动学习，也把学生面对问题时的思维方式显现出来。</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44F7820D"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79C8A21"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案例片段｜物理《质量的测量》第二课时，校园网球质检员的任务链</w:t>
            </w:r>
          </w:p>
          <w:p w14:paraId="0B6BE331"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肖岩老师把原来按步骤使用托盘天平的教学，重构为以校园网球质检员为角色的真实任务。学生依次经历器材认识与调平、实验方案设计、网球质量测量和质检报告撰写。在方案设计环节，学生自主选择器材、确定步骤、设计记录表，并在小组互审后修改方案。任务要求由会操作逐步提高到会设计、会论证、会质检，学生留下观察记录单、实验方案表、数据记录和质检报告等过程证据。</w:t>
            </w:r>
          </w:p>
        </w:tc>
      </w:tr>
    </w:tbl>
    <w:p w14:paraId="66450FD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）在探究展学中促进思维外显</w:t>
      </w:r>
    </w:p>
    <w:p w14:paraId="027E03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如果学生只呈现最后答案，教师很难判断其高阶思维是否真正发生。</w:t>
      </w:r>
      <w:r>
        <w:rPr>
          <w:rFonts w:ascii="Times New Roman" w:eastAsia="宋体" w:hAnsi="Times New Roman" w:cs="Times New Roman"/>
          <w:b/>
          <w:sz w:val="24"/>
        </w:rPr>
        <w:t>因此，探究展学的核心是让思维过程进入课堂。</w:t>
      </w:r>
      <w:r>
        <w:rPr>
          <w:rFonts w:ascii="Times New Roman" w:eastAsia="宋体" w:hAnsi="Times New Roman" w:cs="Times New Roman"/>
          <w:sz w:val="24"/>
        </w:rPr>
        <w:t>学生需要说明自己怎样分析材料、为什么选择某个方案、依据什么得出结论、怎样看待同伴的不同观点。教师则通过追问、比较和组织交流，把分散的个体思考转化为全班可以共同检视的学习资源。</w:t>
      </w:r>
    </w:p>
    <w:p w14:paraId="376A4E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这一环节，错误和分歧是高阶学习的重要入口。学生之间的不同解释、同一问题的多种路径、证据与结论之间的不一致，都为分析、批判和重构提供了条件。我们特别关注学生是否能够从表达答案走向解释理由，从坚持观点走向回应证据，从完成分工走向共同建构。</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56EFA903"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44DB590"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案例片段｜物理《光的折射》，从实验数据到共同建构</w:t>
            </w:r>
          </w:p>
          <w:p w14:paraId="343B0305"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姜惠轶老师组织学生以小组实验获得多路径数据，并把异常数据和不同解释带入全班讨论。学生在报告实验结果的同时说明数据如何支持结论，投屏答辩和同伴纠错使各小组的判断能够相互质询和修正。课堂由做实验、报结论转向用数据解释、在质疑中共同归纳并修正模型，为协同探究和证据论证留下了清晰过程。</w:t>
            </w:r>
          </w:p>
        </w:tc>
      </w:tr>
    </w:tbl>
    <w:p w14:paraId="4333BBE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）以学习证据推动反馈迭代</w:t>
      </w:r>
    </w:p>
    <w:p w14:paraId="32BC17EF"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反馈迭代是五环中最能体现可见的学习价值的环节。</w:t>
      </w:r>
      <w:r>
        <w:rPr>
          <w:rFonts w:ascii="Times New Roman" w:eastAsia="宋体" w:hAnsi="Times New Roman" w:cs="Times New Roman"/>
          <w:sz w:val="24"/>
        </w:rPr>
        <w:t>评价根据学生已经呈现的学习证据，及时告诉学生与目标之间还存在什么差距，并推动下一步行动。高质量反馈应当指向思维和策略。</w:t>
      </w:r>
    </w:p>
    <w:p w14:paraId="74EEFA3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我们尤其重视二次学习的发生。第一次回答、第一次方案、第一次作品都只是起点，只有在反馈后出现再次表达、再次论证、再次设计，才能看见学生是否真正利用反馈改进学习。教师也由此从评价结果转向判断影响，自己的提问、支架和反馈是否真正促成了学生变化。</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05CA18C6"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F015038"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案例片段｜英语写作，从有条理到有新意的三级反馈</w:t>
            </w:r>
          </w:p>
          <w:p w14:paraId="406F3827"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李静老师以</w:t>
            </w:r>
            <w:r>
              <w:rPr>
                <w:rFonts w:ascii="Times New Roman" w:eastAsia="华文楷体" w:hAnsi="Times New Roman" w:cs="Times New Roman"/>
              </w:rPr>
              <w:t>2026</w:t>
            </w:r>
            <w:r>
              <w:rPr>
                <w:rFonts w:ascii="Times New Roman" w:eastAsia="华文楷体" w:hAnsi="Times New Roman" w:cs="Times New Roman"/>
              </w:rPr>
              <w:t>年上海中考英语作文为载体，把评价标准前置，并在过程性作品基础上实施教师、同伴和自我三级反馈。学生围绕外国友人</w:t>
            </w:r>
            <w:r>
              <w:rPr>
                <w:rFonts w:ascii="Times New Roman" w:eastAsia="华文楷体" w:hAnsi="Times New Roman" w:cs="Times New Roman"/>
              </w:rPr>
              <w:t>Jim</w:t>
            </w:r>
            <w:r>
              <w:rPr>
                <w:rFonts w:ascii="Times New Roman" w:eastAsia="华文楷体" w:hAnsi="Times New Roman" w:cs="Times New Roman"/>
              </w:rPr>
              <w:t>的开放性问题形成观点、提出建议并说明理由，检查的重点是论证链是否完整、理由是否充分、建议是否具体可行。反馈后学生再次修改作品，思维漏洞、修改依据和表达进阶都有迹可循。</w:t>
            </w:r>
          </w:p>
        </w:tc>
      </w:tr>
    </w:tbl>
    <w:p w14:paraId="352506E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）在反思迁移中促进能力进阶</w:t>
      </w:r>
    </w:p>
    <w:p w14:paraId="68875E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能力的形成需要跨越多节课的持续积累。高阶能力真正稳定，需要学生能够</w:t>
      </w:r>
      <w:r>
        <w:rPr>
          <w:rFonts w:ascii="Times New Roman" w:eastAsia="宋体" w:hAnsi="Times New Roman" w:cs="Times New Roman"/>
          <w:sz w:val="24"/>
        </w:rPr>
        <w:lastRenderedPageBreak/>
        <w:t>从具体任务中提炼方法，并在新的情境中再次使用。反思迁移因此要帮助学生回答，我这次用了什么方法？它为什么有效？适用条件是什么？换一个问题后，哪些部分可以迁移，哪些需要调整？</w:t>
      </w:r>
    </w:p>
    <w:p w14:paraId="2C50B5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当学生能够把这道题怎么做上升为这一类问题怎样判断，把这篇文章怎么分析上升为如何依据证据评价观点，学习才开始从知识掌握转向能力形成。教师通过变式任务、新情境问题、跨单元应用等方式检验迁移水平，并据此判断高阶能力是否真正获得了进阶。</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6B180D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2F530406"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案例片段｜语文物件类具象化写作，从课堂方法到家庭旧物</w:t>
            </w:r>
          </w:p>
          <w:p w14:paraId="1ECE2D6D"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王尤迪老师把概念性名词、具象化特写、场景铺陈、人事相融和寄寓情思设计为学生可见的写作进阶路径。课堂完成分层写作和量表反馈后，学生回到家庭情境，选择旧蒲扇、木梳、铁皮盒等老物件完成新的写作片段，并依据同一量表再次修改。迁移的关键在于学生能否把课堂形成的具象化方法独立用于陌生物件和新的情感表达。</w:t>
            </w:r>
          </w:p>
        </w:tc>
      </w:tr>
    </w:tbl>
    <w:p w14:paraId="42A9AF6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科创项目中的五环实践</w:t>
      </w:r>
    </w:p>
    <w:p w14:paraId="02BB95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教育为高阶能力提供了另一种重要的发生条件。与学科课堂相比，科创项目的问题更真实，解决路径更开放，学习周期更长，学生往往需要跨越知识边界，在不确定条件下持续作出选择和调整。正因如此，我们没有把科创教育理解为作品制作或竞赛训练，而把它作为观察学生问题解决、设计判断、证据运用和创新迁移的重要场域。教师仍以循证调节贯穿项目全过程，根据项目证据动态提供任务支架、资源支持和反馈。</w:t>
      </w:r>
    </w:p>
    <w:p w14:paraId="7170C14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）以真实问题确立项目育人目标</w:t>
      </w:r>
    </w:p>
    <w:p w14:paraId="0DB4C9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项目首先需要解决为什么做的问题。实践中，我们要求项目目标同时包含成果目标和育人目标。成果目标回答最终要解决什么真实问题、形成什么作品或方案；育人目标则明确学生在项目过程中需要发展的问题分析、方案设计、证据判断、合作建构和创新迁移等能力。只有二者同时清楚，项目才不会滑向做出来就算成功。</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A9647E7"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6BB13611"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案例片段｜机械臂路径规划，让工程判断可见</w:t>
            </w:r>
          </w:p>
          <w:p w14:paraId="08742403"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梁芳老师把工业机械臂分拣任务校本化为智慧校园垃圾分类分拣项目，并在项目开始时前置评价标尺。项目要求机械臂完成路径运行，同时要求学生说明路径设计依据，</w:t>
            </w:r>
            <w:r>
              <w:rPr>
                <w:rFonts w:ascii="Times New Roman" w:eastAsia="华文楷体" w:hAnsi="Times New Roman" w:cs="Times New Roman"/>
              </w:rPr>
              <w:lastRenderedPageBreak/>
              <w:t>记录耗时与碰撞、越界情况，解释故障原因并完成改进。成果目标与能力目标同步呈现，项目的重心由做出作品转向用证据作出工程判断。</w:t>
            </w:r>
          </w:p>
        </w:tc>
      </w:tr>
    </w:tbl>
    <w:p w14:paraId="2251475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）以项目任务驱动问题解决</w:t>
      </w:r>
    </w:p>
    <w:p w14:paraId="232A36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项目中的任务是围绕真实问题逐步展开的解决过程。学生通常需要经历调查问题、收集资料、提出方案、设计原型、实验测试、优化改进等阶段。教师的作用，是把复杂问题转化为学生能够进入的阶段性任务，同时保留足够开放空间，让学生在不同路径之间作出选择。</w:t>
      </w:r>
    </w:p>
    <w:p w14:paraId="25706C8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这里，任务链既承担项目推进功能，也承担过程记录功能。每一个阶段都应留下可供判断的证据，问题清单、调查记录、设计草图、方案比较、测试数据、版本变化。教师据此看到学生问题解决过程中的真实困难，学生也能够看到项目从初始设想到最终成果是怎样一步步形成的。</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1D72BE6"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650035C2"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案例片段｜机械臂路径规划，任务链与证据链同步推进</w:t>
            </w:r>
          </w:p>
          <w:p w14:paraId="541B2E97"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该项目依次留下路径草图、双方案设计、实测数据、故障排查记录和项目成果。学生需要提出至少两套路径方案，实测并记录耗时、碰撞、越界等信息，再据此比较权衡。任务推进的每一步同时形成证据，教师据此判断学生停留在机械操作，还是已经进入工程分析与方案决策。</w:t>
            </w:r>
          </w:p>
        </w:tc>
      </w:tr>
    </w:tbl>
    <w:p w14:paraId="26BBF69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）在设计与实验中深化探究</w:t>
      </w:r>
    </w:p>
    <w:p w14:paraId="13F0B9A2"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科创学习的高阶性，往往体现在学生能否把想法变成可验证的方案。</w:t>
      </w:r>
      <w:r>
        <w:rPr>
          <w:rFonts w:ascii="Times New Roman" w:eastAsia="宋体" w:hAnsi="Times New Roman" w:cs="Times New Roman"/>
          <w:sz w:val="24"/>
        </w:rPr>
        <w:t>设计草图、实验假设、参数选择、原型测试、阶段答辩，都是学生把思考外显出来的方式。教师不替学生直接决定哪个方案最好，而通过追问为什么这样设计、依据什么判断、如果条件变化会怎样，促使学生把直觉转化为可讨论、可检验的理由。</w:t>
      </w:r>
    </w:p>
    <w:p w14:paraId="150E32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过程中，学生的失败记录具有特别价值。原型不能运行、测试数据不稳定、方案出现冲突，为学生重新分析问题提供了机会。只要学生能够解释失败原因、提出新的验证办法并调整方案，这些过程本身就是问题解决能力和工程思维发展的证据。</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40B15FB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5CA4D667"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案例片段｜机械臂路径规划，从现象到修复的故障探究</w:t>
            </w:r>
          </w:p>
          <w:p w14:paraId="3AC207C8"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面对机械臂运行中的异常，学生使用故障排查单记录具体现象，提出可能原因，再通过调整参数、检查结构和重新运行进行验证。班级进一步把典型故障及修复方式汇入</w:t>
            </w:r>
            <w:r>
              <w:rPr>
                <w:rFonts w:ascii="Times New Roman" w:eastAsia="华文楷体" w:hAnsi="Times New Roman" w:cs="Times New Roman"/>
              </w:rPr>
              <w:lastRenderedPageBreak/>
              <w:t>资源库。失败由此成为学生提出解释、验证假设和积累工程经验的学习资源。</w:t>
            </w:r>
          </w:p>
        </w:tc>
      </w:tr>
    </w:tbl>
    <w:p w14:paraId="6FB2DE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4</w:t>
      </w:r>
      <w:r>
        <w:rPr>
          <w:rFonts w:ascii="Times New Roman" w:eastAsia="宋体" w:hAnsi="Times New Roman" w:cs="Times New Roman"/>
          <w:b/>
          <w:sz w:val="24"/>
        </w:rPr>
        <w:t>）以测试评价推动方案优化</w:t>
      </w:r>
    </w:p>
    <w:p w14:paraId="3C1F214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学科课堂的反馈主要发生在观点、解法和表达的修订中，那么科创教育的反馈更多通过测试结果和作品版本体现。学生需要根据数据、使用效果、同伴意见或教师建议判断方案问题，并据此修改材料、结构、参数或控制逻辑。这样的迭代使学生逐步理解，工程实践中很少存在一次完成的最优解，更常见的是在约束条件下不断接近更合适的方案。</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7CD08AA"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14DAD3E"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案例片段｜机械臂路径规划，用测试结果推动二次修改</w:t>
            </w:r>
          </w:p>
          <w:p w14:paraId="6BFBD952"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两套路径完成实测后，学生依据耗时、抬升高度、碰撞、越界等记录进行比较，并对不稳定路径继续修改。反馈直接进入下一轮方案调整，第一次方案、测试证据、修改依据和再次运行由此形成清晰的迭代链。</w:t>
            </w:r>
          </w:p>
        </w:tc>
      </w:tr>
    </w:tbl>
    <w:p w14:paraId="4FD22E8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）在成果应用中实现迁移创新</w:t>
      </w:r>
    </w:p>
    <w:p w14:paraId="4D5104C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科创项目完成后，学生容易把注意力停留在作品成功了。我们更关注的是，学生能否从项目中提炼出可迁移的问题解决方法，并把它带到新的情境。当学生能够解释</w:t>
      </w:r>
      <w:r>
        <w:rPr>
          <w:rFonts w:ascii="Times New Roman" w:eastAsia="宋体" w:hAnsi="Times New Roman" w:cs="Times New Roman"/>
          <w:sz w:val="24"/>
        </w:rPr>
        <w:t>“</w:t>
      </w:r>
      <w:r>
        <w:rPr>
          <w:rFonts w:ascii="Times New Roman" w:eastAsia="宋体" w:hAnsi="Times New Roman" w:cs="Times New Roman"/>
          <w:sz w:val="24"/>
        </w:rPr>
        <w:t>这次项目让我学会了怎样解决一类问题</w:t>
      </w:r>
      <w:r>
        <w:rPr>
          <w:rFonts w:ascii="Times New Roman" w:eastAsia="宋体" w:hAnsi="Times New Roman" w:cs="Times New Roman"/>
          <w:sz w:val="24"/>
        </w:rPr>
        <w:t>”</w:t>
      </w:r>
      <w:r>
        <w:rPr>
          <w:rFonts w:ascii="Times New Roman" w:eastAsia="宋体" w:hAnsi="Times New Roman" w:cs="Times New Roman"/>
          <w:sz w:val="24"/>
        </w:rPr>
        <w:t>，而不只是我做出了什么，科创学习才真正转化为能力。</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773F2366"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8305407"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案例片段｜机械臂路径规划，从垃圾分拣迁移到新的工程场景</w:t>
            </w:r>
          </w:p>
          <w:p w14:paraId="31146A4F"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项目结束后，学生将路径规划与故障排查经验迁移到图书上架、材料运输等新的任务情境，重新考虑路线、空间限制和运行效率。学生需要根据新任务的约束重新设计方案，项目中形成的比较、验证、修复和优化方法由此获得新的应用。</w:t>
            </w:r>
          </w:p>
        </w:tc>
      </w:tr>
    </w:tbl>
    <w:p w14:paraId="4C3E03E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两域实践中的高阶学习典型样态</w:t>
      </w:r>
    </w:p>
    <w:p w14:paraId="02298F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五环在学科课堂和科创教育中的持续实施，我们逐渐发现，高阶学习虽然依附于不同学科内容和项目任务，但其发生方式并非完全零散。学生在面对复杂问题时，往往会呈现一些可以跨学科识别的典型学习形态。我们据此对两域中的实践材料进行比较、归纳，形成五种高阶学习样态。这里的样态是从实践中抽取出的典型表现；它们既帮助我们描述高阶学习长什么样，也为后续观察和评价提供了更加具体的参照。</w:t>
      </w:r>
    </w:p>
    <w:p w14:paraId="0F6BBF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1</w:t>
      </w:r>
      <w:r>
        <w:rPr>
          <w:rFonts w:ascii="Times New Roman" w:eastAsia="宋体" w:hAnsi="Times New Roman" w:cs="Times New Roman"/>
          <w:b/>
          <w:sz w:val="24"/>
        </w:rPr>
        <w:t>）真实情境的任务性实践</w:t>
      </w:r>
    </w:p>
    <w:p w14:paraId="339826D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这一样态突出学生是否真正进入具有现实意义的任务情境，并在约束条件下作出判断和行动。其高阶性在于学生需要筛选信息、明确问题、调用知识并承担任务责任。</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05CA72B2"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6F1662A9"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案例片段｜主案例一｜吴薇《捍卫国家利益》</w:t>
            </w:r>
          </w:p>
          <w:p w14:paraId="48D3F0D2"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本案例以</w:t>
            </w:r>
            <w:r>
              <w:rPr>
                <w:rFonts w:ascii="Times New Roman" w:eastAsia="华文楷体" w:hAnsi="Times New Roman" w:cs="Times New Roman"/>
              </w:rPr>
              <w:t>AI</w:t>
            </w:r>
            <w:r>
              <w:rPr>
                <w:rFonts w:ascii="Times New Roman" w:eastAsia="华文楷体" w:hAnsi="Times New Roman" w:cs="Times New Roman"/>
              </w:rPr>
              <w:t>仿真冲突情境为主要载体，让学生在国家利益与个人选择发生张力的价值情境中作出判断，说明理由并调整应对策略。主样态为真实情境的任务性实践，同时具有证据支撑的论证性实践和协同探究的建构性实践特征。</w:t>
            </w:r>
          </w:p>
        </w:tc>
      </w:tr>
    </w:tbl>
    <w:p w14:paraId="429ED84D"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C3684A0"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62DCE04E"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案例片段｜主案例二｜肖岩《质量的测量》第二课时</w:t>
            </w:r>
          </w:p>
          <w:p w14:paraId="4E960479"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校园网球质检员的角色贯穿课堂，学生自主设计实验、测量网球质量、依据标准判断是否合格并形成质检报告。主样态为真实情境的任务性实践，同时具有方案比较的验证性实践和证据支撑的论证性实践特征。</w:t>
            </w:r>
          </w:p>
        </w:tc>
      </w:tr>
    </w:tbl>
    <w:p w14:paraId="028AD2D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）方案比较的验证性实践</w:t>
      </w:r>
    </w:p>
    <w:p w14:paraId="22C6ED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这一样态突出学生面对多个可能方案时，能否建立比较标准，并利用实验、计算、调查或数据验证不同方案的优劣。其核心在于选择过程是否建立在证据和条件判断之上。</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71026526"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4497E2F5"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案例片段｜主案例一｜梁芳《机械臂路径规划》</w:t>
            </w:r>
          </w:p>
          <w:p w14:paraId="11EA9FD5"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设计两套路径并进行对照实测，记录运行耗时、抬升高度、碰撞、越界等数据，在比较权衡后确定方案，并通过故障排查继续修正。主样态为方案比较的验证性实践，同时具有综合迁移的创新性实践和真实情境的任务性实践特征。</w:t>
            </w:r>
          </w:p>
        </w:tc>
      </w:tr>
    </w:tbl>
    <w:p w14:paraId="03EF5A8B"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2D2A53BA"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0714404"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案例片段｜主案例二｜数学案例</w:t>
            </w:r>
          </w:p>
          <w:p w14:paraId="644B05CC"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数学案例承担方案比较的验证性实践的第二个主案例，重点呈现两种以上解法或模型，明确比较标准，并依据计算、数据、图形或模型检验作出判断。</w:t>
            </w:r>
          </w:p>
        </w:tc>
      </w:tr>
    </w:tbl>
    <w:p w14:paraId="4BDAE0A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）证据支撑的论证性实践</w:t>
      </w:r>
    </w:p>
    <w:p w14:paraId="26E88D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这一样态突出观点怎样被证据支持、质疑和修正。学生需要区分观点与事实，判断证据是否相关、可靠、充分，并在新的证据出现时调整原有结论。其关键是</w:t>
      </w:r>
      <w:r>
        <w:rPr>
          <w:rFonts w:ascii="Times New Roman" w:eastAsia="宋体" w:hAnsi="Times New Roman" w:cs="Times New Roman"/>
          <w:sz w:val="24"/>
        </w:rPr>
        <w:lastRenderedPageBreak/>
        <w:t>形成观点、证据、解释和修订的完整链条。</w:t>
      </w:r>
    </w:p>
    <w:p w14:paraId="428681F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一样态的理论基础在于批判性思维对认识论理解的依赖。学生只有认识到知识虽然由人建构，但不同观点有优劣之分、可以依据证据加以评价，才会产生比较观点和审查证据的内在动机，停留在各有道理、无须评判阶段的学生往往缺乏这种动机（</w:t>
      </w:r>
      <w:r>
        <w:rPr>
          <w:rFonts w:ascii="Times New Roman" w:eastAsia="宋体" w:hAnsi="Times New Roman" w:cs="Times New Roman"/>
          <w:kern w:val="0"/>
          <w:sz w:val="24"/>
        </w:rPr>
        <w:t>Kuhn et al., 2000</w:t>
      </w:r>
      <w:r>
        <w:rPr>
          <w:rFonts w:ascii="Times New Roman" w:eastAsia="宋体" w:hAnsi="Times New Roman" w:cs="Times New Roman"/>
          <w:kern w:val="0"/>
          <w:sz w:val="24"/>
        </w:rPr>
        <w:t>）。论证性实践要求学生说明依据、回应质疑并修正判断，为学生认识论理解的发展提供了课堂条件。</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5D5B9AE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D359642"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案例片段｜主案例一｜胡志禹《拿来主义》第二课时</w:t>
            </w:r>
          </w:p>
          <w:p w14:paraId="4BD24987"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课堂围绕观点、证据与解释展开。学生基于文本和现实材料形成初始判断，在质疑、回应和教师追问中补充证据、修正解释，并通过反馈迭代形成更有依据的观点。主样态为证据支撑的论证性实践，同时具有协同探究的建构性实践和综合迁移的创新性实践特征。</w:t>
            </w:r>
          </w:p>
        </w:tc>
      </w:tr>
    </w:tbl>
    <w:p w14:paraId="1E5382F7"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D12A55F"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4D403CB"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案例片段｜主案例二｜李静《英语写作》</w:t>
            </w:r>
          </w:p>
          <w:p w14:paraId="54A22FDA"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学生围绕开放性写作问题回应外国友人</w:t>
            </w:r>
            <w:r>
              <w:rPr>
                <w:rFonts w:ascii="Times New Roman" w:eastAsia="华文楷体" w:hAnsi="Times New Roman" w:cs="Times New Roman"/>
              </w:rPr>
              <w:t>Jim</w:t>
            </w:r>
            <w:r>
              <w:rPr>
                <w:rFonts w:ascii="Times New Roman" w:eastAsia="华文楷体" w:hAnsi="Times New Roman" w:cs="Times New Roman"/>
              </w:rPr>
              <w:t>的困惑，提出建议并说明理由。评价标准前置、过程性作品分析以及教师、同伴和自我三级反馈，使论证链、证据和修改过程持续可见。主样态为证据支撑的论证性实践，同时具有真实情境的任务性实践和综合迁移的创新性实践特征。</w:t>
            </w:r>
          </w:p>
        </w:tc>
      </w:tr>
    </w:tbl>
    <w:p w14:paraId="7F5F0BE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）协同探究的建构性实践</w:t>
      </w:r>
    </w:p>
    <w:p w14:paraId="7C5931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这一样态突出不同观点如何通过表达、质疑、回应和整合形成新的共同认识。判断协同是否真正发生，不看小组是否进行了分工，而看互动是否推动了认识变化、共同成果是否吸收了成员的有效观点。</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3BB2071"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4CBFFF2"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案例片段｜主案例一｜姜惠轶《光的折射》</w:t>
            </w:r>
          </w:p>
          <w:p w14:paraId="2126ACAD"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小组实验、多路径数据、异常数据讨论、投屏答辩和同伴纠错共同构成学习过程。学生在比较数据和回应质疑中共同归纳规律、修正解释并逐步建构模型。主样态为协同探究的建构性实践，同时具有证据支撑的论证性实践和综合迁移的创新性实践特征。</w:t>
            </w:r>
          </w:p>
        </w:tc>
      </w:tr>
    </w:tbl>
    <w:p w14:paraId="1CD886B7"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CEA18C1"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9B4D107"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案例片段｜主案例二｜董丹《秋天的怀念》第二课时</w:t>
            </w:r>
          </w:p>
          <w:p w14:paraId="68C3DC5F"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本案例呈现学生对生命的不同感悟如何在倾听、质疑、回应中共同深化，并由文本</w:t>
            </w:r>
            <w:r>
              <w:rPr>
                <w:rFonts w:ascii="Times New Roman" w:eastAsia="华文楷体" w:hAnsi="Times New Roman" w:cs="Times New Roman"/>
              </w:rPr>
              <w:lastRenderedPageBreak/>
              <w:t>解读迁移到现实生命情境。个体初始理解、小组交流记录和共同成果构成协同建构的证据。主样态为协同探究的建构性实践，同时具有综合迁移的创新性实践和证据支撑的论证性实践特征。</w:t>
            </w:r>
          </w:p>
        </w:tc>
      </w:tr>
    </w:tbl>
    <w:p w14:paraId="7BC481B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5</w:t>
      </w:r>
      <w:r>
        <w:rPr>
          <w:rFonts w:ascii="Times New Roman" w:eastAsia="宋体" w:hAnsi="Times New Roman" w:cs="Times New Roman"/>
          <w:b/>
          <w:sz w:val="24"/>
        </w:rPr>
        <w:t>）综合迁移的创新性实践</w:t>
      </w:r>
    </w:p>
    <w:p w14:paraId="3CB084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这一样态突出学生能否把已经形成的知识、方法和策略带入新的问题，并根据新条件重新组合、调整和创造。真正的创新是能够说明原有方法如何迁移、条件发生了什么变化，以及为什么需要重新设计。</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1E565F5A"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5AE543FC"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案例片段｜主案例一｜王尤迪《物件类具象化写作》</w:t>
            </w:r>
          </w:p>
          <w:p w14:paraId="286DFB81"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从课前对凳子的概念化表达出发，经历由材质细节到场景、人事和情感落点的写作进阶，再把方法迁移到家庭旧物写作，并依据量表进行二次修改。主样态为综合迁移的创新性实践，同时具有真实情境的任务性实践特征。</w:t>
            </w:r>
          </w:p>
        </w:tc>
      </w:tr>
    </w:tbl>
    <w:p w14:paraId="7294D137"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26DF9CA4"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522B1CCC"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案例片段｜主案例二｜杨冬冬《内能》单元</w:t>
            </w:r>
          </w:p>
          <w:p w14:paraId="5AFC94A6"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学生围绕热机模型完成</w:t>
            </w:r>
            <w:r>
              <w:rPr>
                <w:rFonts w:ascii="Times New Roman" w:eastAsia="华文楷体" w:hAnsi="Times New Roman" w:cs="Times New Roman"/>
              </w:rPr>
              <w:t>V1</w:t>
            </w:r>
            <w:r>
              <w:rPr>
                <w:rFonts w:ascii="Times New Roman" w:eastAsia="华文楷体" w:hAnsi="Times New Roman" w:cs="Times New Roman"/>
              </w:rPr>
              <w:t>至</w:t>
            </w:r>
            <w:r>
              <w:rPr>
                <w:rFonts w:ascii="Times New Roman" w:eastAsia="华文楷体" w:hAnsi="Times New Roman" w:cs="Times New Roman"/>
              </w:rPr>
              <w:t>V3</w:t>
            </w:r>
            <w:r>
              <w:rPr>
                <w:rFonts w:ascii="Times New Roman" w:eastAsia="华文楷体" w:hAnsi="Times New Roman" w:cs="Times New Roman"/>
              </w:rPr>
              <w:t>三轮迭代，针对漏气、散热、热源等问题依据物理原理进行修正；随后把比热容、热传递等知识迁移到校园热岛治理，形成校园热地图和微降温方案。主样态为综合迁移的创新性实践，同时具有方案比较的验证性实践和真实情境的任务性实践特征。</w:t>
            </w:r>
          </w:p>
        </w:tc>
      </w:tr>
    </w:tbl>
    <w:p w14:paraId="6B890E7A" w14:textId="77777777" w:rsidR="000B1CCE" w:rsidRDefault="000B1CCE">
      <w:pPr>
        <w:adjustRightInd w:val="0"/>
        <w:snapToGrid w:val="0"/>
        <w:spacing w:line="360" w:lineRule="auto"/>
        <w:ind w:firstLineChars="200" w:firstLine="480"/>
        <w:rPr>
          <w:rFonts w:ascii="宋体" w:eastAsia="宋体" w:hAnsi="宋体" w:cs="宋体"/>
          <w:sz w:val="24"/>
        </w:rPr>
      </w:pPr>
    </w:p>
    <w:p w14:paraId="03FD426E" w14:textId="77777777" w:rsidR="000B1CCE" w:rsidRDefault="000B1CCE">
      <w:pPr>
        <w:adjustRightInd w:val="0"/>
        <w:snapToGrid w:val="0"/>
        <w:spacing w:line="360" w:lineRule="auto"/>
        <w:ind w:firstLineChars="200" w:firstLine="480"/>
        <w:rPr>
          <w:rFonts w:ascii="宋体" w:eastAsia="宋体" w:hAnsi="宋体" w:cs="宋体"/>
          <w:sz w:val="24"/>
        </w:rPr>
      </w:pPr>
    </w:p>
    <w:p w14:paraId="25EA1CDA" w14:textId="77777777" w:rsidR="000B1CCE" w:rsidRDefault="000B1CCE">
      <w:pPr>
        <w:adjustRightInd w:val="0"/>
        <w:snapToGrid w:val="0"/>
        <w:spacing w:line="360" w:lineRule="auto"/>
        <w:ind w:firstLineChars="200" w:firstLine="480"/>
        <w:rPr>
          <w:rFonts w:ascii="宋体" w:eastAsia="宋体" w:hAnsi="宋体" w:cs="宋体"/>
          <w:sz w:val="24"/>
        </w:rPr>
      </w:pPr>
    </w:p>
    <w:p w14:paraId="2161951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基于实践证据的模型迭代</w:t>
      </w:r>
    </w:p>
    <w:p w14:paraId="37A148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建构完成后，我们更关注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依托学科研究课、课例研讨、科创项目等持续开展行动研究，按照实践、证据采集、问题诊断、方案改进、再次实践和比较反思的基本路径推进。</w:t>
      </w:r>
    </w:p>
    <w:p w14:paraId="415AE8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随着研究不断深入，我们对模型的认识也经历了由建构一个可操作的学习路</w:t>
      </w:r>
      <w:r>
        <w:rPr>
          <w:rFonts w:ascii="Times New Roman" w:eastAsia="宋体" w:hAnsi="Times New Roman" w:cs="Times New Roman"/>
          <w:sz w:val="24"/>
        </w:rPr>
        <w:lastRenderedPageBreak/>
        <w:t>径向形成学习、教学、实践与评价相互贯通的育人系统的变化。最终形成的</w:t>
      </w:r>
      <w:r>
        <w:rPr>
          <w:rFonts w:ascii="Times New Roman" w:eastAsia="宋体" w:hAnsi="Times New Roman" w:cs="Times New Roman"/>
          <w:sz w:val="24"/>
        </w:rPr>
        <w:t>2.0</w:t>
      </w:r>
      <w:r>
        <w:rPr>
          <w:rFonts w:ascii="Times New Roman" w:eastAsia="宋体" w:hAnsi="Times New Roman" w:cs="Times New Roman"/>
          <w:sz w:val="24"/>
        </w:rPr>
        <w:t>版是实践证据推动下的进一步整合。从迭代结果看，总模型主要发生了结构性迭代，学习模型和教学模型则主要发生了内涵与运行机制上的迭代。</w:t>
      </w:r>
    </w:p>
    <w:p w14:paraId="579EDD2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）总模型的结构性迭代</w:t>
      </w:r>
    </w:p>
    <w:p w14:paraId="0496A9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和反思迁移的五环学习路径。这一模型为教师重新组织课堂提供了较为清晰的抓手，也使高阶能力培育从抽象的育人要求开始进入具体学习过程。</w:t>
      </w:r>
    </w:p>
    <w:p w14:paraId="22EDFA3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1EA5A8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因此，模型逐步由以学生学习路径为重点，发展为由高阶能力目标、学习模型、教学模型、两域实践、典型样态、多源证据与迭代优化共同构成的整体结构。</w:t>
      </w:r>
    </w:p>
    <w:p w14:paraId="543E85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在最终形成的</w:t>
      </w:r>
      <w:r>
        <w:rPr>
          <w:rFonts w:ascii="Times New Roman" w:eastAsia="宋体" w:hAnsi="Times New Roman" w:cs="Times New Roman"/>
          <w:sz w:val="24"/>
        </w:rPr>
        <w:t>2.0</w:t>
      </w:r>
      <w:r>
        <w:rPr>
          <w:rFonts w:ascii="Times New Roman" w:eastAsia="宋体" w:hAnsi="Times New Roman" w:cs="Times New Roman"/>
          <w:sz w:val="24"/>
        </w:rPr>
        <w:t>版中，中学生七维高阶能力（分析、评价、迁移、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和持续迭代优化。</w:t>
      </w:r>
    </w:p>
    <w:p w14:paraId="7DA0E0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2.0</w:t>
      </w:r>
      <w:r>
        <w:rPr>
          <w:rFonts w:ascii="Times New Roman" w:eastAsia="宋体" w:hAnsi="Times New Roman" w:cs="Times New Roman"/>
          <w:kern w:val="0"/>
          <w:sz w:val="24"/>
        </w:rPr>
        <w:t>版把迁移列为高阶思维的核心目标之一，强调能力在新情境中的运用；学生问卷沿用研究设计阶段确定的创造维度进行测量，因此本报告的统计结果仍以创造呈现。</w:t>
      </w:r>
    </w:p>
    <w:p w14:paraId="1FD130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这种变化是不同研究成果之间关系的重新建立，使模型从一条实践路径逐渐发展为具有目标、过程、支持、场域、表现和反馈机制的完整育人系统。</w:t>
      </w:r>
    </w:p>
    <w:p w14:paraId="3747C350" w14:textId="77777777" w:rsidR="00CD5D2E" w:rsidRDefault="00000000">
      <w:pPr>
        <w:keepNext/>
        <w:spacing w:before="120"/>
        <w:jc w:val="center"/>
      </w:pPr>
      <w:r>
        <w:rPr>
          <w:noProof/>
        </w:rPr>
        <w:lastRenderedPageBreak/>
        <w:drawing>
          <wp:inline distT="0" distB="0" distL="0" distR="0" wp14:anchorId="068BFB1A" wp14:editId="432CB710">
            <wp:extent cx="5200650" cy="34671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d10b0d.png"/>
                    <pic:cNvPicPr/>
                  </pic:nvPicPr>
                  <pic:blipFill>
                    <a:blip r:embed="rId19"/>
                    <a:stretch>
                      <a:fillRect/>
                    </a:stretch>
                  </pic:blipFill>
                  <pic:spPr>
                    <a:xfrm>
                      <a:off x="0" y="0"/>
                      <a:ext cx="5200650" cy="3467100"/>
                    </a:xfrm>
                    <a:prstGeom prst="rect">
                      <a:avLst/>
                    </a:prstGeom>
                  </pic:spPr>
                </pic:pic>
              </a:graphicData>
            </a:graphic>
          </wp:inline>
        </w:drawing>
      </w:r>
    </w:p>
    <w:p w14:paraId="571CA92E"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3-12  </w:t>
      </w:r>
      <w:r>
        <w:rPr>
          <w:rFonts w:ascii="Times New Roman" w:eastAsia="黑体" w:hAnsi="Times New Roman" w:cs="Times New Roman"/>
        </w:rPr>
        <w:t>可见的学习视域下中学生高阶能力培育模型（</w:t>
      </w:r>
      <w:r>
        <w:rPr>
          <w:rFonts w:ascii="Times New Roman" w:eastAsia="黑体" w:hAnsi="Times New Roman" w:cs="Times New Roman"/>
        </w:rPr>
        <w:t>2.0</w:t>
      </w:r>
      <w:r>
        <w:rPr>
          <w:rFonts w:ascii="Times New Roman" w:eastAsia="黑体" w:hAnsi="Times New Roman" w:cs="Times New Roman"/>
        </w:rPr>
        <w:t>版）</w:t>
      </w:r>
    </w:p>
    <w:p w14:paraId="019330B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）学习模型的内涵深化</w:t>
      </w:r>
    </w:p>
    <w:p w14:paraId="06C193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五环的基本结构在多轮实践中保持了相对稳定。真正发生变化的，是我们对每一环节为什么存在、怎样发挥作用、依据什么判断有效的理解不断深化。</w:t>
      </w:r>
    </w:p>
    <w:p w14:paraId="4B365C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研究初期，目标引领、任务驱动、探究展学、反馈迭代和反思迁移更多解决教学实践中高阶学习怎样组织的问题。随着课例研究的深入，我们越来越关注五环内部的学习质量。</w:t>
      </w:r>
    </w:p>
    <w:p w14:paraId="7F8144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例如，目标引领要求学生真正理解学习方向、成功标准以及本次学习需要达到的表现水平；任务驱动不再等同于设计活动，而要求任务能够形成真实的认知挑战；探究展学也不以学生是否发言、讨论作为判断，而关注分析、证据、观点及协商过程是否真正外显；反馈迭代反馈以后出现新的回答、新的方案或新的作品；反思迁移则进一步要求学生能够从一次具体任务中提炼方法，并在新的条件和情境中重新使用。</w:t>
      </w:r>
    </w:p>
    <w:p w14:paraId="1D2F5C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习的关键是学生是否经历了思考、表达、证据、反馈、修订和迁移的实质变化。</w:t>
      </w:r>
    </w:p>
    <w:p w14:paraId="3D0D58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因此，学习模型的迭代可以概括为由关注五环有没有发生，进一步转向关注</w:t>
      </w:r>
      <w:r>
        <w:rPr>
          <w:rFonts w:ascii="Times New Roman" w:eastAsia="宋体" w:hAnsi="Times New Roman" w:cs="Times New Roman"/>
          <w:sz w:val="24"/>
        </w:rPr>
        <w:lastRenderedPageBreak/>
        <w:t>五环中高阶学习怎样发生、怎样进阶、怎样留下证据。</w:t>
      </w:r>
    </w:p>
    <w:p w14:paraId="4401582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三层六阶和两境四维进一步提供了观察学生认知复杂度和情境复杂度变化的参照，五见则使这些原本较为隐性的学习过程逐步转化为教师和学生能够识别、比较和使用的学习证据。</w:t>
      </w:r>
      <w:r>
        <w:rPr>
          <w:rFonts w:ascii="Times New Roman" w:eastAsia="宋体" w:hAnsi="Times New Roman" w:cs="Times New Roman"/>
          <w:b/>
          <w:sz w:val="24"/>
        </w:rPr>
        <w:t>由此，五环不再只是课堂流程，而成为指向高阶能力发展的学习模型。</w:t>
      </w:r>
    </w:p>
    <w:p w14:paraId="029F329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三层六阶和两境四维属于本研究在实践中形成的进阶假设。学业进阶研究表明，初高中阶段的进阶序列多依据学科逻辑推演而来，需要一线教师对照课堂实际进行检验和校准（</w:t>
      </w:r>
      <w:r>
        <w:rPr>
          <w:rFonts w:ascii="Times New Roman" w:eastAsia="宋体" w:hAnsi="Times New Roman" w:cs="Times New Roman"/>
          <w:kern w:val="0"/>
          <w:sz w:val="24"/>
        </w:rPr>
        <w:t>McDonnell &amp; Weatherford, 2013</w:t>
      </w:r>
      <w:r>
        <w:rPr>
          <w:rFonts w:ascii="Times New Roman" w:eastAsia="宋体" w:hAnsi="Times New Roman" w:cs="Times New Roman"/>
          <w:kern w:val="0"/>
          <w:sz w:val="24"/>
        </w:rPr>
        <w:t>）。本研究在多轮课例研讨中依据学生作品和课堂表现修订进阶描述，正是这种校准过程的体现，后续仍需积累更多学科的表现样例。</w:t>
      </w:r>
    </w:p>
    <w:p w14:paraId="3063EE8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）教学模型运行机制的循证优化</w:t>
      </w:r>
    </w:p>
    <w:p w14:paraId="04C32C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与学习模型相对应，教师教学模型的四个基本环节，诊断发现、干预设计、实施推进和评估改进同样没有在实践中频繁更换，其迭代主要发生在运行方式上。</w:t>
      </w:r>
    </w:p>
    <w:p w14:paraId="4E97D1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实践初期，教师较容易从自身教学设计出发思考这一环节准备怎样教。随着可见的学习不断进入课堂，我们逐渐把教师关注点转向另一个问题，学生现在究竟学到了哪里，我的教学对学生产生了什么影响？</w:t>
      </w:r>
    </w:p>
    <w:p w14:paraId="314A5E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使诊断发现不再只是课前了解学情，而贯穿学习全过程；干预设计根据学生当前状态选择任务、支架和反馈方式；实施推进不再意味着按照教案顺序完成教学，而根据学生实际表现及时追问、补充、调整甚至暂缓原有设计；评估改进则通过学生的新表现检验前一轮教学是否产生影响，并形成下一轮教学的依据。</w:t>
      </w:r>
    </w:p>
    <w:p w14:paraId="0D16346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27E5FA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基于学生学习证据的持续诊断、适切干预、动态实施与评估改进。</w:t>
      </w:r>
    </w:p>
    <w:p w14:paraId="3CC74C6D"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因此，教学模型真正的迭代在于使四步之间形成循环，使教师专业行动从按设计推进逐步转向依据学习调节。</w:t>
      </w:r>
      <w:r>
        <w:rPr>
          <w:rFonts w:ascii="Times New Roman" w:eastAsia="宋体" w:hAnsi="Times New Roman" w:cs="Times New Roman"/>
          <w:sz w:val="24"/>
        </w:rPr>
        <w:t>这也是本研究对可见的学习教师侧含义的进一步落实，教师不仅要看见学生在做什么，更要依据学生真实学习证据判断自己的教学产生了什么影响。</w:t>
      </w:r>
    </w:p>
    <w:p w14:paraId="44CBC23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4</w:t>
      </w:r>
      <w:r>
        <w:rPr>
          <w:rFonts w:ascii="Times New Roman" w:eastAsia="宋体" w:hAnsi="Times New Roman" w:cs="Times New Roman"/>
          <w:b/>
          <w:sz w:val="24"/>
        </w:rPr>
        <w:t>）双模型互动机制的形成</w:t>
      </w:r>
    </w:p>
    <w:p w14:paraId="57E6C94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随着两个子模型逐步清晰，我们进一步认识到，学习模型和教学模型不能被理解为两条互不相关的流程，更不能进行机械的一一对应。</w:t>
      </w:r>
    </w:p>
    <w:p w14:paraId="4BC417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学生进入探究展学时，教师可能正在进行新的诊断，也可能依据现场表现提供干预；学生处于反馈迭代时，教师既需要实施评价，又可能立即重新调整任务和支架。</w:t>
      </w:r>
      <w:r>
        <w:rPr>
          <w:rFonts w:ascii="Times New Roman" w:eastAsia="宋体" w:hAnsi="Times New Roman" w:cs="Times New Roman"/>
          <w:b/>
          <w:sz w:val="24"/>
        </w:rPr>
        <w:t>因此，学生五环与教师四步真正形成的是相互嵌入、持续反馈的协同关系。</w:t>
      </w:r>
    </w:p>
    <w:p w14:paraId="3CBD2B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教师依据证据进行调节、教学调节改变学生后续学习和新的学习表现再次形成证据。</w:t>
      </w:r>
    </w:p>
    <w:p w14:paraId="4047FAC0"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由此，可见的学习真正从一个理论理念转化为总模型的运行机制。</w:t>
      </w:r>
      <w:r>
        <w:rPr>
          <w:rFonts w:ascii="Times New Roman" w:eastAsia="宋体" w:hAnsi="Times New Roman" w:cs="Times New Roman"/>
          <w:sz w:val="24"/>
        </w:rPr>
        <w:t>学生使学习对教师可见，教师使学习目标、反馈和教学影响对学生可见，教与学之间不再只是教了与学了的单向关系，而形成了以证据为媒介的持续互动。</w:t>
      </w:r>
    </w:p>
    <w:p w14:paraId="246B663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）两域实践中的场域化调整</w:t>
      </w:r>
    </w:p>
    <w:p w14:paraId="473C93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模型进入学科课堂和科创教育以后，我们没有要求两个场域采用完全相同的实施形式，而在保持核心逻辑一致的基础上进行场域化转化。</w:t>
      </w:r>
    </w:p>
    <w:p w14:paraId="79E75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3B29CC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两域实践也使我们进一步发现，高阶学习虽然发生在不同学科和不同任务中，但其发生方式具有一定的共性。由此，课题组没有再增加新的教学步骤，而从已有实践中归纳出五种典型样态，（</w:t>
      </w:r>
      <w:r>
        <w:rPr>
          <w:rFonts w:ascii="Times New Roman" w:eastAsia="宋体" w:hAnsi="Times New Roman" w:cs="Times New Roman"/>
          <w:sz w:val="24"/>
        </w:rPr>
        <w:t>1</w:t>
      </w:r>
      <w:r>
        <w:rPr>
          <w:rFonts w:ascii="Times New Roman" w:eastAsia="宋体" w:hAnsi="Times New Roman" w:cs="Times New Roman"/>
          <w:sz w:val="24"/>
        </w:rPr>
        <w:t>）真实情境的任务性实践；（</w:t>
      </w:r>
      <w:r>
        <w:rPr>
          <w:rFonts w:ascii="Times New Roman" w:eastAsia="宋体" w:hAnsi="Times New Roman" w:cs="Times New Roman"/>
          <w:sz w:val="24"/>
        </w:rPr>
        <w:t>2</w:t>
      </w:r>
      <w:r>
        <w:rPr>
          <w:rFonts w:ascii="Times New Roman" w:eastAsia="宋体" w:hAnsi="Times New Roman" w:cs="Times New Roman"/>
          <w:sz w:val="24"/>
        </w:rPr>
        <w:t>）方案比较的验证性实践；（</w:t>
      </w:r>
      <w:r>
        <w:rPr>
          <w:rFonts w:ascii="Times New Roman" w:eastAsia="宋体" w:hAnsi="Times New Roman" w:cs="Times New Roman"/>
          <w:sz w:val="24"/>
        </w:rPr>
        <w:t>3</w:t>
      </w:r>
      <w:r>
        <w:rPr>
          <w:rFonts w:ascii="Times New Roman" w:eastAsia="宋体" w:hAnsi="Times New Roman" w:cs="Times New Roman"/>
          <w:sz w:val="24"/>
        </w:rPr>
        <w:t>）证据支撑的论证性实践；（</w:t>
      </w:r>
      <w:r>
        <w:rPr>
          <w:rFonts w:ascii="Times New Roman" w:eastAsia="宋体" w:hAnsi="Times New Roman" w:cs="Times New Roman"/>
          <w:sz w:val="24"/>
        </w:rPr>
        <w:t>4</w:t>
      </w:r>
      <w:r>
        <w:rPr>
          <w:rFonts w:ascii="Times New Roman" w:eastAsia="宋体" w:hAnsi="Times New Roman" w:cs="Times New Roman"/>
          <w:sz w:val="24"/>
        </w:rPr>
        <w:t>）协同探究的建构性实践（</w:t>
      </w:r>
      <w:r>
        <w:rPr>
          <w:rFonts w:ascii="Times New Roman" w:eastAsia="宋体" w:hAnsi="Times New Roman" w:cs="Times New Roman"/>
          <w:sz w:val="24"/>
        </w:rPr>
        <w:t>5</w:t>
      </w:r>
      <w:r>
        <w:rPr>
          <w:rFonts w:ascii="Times New Roman" w:eastAsia="宋体" w:hAnsi="Times New Roman" w:cs="Times New Roman"/>
          <w:sz w:val="24"/>
        </w:rPr>
        <w:t>）综合迁移的创新性实践。</w:t>
      </w:r>
    </w:p>
    <w:p w14:paraId="4D9FE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0B2948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这也使课题组能够反过来审视实践质量，课堂有真实任务，但学生是否真正承担了问题解决；有多个方案，但是否进行了比较和验证；有观点表达，但是否有证据支撑；有合作讨论，但是否产生新的共同认识；有成果生成，但是否真正发生了跨情境迁移。</w:t>
      </w:r>
    </w:p>
    <w:p w14:paraId="49BCB8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因此，典型样态是实践反哺模型后形成的重要研究成果。</w:t>
      </w:r>
    </w:p>
    <w:p w14:paraId="67FF6B7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）证据驱动的迭代方式</w:t>
      </w:r>
    </w:p>
    <w:p w14:paraId="4CCB2B1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模型能够迭代，关键在于是否有足够证据说明哪里存在问题、调整以后是否发生了变化。</w:t>
      </w:r>
    </w:p>
    <w:p w14:paraId="29420B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65B25D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具体迭代中，我们尤其强调保留调整前、调整依据和调整后的证据链。例如，实践中发现一些课堂虽然学生讨论较为充分，但讨论结束后往往由教师直接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证据采集、问题发现、优化调整、再次实践和比较反思。</w:t>
      </w:r>
    </w:p>
    <w:p w14:paraId="06C6BAF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）模型</w:t>
      </w:r>
      <w:r>
        <w:rPr>
          <w:rFonts w:ascii="Times New Roman" w:eastAsia="宋体" w:hAnsi="Times New Roman" w:cs="Times New Roman"/>
          <w:b/>
          <w:sz w:val="24"/>
        </w:rPr>
        <w:t>2.0</w:t>
      </w:r>
      <w:r>
        <w:rPr>
          <w:rFonts w:ascii="Times New Roman" w:eastAsia="宋体" w:hAnsi="Times New Roman" w:cs="Times New Roman"/>
          <w:b/>
          <w:sz w:val="24"/>
        </w:rPr>
        <w:t>版的形成</w:t>
      </w:r>
    </w:p>
    <w:p w14:paraId="10FEDE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经过多轮学科课堂与科创教育实践，本研究最终形成了可见的学习视域下中学生高阶能力培育模型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版。</w:t>
      </w:r>
    </w:p>
    <w:p w14:paraId="1CB67F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这一迭代延续了前期模型，前期形成的七维能力目标、五环学习路径和教师循证调节等核心要素在实践中得到保留。真正发生变化的是模型内部关系更加清楚、运行依据更加充分、实践适应性更加增强。</w:t>
      </w:r>
    </w:p>
    <w:p w14:paraId="2048C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w:t>
      </w:r>
      <w:r>
        <w:rPr>
          <w:rFonts w:ascii="Times New Roman" w:eastAsia="宋体" w:hAnsi="Times New Roman" w:cs="Times New Roman"/>
          <w:sz w:val="24"/>
        </w:rPr>
        <w:lastRenderedPageBreak/>
        <w:t>代）由按照预设推进教学，进一步走向依据学生学习证据持续诊断、调节和改进。</w:t>
      </w:r>
    </w:p>
    <w:p w14:paraId="23BD31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w:t>
      </w:r>
      <w:r>
        <w:rPr>
          <w:rFonts w:ascii="Times New Roman" w:eastAsia="宋体" w:hAnsi="Times New Roman" w:cs="Times New Roman"/>
          <w:sz w:val="24"/>
        </w:rPr>
        <w:t>2.0</w:t>
      </w:r>
      <w:r>
        <w:rPr>
          <w:rFonts w:ascii="Times New Roman" w:eastAsia="宋体" w:hAnsi="Times New Roman" w:cs="Times New Roman"/>
          <w:sz w:val="24"/>
        </w:rPr>
        <w:t>版模型的新体现在几个关键关系真正被建立起来，能力目标与学习过程建立了联系，学生学习与教师教学建立了联系，两域实践与典型样态建立了联系，课堂实施与多源证据建立了联系，模型建构与持续改进也形成了闭环。</w:t>
      </w:r>
    </w:p>
    <w:p w14:paraId="2C28C5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最终形成的模型既具有相对稳定的基本结构，也保留了面向不同学科、不同项目和不同学生群体进行适切调整的开放空间。它不要求教师机械复制一种固定流程，而提供一套共同的专业判断框架，</w:t>
      </w:r>
    </w:p>
    <w:p w14:paraId="334087ED" w14:textId="77777777" w:rsidR="000B1CCE" w:rsidRDefault="00000000">
      <w:pPr>
        <w:pStyle w:val="aa"/>
        <w:jc w:val="center"/>
        <w:rPr>
          <w:lang w:eastAsia="zh-CN"/>
        </w:rPr>
      </w:pPr>
      <w:r>
        <w:rPr>
          <w:rFonts w:ascii="Times New Roman" w:eastAsia="华文楷体" w:hAnsi="Times New Roman" w:cs="Times New Roman"/>
          <w:b/>
          <w:sz w:val="24"/>
          <w:lang w:eastAsia="zh-CN"/>
        </w:rPr>
        <w:t>看见学生在哪里，看见学习怎样发生，看见教师支持产生了什么影响，再依据证据决定下一步怎样改。</w:t>
      </w:r>
    </w:p>
    <w:p w14:paraId="4DAB63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这也是本研究从建构模型走向用模型解释和改进真实学习的核心进展。</w:t>
      </w:r>
    </w:p>
    <w:p w14:paraId="43055AF2"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（六）评价体系与多源证据</w:t>
      </w:r>
    </w:p>
    <w:p w14:paraId="3F7EDD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011158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因此，本研究没有另外建立一套独立于实践之外的评价体系，而把评价嵌入可见的学习和五环实践过程之中，一方面明确高阶能力评什么、发展到什么程度；另一方面通过学生与教师前后测、教师五维评课和希沃</w:t>
      </w:r>
      <w:r>
        <w:rPr>
          <w:rFonts w:ascii="Times New Roman" w:eastAsia="宋体" w:hAnsi="Times New Roman" w:cs="Times New Roman"/>
          <w:sz w:val="24"/>
        </w:rPr>
        <w:t>AI</w:t>
      </w:r>
      <w:r>
        <w:rPr>
          <w:rFonts w:ascii="Times New Roman" w:eastAsia="宋体" w:hAnsi="Times New Roman" w:cs="Times New Roman"/>
          <w:sz w:val="24"/>
        </w:rPr>
        <w:t>评课等不同来源的数据，使学生能力变化、教师教学变化和课堂学习变化能够相互参照。评价的目的是让学习变化有据可查，让教学调整有据可依。</w:t>
      </w:r>
    </w:p>
    <w:p w14:paraId="117BEBD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评价依据、维度与指标</w:t>
      </w:r>
    </w:p>
    <w:p w14:paraId="5A13F87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）评价体系的设计依据</w:t>
      </w:r>
    </w:p>
    <w:p w14:paraId="4B30C7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295465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其次，以三层六阶和两境四维把握能力发展的进阶程度。高阶思维由学习理解、应用实践和迁移创新逐步深入，并体现出记忆、理解、应用、分析、评价和创造的认知进阶；高阶社会情感则重点考察学生能否由常规情境进入复杂、冲突或开放情境后，仍能主动承担责任、调节情绪、理解和协同他人，并保持包容与创新。</w:t>
      </w:r>
    </w:p>
    <w:p w14:paraId="25BE2D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再次，以五环作为观察高阶能力发生的主要学习过程。目标引领、任务驱动、探究展学、反馈迭代、反思迁移是学生高阶能力得以发生和表现的主要过程。教师需要在这些真实学习环节中观察学生怎样进入任务、怎样思考、怎样使用证据、怎样回应他人、怎样根据反馈调整学习，以及能否把形成的方法迁移到新的情境。</w:t>
      </w:r>
    </w:p>
    <w:p w14:paraId="0BDC10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147F52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七维高阶能力明确评什么；三层六阶和两境四维帮助判断发展到什么程度；五环回答在哪里观察；五见回答依据什么作出判断。</w:t>
      </w:r>
    </w:p>
    <w:p w14:paraId="737B111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评价体系的设计还考虑了高阶能力评价的两类风险。其一是以术语代替思维，当评价标准只关注学生是否使用了特定的分析术语时，学生可能通过套用术语获得较高评价（</w:t>
      </w:r>
      <w:r>
        <w:rPr>
          <w:rFonts w:ascii="Times New Roman" w:eastAsia="宋体" w:hAnsi="Times New Roman" w:cs="Times New Roman"/>
          <w:kern w:val="0"/>
          <w:sz w:val="24"/>
        </w:rPr>
        <w:t>Zemplén, 2007</w:t>
      </w:r>
      <w:r>
        <w:rPr>
          <w:rFonts w:ascii="Times New Roman" w:eastAsia="宋体" w:hAnsi="Times New Roman" w:cs="Times New Roman"/>
          <w:kern w:val="0"/>
          <w:sz w:val="24"/>
        </w:rPr>
        <w:t>），因此本研究的评价指标描述的是学生的具体表现，例如能否说明判断依据、比较不同方案、依据反馈修订观点。其二是过早评分抑制探索，低利害的多轮修订和描述性反馈更有利于批判性思维和创造力的发展（</w:t>
      </w:r>
      <w:r>
        <w:rPr>
          <w:rFonts w:ascii="Times New Roman" w:eastAsia="宋体" w:hAnsi="Times New Roman" w:cs="Times New Roman"/>
          <w:kern w:val="0"/>
          <w:sz w:val="24"/>
        </w:rPr>
        <w:t>Bouckaert, 2023</w:t>
      </w:r>
      <w:r>
        <w:rPr>
          <w:rFonts w:ascii="Times New Roman" w:eastAsia="宋体" w:hAnsi="Times New Roman" w:cs="Times New Roman"/>
          <w:kern w:val="0"/>
          <w:sz w:val="24"/>
        </w:rPr>
        <w:t>），因此课堂中的评价以形成性反馈为主，分数主要用于研究层面的前后比较。在思维层次判断上，评价指标与研究设计中的表</w:t>
      </w:r>
      <w:r>
        <w:rPr>
          <w:rFonts w:ascii="Times New Roman" w:eastAsia="宋体" w:hAnsi="Times New Roman" w:cs="Times New Roman"/>
          <w:kern w:val="0"/>
          <w:sz w:val="24"/>
        </w:rPr>
        <w:t>2-1</w:t>
      </w:r>
      <w:r>
        <w:rPr>
          <w:rFonts w:ascii="Times New Roman" w:eastAsia="宋体" w:hAnsi="Times New Roman" w:cs="Times New Roman"/>
          <w:kern w:val="0"/>
          <w:sz w:val="24"/>
        </w:rPr>
        <w:t>相衔接，以布卢姆分类界定任务要求，以</w:t>
      </w:r>
      <w:r>
        <w:rPr>
          <w:rFonts w:ascii="Times New Roman" w:eastAsia="宋体" w:hAnsi="Times New Roman" w:cs="Times New Roman"/>
          <w:kern w:val="0"/>
          <w:sz w:val="24"/>
        </w:rPr>
        <w:t>SOLO</w:t>
      </w:r>
      <w:r>
        <w:rPr>
          <w:rFonts w:ascii="Times New Roman" w:eastAsia="宋体" w:hAnsi="Times New Roman" w:cs="Times New Roman"/>
          <w:kern w:val="0"/>
          <w:sz w:val="24"/>
        </w:rPr>
        <w:t>分类判断学生回答和作品的结构水平。</w:t>
      </w:r>
    </w:p>
    <w:p w14:paraId="534C6A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）评价维度</w:t>
      </w:r>
    </w:p>
    <w:p w14:paraId="359764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不再另外增加新的能力维度，而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0C0093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0D1A3FF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）评价指标</w:t>
      </w:r>
    </w:p>
    <w:p w14:paraId="4314F02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65"/>
        <w:gridCol w:w="7254"/>
      </w:tblGrid>
      <w:tr w:rsidR="000B1CCE" w14:paraId="1AA7FF36" w14:textId="77777777">
        <w:trPr>
          <w:tblHeader/>
          <w:jc w:val="center"/>
        </w:trPr>
        <w:tc>
          <w:tcPr>
            <w:tcW w:w="1265"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4DC09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725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E2321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主要评价表现</w:t>
            </w:r>
          </w:p>
        </w:tc>
      </w:tr>
      <w:tr w:rsidR="000B1CCE" w14:paraId="45A31895"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F67B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7254" w:type="dxa"/>
            <w:tcBorders>
              <w:top w:val="nil"/>
              <w:left w:val="nil"/>
              <w:bottom w:val="nil"/>
              <w:right w:val="nil"/>
            </w:tcBorders>
            <w:tcMar>
              <w:top w:w="-1" w:type="dxa"/>
              <w:left w:w="-1" w:type="dxa"/>
              <w:bottom w:w="-1" w:type="dxa"/>
              <w:right w:w="-1" w:type="dxa"/>
            </w:tcMar>
            <w:vAlign w:val="center"/>
          </w:tcPr>
          <w:p w14:paraId="3FE169C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能够拆解问题、识别条件、辨析信息，发现要素之间的关键联系。</w:t>
            </w:r>
          </w:p>
        </w:tc>
      </w:tr>
      <w:tr w:rsidR="000B1CCE" w14:paraId="69913DD9"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CF2F5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2FC311D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能够依据事实、证据或标准进行比较、判断、质疑，并修正原有观点。</w:t>
            </w:r>
          </w:p>
        </w:tc>
      </w:tr>
      <w:tr w:rsidR="000B1CCE" w14:paraId="24C35824"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03FEA3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5AD7D2E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能够形成新的观点、方案或解释，并将已有知识和方法迁移到新的问题情境。</w:t>
            </w:r>
          </w:p>
        </w:tc>
      </w:tr>
      <w:tr w:rsidR="000B1CCE" w14:paraId="5B895B57"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5191D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5F9112C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能够明确个人与团队责任，主动投入并持续完成任务，对学习过程和结果负责。</w:t>
            </w:r>
          </w:p>
        </w:tc>
      </w:tr>
      <w:tr w:rsidR="000B1CCE" w14:paraId="31BE0A30"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F8201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798656D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面对困难、失败或观点冲突时，能够调整情绪和行为，保持持续学习状态。</w:t>
            </w:r>
          </w:p>
        </w:tc>
      </w:tr>
      <w:tr w:rsidR="000B1CCE" w14:paraId="3B482E8D"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6299A0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3AC1E3A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能够倾听、理解和回应他人观点，通过协商和合作形成更完整的认识。</w:t>
            </w:r>
          </w:p>
        </w:tc>
      </w:tr>
      <w:tr w:rsidR="000B1CCE" w14:paraId="6CA0A714" w14:textId="77777777">
        <w:trPr>
          <w:jc w:val="center"/>
        </w:trPr>
        <w:tc>
          <w:tcPr>
            <w:tcW w:w="1265" w:type="dxa"/>
            <w:tcBorders>
              <w:top w:val="nil"/>
              <w:left w:val="nil"/>
              <w:bottom w:val="single" w:sz="12" w:space="0" w:color="000000"/>
              <w:right w:val="nil"/>
            </w:tcBorders>
            <w:tcMar>
              <w:top w:w="-1" w:type="dxa"/>
              <w:left w:w="-1" w:type="dxa"/>
              <w:bottom w:w="-1" w:type="dxa"/>
              <w:right w:w="-1" w:type="dxa"/>
            </w:tcMar>
            <w:vAlign w:val="center"/>
          </w:tcPr>
          <w:p w14:paraId="5B2EB4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包容创新</w:t>
            </w:r>
          </w:p>
        </w:tc>
        <w:tc>
          <w:tcPr>
            <w:tcW w:w="7254" w:type="dxa"/>
            <w:tcBorders>
              <w:top w:val="nil"/>
              <w:left w:val="nil"/>
              <w:bottom w:val="single" w:sz="12" w:space="0" w:color="000000"/>
              <w:right w:val="nil"/>
            </w:tcBorders>
            <w:tcMar>
              <w:top w:w="-1" w:type="dxa"/>
              <w:left w:w="-1" w:type="dxa"/>
              <w:bottom w:w="-1" w:type="dxa"/>
              <w:right w:w="-1" w:type="dxa"/>
            </w:tcMar>
            <w:vAlign w:val="center"/>
          </w:tcPr>
          <w:p w14:paraId="29D85E2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能够接纳不同观点和新的信息，在开放和不确定情境中持续尝试、调整并形成新想法。</w:t>
            </w:r>
          </w:p>
        </w:tc>
      </w:tr>
    </w:tbl>
    <w:p w14:paraId="6A368A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数据采集系统</w:t>
      </w:r>
    </w:p>
    <w:p w14:paraId="497985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为尽可能真实、客观地反映学生高阶能力的发展变化，我们在研究过程中没有把判断建立在单一问卷或单次课堂评价上，而围绕学生、教师和课堂三个层面持续收集不同类型的数据。</w:t>
      </w:r>
    </w:p>
    <w:p w14:paraId="56134F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w:t>
      </w:r>
      <w:r>
        <w:rPr>
          <w:rFonts w:ascii="Times New Roman" w:eastAsia="宋体" w:hAnsi="Times New Roman" w:cs="Times New Roman"/>
          <w:sz w:val="24"/>
        </w:rPr>
        <w:t>AI</w:t>
      </w:r>
      <w:r>
        <w:rPr>
          <w:rFonts w:ascii="Times New Roman" w:eastAsia="宋体" w:hAnsi="Times New Roman" w:cs="Times New Roman"/>
          <w:sz w:val="24"/>
        </w:rPr>
        <w:t>评课获取教师讲授、提问、师生互动以及学生讨论、练习、展示、探究等课堂行为信息。</w:t>
      </w:r>
    </w:p>
    <w:p w14:paraId="3DCE844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这些数据各自反映研究的不同侧面。问卷帮助我们了解学生和教师前后发生了什么变化；教师五维评课帮助我们判断课堂是否形成了更加有利于高阶学习发生的教学与学习条件；希沃</w:t>
      </w:r>
      <w:r>
        <w:rPr>
          <w:rFonts w:ascii="Times New Roman" w:eastAsia="宋体" w:hAnsi="Times New Roman" w:cs="Times New Roman"/>
          <w:sz w:val="24"/>
        </w:rPr>
        <w:t>AI</w:t>
      </w:r>
      <w:r>
        <w:rPr>
          <w:rFonts w:ascii="Times New Roman" w:eastAsia="宋体" w:hAnsi="Times New Roman" w:cs="Times New Roman"/>
          <w:sz w:val="24"/>
        </w:rPr>
        <w:t>评课则更多呈现真实课堂中师生行为和学习参与的实际状态。研究中不以其中任何一种数据单独作出结论，而通过不同来源证据</w:t>
      </w:r>
      <w:r>
        <w:rPr>
          <w:rFonts w:ascii="Times New Roman" w:eastAsia="宋体" w:hAnsi="Times New Roman" w:cs="Times New Roman"/>
          <w:sz w:val="24"/>
        </w:rPr>
        <w:lastRenderedPageBreak/>
        <w:t>的相互参照，提高对研究成效判断的可靠性。</w:t>
      </w:r>
    </w:p>
    <w:p w14:paraId="36B50D2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3-33  </w:t>
      </w:r>
      <w:r>
        <w:rPr>
          <w:rFonts w:ascii="Times New Roman" w:eastAsia="黑体" w:hAnsi="Times New Roman" w:cs="Times New Roman"/>
        </w:rPr>
        <w:t>高阶能力培育评价工具与证据采集</w:t>
      </w:r>
    </w:p>
    <w:tbl>
      <w:tblPr>
        <w:tblStyle w:val="a6"/>
        <w:tblW w:w="882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1506"/>
        <w:gridCol w:w="1386"/>
        <w:gridCol w:w="1120"/>
        <w:gridCol w:w="3216"/>
      </w:tblGrid>
      <w:tr w:rsidR="000B1CCE" w14:paraId="555631F0" w14:textId="77777777">
        <w:trPr>
          <w:tblHeader/>
          <w:jc w:val="center"/>
        </w:trPr>
        <w:tc>
          <w:tcPr>
            <w:tcW w:w="15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C672F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考察维度</w:t>
            </w:r>
          </w:p>
        </w:tc>
        <w:tc>
          <w:tcPr>
            <w:tcW w:w="15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34AFB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工具</w:t>
            </w:r>
            <w:r>
              <w:rPr>
                <w:rFonts w:ascii="Times New Roman" w:eastAsia="宋体" w:hAnsi="Times New Roman" w:cs="Times New Roman"/>
                <w:b/>
                <w:szCs w:val="21"/>
              </w:rPr>
              <w:t>/</w:t>
            </w:r>
            <w:r>
              <w:rPr>
                <w:rFonts w:ascii="Times New Roman" w:eastAsia="宋体" w:hAnsi="Times New Roman" w:cs="Times New Roman"/>
                <w:b/>
                <w:szCs w:val="21"/>
              </w:rPr>
              <w:t>方法</w:t>
            </w:r>
          </w:p>
        </w:tc>
        <w:tc>
          <w:tcPr>
            <w:tcW w:w="138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44E3D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数据类型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7E6182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采集频次</w:t>
            </w:r>
          </w:p>
        </w:tc>
        <w:tc>
          <w:tcPr>
            <w:tcW w:w="321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38A67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论证支持</w:t>
            </w:r>
          </w:p>
        </w:tc>
      </w:tr>
      <w:tr w:rsidR="000B1CCE" w14:paraId="06D4C61C" w14:textId="77777777">
        <w:trPr>
          <w:jc w:val="center"/>
        </w:trPr>
        <w:tc>
          <w:tcPr>
            <w:tcW w:w="1596" w:type="dxa"/>
            <w:vMerge w:val="restart"/>
            <w:tcBorders>
              <w:top w:val="nil"/>
              <w:left w:val="nil"/>
              <w:bottom w:val="nil"/>
              <w:right w:val="nil"/>
            </w:tcBorders>
            <w:tcMar>
              <w:top w:w="-1" w:type="dxa"/>
              <w:left w:w="-1" w:type="dxa"/>
              <w:bottom w:w="-1" w:type="dxa"/>
              <w:right w:w="-1" w:type="dxa"/>
            </w:tcMar>
            <w:vAlign w:val="center"/>
          </w:tcPr>
          <w:p w14:paraId="66C6AB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学生能力变化</w:t>
            </w:r>
          </w:p>
        </w:tc>
        <w:tc>
          <w:tcPr>
            <w:tcW w:w="1506" w:type="dxa"/>
            <w:tcBorders>
              <w:top w:val="nil"/>
              <w:left w:val="nil"/>
              <w:bottom w:val="nil"/>
              <w:right w:val="nil"/>
            </w:tcBorders>
            <w:tcMar>
              <w:top w:w="-1" w:type="dxa"/>
              <w:left w:w="-1" w:type="dxa"/>
              <w:bottom w:w="-1" w:type="dxa"/>
              <w:right w:w="-1" w:type="dxa"/>
            </w:tcMar>
            <w:vAlign w:val="center"/>
          </w:tcPr>
          <w:p w14:paraId="6EBA2C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7746E7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76226F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220DCF4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支持判断学生分析、评价、创造三个维度是否发生变化。</w:t>
            </w:r>
          </w:p>
        </w:tc>
      </w:tr>
      <w:tr w:rsidR="000B1CCE" w14:paraId="76A9849D" w14:textId="77777777">
        <w:trPr>
          <w:jc w:val="center"/>
        </w:trPr>
        <w:tc>
          <w:tcPr>
            <w:tcW w:w="1596" w:type="dxa"/>
            <w:vMerge/>
            <w:tcBorders>
              <w:top w:val="nil"/>
              <w:left w:val="nil"/>
              <w:bottom w:val="nil"/>
              <w:right w:val="nil"/>
            </w:tcBorders>
            <w:tcMar>
              <w:top w:w="-1" w:type="dxa"/>
              <w:left w:w="-1" w:type="dxa"/>
              <w:bottom w:w="-1" w:type="dxa"/>
              <w:right w:w="-1" w:type="dxa"/>
            </w:tcMar>
            <w:vAlign w:val="center"/>
          </w:tcPr>
          <w:p w14:paraId="2BC0DD51" w14:textId="77777777" w:rsidR="000B1CCE" w:rsidRDefault="000B1CCE">
            <w:pPr>
              <w:adjustRightInd w:val="0"/>
              <w:snapToGrid w:val="0"/>
              <w:spacing w:before="20" w:after="2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20F728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44D1A4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399178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1CB569D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支持判断学生责任担当、情绪调节、合作共情、包容创新四个维度是否发生变化。</w:t>
            </w:r>
          </w:p>
        </w:tc>
      </w:tr>
      <w:tr w:rsidR="000B1CCE" w14:paraId="2DE69646"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6051676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2DF7E7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A69BB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655446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6D1085B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支持判断教师在高阶能力培育认知、课堂实践、教学自我效能及现实困难等方面是否发生变化。</w:t>
            </w:r>
          </w:p>
        </w:tc>
      </w:tr>
      <w:tr w:rsidR="000B1CCE" w14:paraId="43992C6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021FB8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5EFFB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329647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4A3876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732DEAE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支持判断课堂在认知参与、学科内容建构、社会情感支持、课堂互动和形成性评价方面的表现及其优势与不足。</w:t>
            </w:r>
          </w:p>
        </w:tc>
      </w:tr>
      <w:tr w:rsidR="000B1CCE" w14:paraId="6F472FB2" w14:textId="77777777">
        <w:trPr>
          <w:jc w:val="center"/>
        </w:trPr>
        <w:tc>
          <w:tcPr>
            <w:tcW w:w="1596" w:type="dxa"/>
            <w:tcBorders>
              <w:top w:val="nil"/>
              <w:left w:val="nil"/>
              <w:bottom w:val="single" w:sz="12" w:space="0" w:color="000000"/>
              <w:right w:val="nil"/>
            </w:tcBorders>
            <w:tcMar>
              <w:top w:w="-1" w:type="dxa"/>
              <w:left w:w="-1" w:type="dxa"/>
              <w:bottom w:w="-1" w:type="dxa"/>
              <w:right w:w="-1" w:type="dxa"/>
            </w:tcMar>
            <w:vAlign w:val="center"/>
          </w:tcPr>
          <w:p w14:paraId="664A5E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课堂行为变化</w:t>
            </w:r>
          </w:p>
        </w:tc>
        <w:tc>
          <w:tcPr>
            <w:tcW w:w="1506" w:type="dxa"/>
            <w:tcBorders>
              <w:top w:val="nil"/>
              <w:left w:val="nil"/>
              <w:bottom w:val="single" w:sz="12" w:space="0" w:color="000000"/>
              <w:right w:val="nil"/>
            </w:tcBorders>
            <w:tcMar>
              <w:top w:w="-1" w:type="dxa"/>
              <w:left w:w="-1" w:type="dxa"/>
              <w:bottom w:w="-1" w:type="dxa"/>
              <w:right w:w="-1" w:type="dxa"/>
            </w:tcMar>
            <w:vAlign w:val="center"/>
          </w:tcPr>
          <w:p w14:paraId="4E1F60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希沃</w:t>
            </w:r>
            <w:r>
              <w:rPr>
                <w:rFonts w:ascii="Times New Roman" w:eastAsia="宋体" w:hAnsi="Times New Roman" w:cs="Times New Roman"/>
                <w:szCs w:val="21"/>
              </w:rPr>
              <w:t>AI</w:t>
            </w:r>
            <w:r>
              <w:rPr>
                <w:rFonts w:ascii="Times New Roman" w:eastAsia="宋体" w:hAnsi="Times New Roman" w:cs="Times New Roman"/>
                <w:szCs w:val="21"/>
              </w:rPr>
              <w:t>课堂智能反馈系统</w:t>
            </w:r>
          </w:p>
        </w:tc>
        <w:tc>
          <w:tcPr>
            <w:tcW w:w="1386" w:type="dxa"/>
            <w:tcBorders>
              <w:top w:val="nil"/>
              <w:left w:val="nil"/>
              <w:bottom w:val="single" w:sz="12" w:space="0" w:color="000000"/>
              <w:right w:val="nil"/>
            </w:tcBorders>
            <w:tcMar>
              <w:top w:w="-1" w:type="dxa"/>
              <w:left w:w="-1" w:type="dxa"/>
              <w:bottom w:w="-1" w:type="dxa"/>
              <w:right w:w="-1" w:type="dxa"/>
            </w:tcMar>
            <w:vAlign w:val="center"/>
          </w:tcPr>
          <w:p w14:paraId="24D545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1120" w:type="dxa"/>
            <w:tcBorders>
              <w:top w:val="nil"/>
              <w:left w:val="nil"/>
              <w:bottom w:val="single" w:sz="12" w:space="0" w:color="000000"/>
              <w:right w:val="nil"/>
            </w:tcBorders>
            <w:tcMar>
              <w:top w:w="-1" w:type="dxa"/>
              <w:left w:w="-1" w:type="dxa"/>
              <w:bottom w:w="-1" w:type="dxa"/>
              <w:right w:w="-1" w:type="dxa"/>
            </w:tcMar>
            <w:vAlign w:val="center"/>
          </w:tcPr>
          <w:p w14:paraId="24C5D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single" w:sz="12" w:space="0" w:color="000000"/>
              <w:right w:val="nil"/>
            </w:tcBorders>
            <w:tcMar>
              <w:top w:w="-1" w:type="dxa"/>
              <w:left w:w="-1" w:type="dxa"/>
              <w:bottom w:w="-1" w:type="dxa"/>
              <w:right w:w="-1" w:type="dxa"/>
            </w:tcMar>
            <w:vAlign w:val="center"/>
          </w:tcPr>
          <w:p w14:paraId="561B458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支持判断教师与学生课堂行为结构、参与方式和互动状态，为课堂学习过程分析提供行为证据。</w:t>
            </w:r>
          </w:p>
        </w:tc>
      </w:tr>
    </w:tbl>
    <w:p w14:paraId="18FDAFD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教师五维评课和希沃</w:t>
      </w:r>
      <w:r>
        <w:rPr>
          <w:rFonts w:ascii="Times New Roman" w:eastAsia="宋体" w:hAnsi="Times New Roman" w:cs="Times New Roman"/>
          <w:sz w:val="24"/>
        </w:rPr>
        <w:t>AI</w:t>
      </w:r>
      <w:r>
        <w:rPr>
          <w:rFonts w:ascii="Times New Roman" w:eastAsia="宋体" w:hAnsi="Times New Roman" w:cs="Times New Roman"/>
          <w:sz w:val="24"/>
        </w:rPr>
        <w:t>评课反映的是课堂学习条件和行为过程。五维评课更多体现教师基于专业标准对课堂学习状态和教学支持的判断，希沃</w:t>
      </w:r>
      <w:r>
        <w:rPr>
          <w:rFonts w:ascii="Times New Roman" w:eastAsia="宋体" w:hAnsi="Times New Roman" w:cs="Times New Roman"/>
          <w:sz w:val="24"/>
        </w:rPr>
        <w:t>AI</w:t>
      </w:r>
      <w:r>
        <w:rPr>
          <w:rFonts w:ascii="Times New Roman" w:eastAsia="宋体" w:hAnsi="Times New Roman" w:cs="Times New Roman"/>
          <w:sz w:val="24"/>
        </w:rPr>
        <w:t>评课更多呈现课堂中实际发生的行为过程。二者与学生、教师前后测相互补充，从不同角度呈现研究实践中发生的变化。</w:t>
      </w:r>
    </w:p>
    <w:p w14:paraId="574F551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多源证据链</w:t>
      </w:r>
    </w:p>
    <w:p w14:paraId="197F7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多源数据只有建立起相互联系，才能真正成为研究证据。为此，我们主要从纵向变化、学习过程和多元评价三个方面组织研究证据。</w:t>
      </w:r>
    </w:p>
    <w:p w14:paraId="497CC9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）前测、过程与后测的纵向证据</w:t>
      </w:r>
    </w:p>
    <w:p w14:paraId="53488C2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213686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纵向证据涵盖前测确定起点、实践产生变化、过程留下证据和后测检验结果的完整过程。这一证据链主要帮助我们回答，经过持续实践，学生高阶能力是否发生变化，教师高阶能力培育实践是否发生变化，以及这些变化能否在课堂实践中得到相应支持。</w:t>
      </w:r>
    </w:p>
    <w:p w14:paraId="43E2C6C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）起点、过程、变化与迁移的横向证据</w:t>
      </w:r>
    </w:p>
    <w:p w14:paraId="6DF09F3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高阶能力的判断需要结合学习过程中的表现。在具体课堂和项目中，我们更</w:t>
      </w:r>
      <w:r>
        <w:rPr>
          <w:rFonts w:ascii="Times New Roman" w:eastAsia="宋体" w:hAnsi="Times New Roman" w:cs="Times New Roman"/>
          <w:sz w:val="24"/>
        </w:rPr>
        <w:lastRenderedPageBreak/>
        <w:t>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431953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因此，在已有典型案例中，我们重点关注学生原来怎样理解、学习过程中怎样思考和调整、前后发生了什么变化和能否在新的情境中继续运用。这一证据链使进步可见和能力可见落实到具体学习过程。</w:t>
      </w:r>
    </w:p>
    <w:p w14:paraId="3D9ACC2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）自评、互评、师评与智评的多元互证</w:t>
      </w:r>
    </w:p>
    <w:p w14:paraId="76961C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w:t>
      </w:r>
      <w:r>
        <w:rPr>
          <w:rFonts w:ascii="Times New Roman" w:eastAsia="宋体" w:hAnsi="Times New Roman" w:cs="Times New Roman"/>
          <w:sz w:val="24"/>
        </w:rPr>
        <w:t>AI</w:t>
      </w:r>
      <w:r>
        <w:rPr>
          <w:rFonts w:ascii="Times New Roman" w:eastAsia="宋体" w:hAnsi="Times New Roman" w:cs="Times New Roman"/>
          <w:sz w:val="24"/>
        </w:rPr>
        <w:t>评课则从课堂行为信息角度提供另一种参照。</w:t>
      </w:r>
    </w:p>
    <w:p w14:paraId="77BF07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不同评价信息无须彼此完全一致，不同证据之间的一致与差异，为我们进一步理解学生学习提供了依据。例如，学生讨论时间较长时，还需结合教师专业评价和具体课堂表现，判断讨论是否包含分析、评价、证据使用和观点修正。多元互证的目的是避免依据单一证据作出过度判断，使研究结论更加接近真实课堂。</w:t>
      </w:r>
    </w:p>
    <w:p w14:paraId="769164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来看，本研究所建立的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w:t>
      </w:r>
      <w:r>
        <w:rPr>
          <w:rFonts w:ascii="Times New Roman" w:eastAsia="宋体" w:hAnsi="Times New Roman" w:cs="Times New Roman"/>
          <w:sz w:val="24"/>
        </w:rPr>
        <w:t>AI</w:t>
      </w:r>
      <w:r>
        <w:rPr>
          <w:rFonts w:ascii="Times New Roman" w:eastAsia="宋体" w:hAnsi="Times New Roman" w:cs="Times New Roman"/>
          <w:sz w:val="24"/>
        </w:rPr>
        <w:t>评课则从不同侧面提供研究数据。教师依据这些证据进行诊断发现、干预、实施和评估，判断学生当前在哪里、教学支持是否有效、下一步需要怎样调整。</w:t>
      </w:r>
      <w:r>
        <w:rPr>
          <w:rFonts w:ascii="Times New Roman" w:eastAsia="宋体" w:hAnsi="Times New Roman" w:cs="Times New Roman"/>
          <w:b/>
          <w:sz w:val="24"/>
        </w:rPr>
        <w:t>由此，评价不再只是研究结束后的成效说明，而成为我们看见学习、判断学习并改进教学的重要依据。</w:t>
      </w:r>
    </w:p>
    <w:p w14:paraId="42BDA00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（七）模型实施成效分析</w:t>
      </w:r>
    </w:p>
    <w:p w14:paraId="7FB088C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bCs/>
          <w:sz w:val="24"/>
        </w:rPr>
        <w:t>1.</w:t>
      </w:r>
      <w:r>
        <w:rPr>
          <w:rFonts w:ascii="Times New Roman" w:eastAsia="黑体" w:hAnsi="Times New Roman" w:cs="Times New Roman"/>
          <w:b/>
          <w:bCs/>
          <w:sz w:val="24"/>
        </w:rPr>
        <w:t>学生问卷前后测结果</w:t>
      </w:r>
    </w:p>
    <w:p w14:paraId="327D08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w:t>
      </w:r>
      <w:r>
        <w:rPr>
          <w:rFonts w:ascii="Times New Roman" w:eastAsia="宋体" w:hAnsi="Times New Roman" w:cs="Times New Roman"/>
          <w:sz w:val="24"/>
        </w:rPr>
        <w:t>1346</w:t>
      </w:r>
      <w:r>
        <w:rPr>
          <w:rFonts w:ascii="Times New Roman" w:eastAsia="宋体" w:hAnsi="Times New Roman" w:cs="Times New Roman"/>
          <w:sz w:val="24"/>
        </w:rPr>
        <w:t>对学生问卷，依次从总体、学段、年级和具体维度考察研究期间的发展成效。</w:t>
      </w:r>
      <w:r>
        <w:rPr>
          <w:rFonts w:ascii="Times New Roman" w:eastAsia="宋体" w:hAnsi="Times New Roman" w:cs="Times New Roman"/>
          <w:b/>
          <w:sz w:val="24"/>
        </w:rPr>
        <w:t>结果显示，高阶思维总体小幅提高，高阶社会情感总体改善较为明显；初中和高中均有改善，但分年级结果存在差异。</w:t>
      </w:r>
      <w:r>
        <w:rPr>
          <w:rFonts w:ascii="Times New Roman" w:eastAsia="宋体" w:hAnsi="Times New Roman" w:cs="Times New Roman"/>
          <w:sz w:val="24"/>
        </w:rPr>
        <w:t>以下以实际增分、置信区间和统计检验为依据，说明成效体现在哪些方面。</w:t>
      </w:r>
    </w:p>
    <w:p w14:paraId="01A9A91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1</w:t>
      </w:r>
      <w:r>
        <w:rPr>
          <w:rFonts w:ascii="Times New Roman" w:eastAsia="宋体" w:hAnsi="Times New Roman" w:cs="Times New Roman"/>
          <w:b/>
          <w:sz w:val="24"/>
        </w:rPr>
        <w:t>）分析样本与方法</w:t>
      </w:r>
    </w:p>
    <w:p w14:paraId="64C7D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以前后测修订编号一对一对应的</w:t>
      </w:r>
      <w:r>
        <w:rPr>
          <w:rFonts w:ascii="Times New Roman" w:eastAsia="宋体" w:hAnsi="Times New Roman" w:cs="Times New Roman"/>
          <w:sz w:val="24"/>
        </w:rPr>
        <w:t>1346</w:t>
      </w:r>
      <w:r>
        <w:rPr>
          <w:rFonts w:ascii="Times New Roman" w:eastAsia="宋体" w:hAnsi="Times New Roman" w:cs="Times New Roman"/>
          <w:sz w:val="24"/>
        </w:rPr>
        <w:t>对记录为分析样本，其中初中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对。两次测量的修订编号无缺失或重复，对应记录的性别、年级一致，</w:t>
      </w:r>
      <w:r>
        <w:rPr>
          <w:rFonts w:ascii="Times New Roman" w:eastAsia="宋体" w:hAnsi="Times New Roman" w:cs="Times New Roman"/>
          <w:sz w:val="24"/>
        </w:rPr>
        <w:t>32</w:t>
      </w:r>
      <w:r>
        <w:rPr>
          <w:rFonts w:ascii="Times New Roman" w:eastAsia="宋体" w:hAnsi="Times New Roman" w:cs="Times New Roman"/>
          <w:sz w:val="24"/>
        </w:rPr>
        <w:t>道题项均完整。分析以所提供编号确实对应同一学生为前提，背景信息一致不能替代独立名册核验。</w:t>
      </w:r>
    </w:p>
    <w:p w14:paraId="61A9F44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3-34  </w:t>
      </w:r>
      <w:r>
        <w:rPr>
          <w:rFonts w:ascii="Times New Roman" w:eastAsia="黑体" w:hAnsi="Times New Roman" w:cs="Times New Roman"/>
        </w:rPr>
        <w:t>研究样本基本情况</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91"/>
        <w:gridCol w:w="2862"/>
        <w:gridCol w:w="1691"/>
        <w:gridCol w:w="2275"/>
      </w:tblGrid>
      <w:tr w:rsidR="000B1CCE" w14:paraId="3830AD3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0CDA0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变量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814112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类别</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4E31F9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人数</w:t>
            </w:r>
          </w:p>
        </w:tc>
        <w:tc>
          <w:tcPr>
            <w:tcW w:w="227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83FF1E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比例</w:t>
            </w:r>
          </w:p>
        </w:tc>
      </w:tr>
      <w:tr w:rsidR="000B1CCE" w14:paraId="65265A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7135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181B5D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男</w:t>
            </w:r>
          </w:p>
        </w:tc>
        <w:tc>
          <w:tcPr>
            <w:tcW w:w="0" w:type="auto"/>
            <w:tcBorders>
              <w:top w:val="nil"/>
              <w:left w:val="nil"/>
              <w:bottom w:val="nil"/>
              <w:right w:val="nil"/>
            </w:tcBorders>
            <w:tcMar>
              <w:top w:w="-1" w:type="dxa"/>
              <w:left w:w="-1" w:type="dxa"/>
              <w:bottom w:w="-1" w:type="dxa"/>
              <w:right w:w="-1" w:type="dxa"/>
            </w:tcMar>
            <w:vAlign w:val="center"/>
          </w:tcPr>
          <w:p w14:paraId="6CDB2B3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671</w:t>
            </w:r>
          </w:p>
        </w:tc>
        <w:tc>
          <w:tcPr>
            <w:tcW w:w="2275" w:type="dxa"/>
            <w:tcBorders>
              <w:top w:val="nil"/>
              <w:left w:val="nil"/>
              <w:bottom w:val="nil"/>
              <w:right w:val="nil"/>
            </w:tcBorders>
            <w:tcMar>
              <w:top w:w="-1" w:type="dxa"/>
              <w:left w:w="-1" w:type="dxa"/>
              <w:bottom w:w="-1" w:type="dxa"/>
              <w:right w:w="-1" w:type="dxa"/>
            </w:tcMar>
            <w:vAlign w:val="center"/>
          </w:tcPr>
          <w:p w14:paraId="2F15749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49.85%</w:t>
            </w:r>
          </w:p>
        </w:tc>
      </w:tr>
      <w:tr w:rsidR="000B1CCE" w14:paraId="01553D2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655A4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4A4554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女</w:t>
            </w:r>
          </w:p>
        </w:tc>
        <w:tc>
          <w:tcPr>
            <w:tcW w:w="0" w:type="auto"/>
            <w:tcBorders>
              <w:top w:val="nil"/>
              <w:left w:val="nil"/>
              <w:bottom w:val="nil"/>
              <w:right w:val="nil"/>
            </w:tcBorders>
            <w:tcMar>
              <w:top w:w="-1" w:type="dxa"/>
              <w:left w:w="-1" w:type="dxa"/>
              <w:bottom w:w="-1" w:type="dxa"/>
              <w:right w:w="-1" w:type="dxa"/>
            </w:tcMar>
            <w:vAlign w:val="center"/>
          </w:tcPr>
          <w:p w14:paraId="60C1AC2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675</w:t>
            </w:r>
          </w:p>
        </w:tc>
        <w:tc>
          <w:tcPr>
            <w:tcW w:w="2275" w:type="dxa"/>
            <w:tcBorders>
              <w:top w:val="nil"/>
              <w:left w:val="nil"/>
              <w:bottom w:val="nil"/>
              <w:right w:val="nil"/>
            </w:tcBorders>
            <w:tcMar>
              <w:top w:w="-1" w:type="dxa"/>
              <w:left w:w="-1" w:type="dxa"/>
              <w:bottom w:w="-1" w:type="dxa"/>
              <w:right w:w="-1" w:type="dxa"/>
            </w:tcMar>
            <w:vAlign w:val="center"/>
          </w:tcPr>
          <w:p w14:paraId="00F63B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50.15%</w:t>
            </w:r>
          </w:p>
        </w:tc>
      </w:tr>
      <w:tr w:rsidR="000B1CCE" w14:paraId="05D491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169A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043C21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0" w:type="auto"/>
            <w:tcBorders>
              <w:top w:val="nil"/>
              <w:left w:val="nil"/>
              <w:bottom w:val="nil"/>
              <w:right w:val="nil"/>
            </w:tcBorders>
            <w:tcMar>
              <w:top w:w="-1" w:type="dxa"/>
              <w:left w:w="-1" w:type="dxa"/>
              <w:bottom w:w="-1" w:type="dxa"/>
              <w:right w:w="-1" w:type="dxa"/>
            </w:tcMar>
            <w:vAlign w:val="center"/>
          </w:tcPr>
          <w:p w14:paraId="11E33FF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561885D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836ED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ED44B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7723A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0" w:type="auto"/>
            <w:tcBorders>
              <w:top w:val="nil"/>
              <w:left w:val="nil"/>
              <w:bottom w:val="nil"/>
              <w:right w:val="nil"/>
            </w:tcBorders>
            <w:tcMar>
              <w:top w:w="-1" w:type="dxa"/>
              <w:left w:w="-1" w:type="dxa"/>
              <w:bottom w:w="-1" w:type="dxa"/>
              <w:right w:w="-1" w:type="dxa"/>
            </w:tcMar>
            <w:vAlign w:val="center"/>
          </w:tcPr>
          <w:p w14:paraId="1447DE1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2275" w:type="dxa"/>
            <w:tcBorders>
              <w:top w:val="nil"/>
              <w:left w:val="nil"/>
              <w:bottom w:val="nil"/>
              <w:right w:val="nil"/>
            </w:tcBorders>
            <w:tcMar>
              <w:top w:w="-1" w:type="dxa"/>
              <w:left w:w="-1" w:type="dxa"/>
              <w:bottom w:w="-1" w:type="dxa"/>
              <w:right w:w="-1" w:type="dxa"/>
            </w:tcMar>
            <w:vAlign w:val="center"/>
          </w:tcPr>
          <w:p w14:paraId="2420C51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17.01%</w:t>
            </w:r>
          </w:p>
        </w:tc>
      </w:tr>
      <w:tr w:rsidR="000B1CCE" w14:paraId="3CE141E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D02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3B5FF15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0" w:type="auto"/>
            <w:tcBorders>
              <w:top w:val="nil"/>
              <w:left w:val="nil"/>
              <w:bottom w:val="nil"/>
              <w:right w:val="nil"/>
            </w:tcBorders>
            <w:tcMar>
              <w:top w:w="-1" w:type="dxa"/>
              <w:left w:w="-1" w:type="dxa"/>
              <w:bottom w:w="-1" w:type="dxa"/>
              <w:right w:w="-1" w:type="dxa"/>
            </w:tcMar>
            <w:vAlign w:val="center"/>
          </w:tcPr>
          <w:p w14:paraId="6ABB5F3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31419AE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31456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AAF40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416126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0" w:type="auto"/>
            <w:tcBorders>
              <w:top w:val="nil"/>
              <w:left w:val="nil"/>
              <w:bottom w:val="nil"/>
              <w:right w:val="nil"/>
            </w:tcBorders>
            <w:tcMar>
              <w:top w:w="-1" w:type="dxa"/>
              <w:left w:w="-1" w:type="dxa"/>
              <w:bottom w:w="-1" w:type="dxa"/>
              <w:right w:w="-1" w:type="dxa"/>
            </w:tcMar>
            <w:vAlign w:val="center"/>
          </w:tcPr>
          <w:p w14:paraId="4718B55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2275" w:type="dxa"/>
            <w:tcBorders>
              <w:top w:val="nil"/>
              <w:left w:val="nil"/>
              <w:bottom w:val="nil"/>
              <w:right w:val="nil"/>
            </w:tcBorders>
            <w:tcMar>
              <w:top w:w="-1" w:type="dxa"/>
              <w:left w:w="-1" w:type="dxa"/>
              <w:bottom w:w="-1" w:type="dxa"/>
              <w:right w:w="-1" w:type="dxa"/>
            </w:tcMar>
            <w:vAlign w:val="center"/>
          </w:tcPr>
          <w:p w14:paraId="19F2CF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16.64%</w:t>
            </w:r>
          </w:p>
        </w:tc>
      </w:tr>
      <w:tr w:rsidR="000B1CCE" w14:paraId="17EBE02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E79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73A37B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0" w:type="auto"/>
            <w:tcBorders>
              <w:top w:val="nil"/>
              <w:left w:val="nil"/>
              <w:bottom w:val="nil"/>
              <w:right w:val="nil"/>
            </w:tcBorders>
            <w:tcMar>
              <w:top w:w="-1" w:type="dxa"/>
              <w:left w:w="-1" w:type="dxa"/>
              <w:bottom w:w="-1" w:type="dxa"/>
              <w:right w:w="-1" w:type="dxa"/>
            </w:tcMar>
            <w:vAlign w:val="center"/>
          </w:tcPr>
          <w:p w14:paraId="61C4AE2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2275" w:type="dxa"/>
            <w:tcBorders>
              <w:top w:val="nil"/>
              <w:left w:val="nil"/>
              <w:bottom w:val="nil"/>
              <w:right w:val="nil"/>
            </w:tcBorders>
            <w:tcMar>
              <w:top w:w="-1" w:type="dxa"/>
              <w:left w:w="-1" w:type="dxa"/>
              <w:bottom w:w="-1" w:type="dxa"/>
              <w:right w:w="-1" w:type="dxa"/>
            </w:tcMar>
            <w:vAlign w:val="center"/>
          </w:tcPr>
          <w:p w14:paraId="515A7FF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10.77%</w:t>
            </w:r>
          </w:p>
        </w:tc>
      </w:tr>
      <w:tr w:rsidR="000B1CCE" w14:paraId="538889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020AB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C61AE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0" w:type="auto"/>
            <w:tcBorders>
              <w:top w:val="nil"/>
              <w:left w:val="nil"/>
              <w:bottom w:val="nil"/>
              <w:right w:val="nil"/>
            </w:tcBorders>
            <w:tcMar>
              <w:top w:w="-1" w:type="dxa"/>
              <w:left w:w="-1" w:type="dxa"/>
              <w:bottom w:w="-1" w:type="dxa"/>
              <w:right w:w="-1" w:type="dxa"/>
            </w:tcMar>
            <w:vAlign w:val="center"/>
          </w:tcPr>
          <w:p w14:paraId="6A7DA6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nil"/>
              <w:right w:val="nil"/>
            </w:tcBorders>
            <w:tcMar>
              <w:top w:w="-1" w:type="dxa"/>
              <w:left w:w="-1" w:type="dxa"/>
              <w:bottom w:w="-1" w:type="dxa"/>
              <w:right w:w="-1" w:type="dxa"/>
            </w:tcMar>
            <w:vAlign w:val="center"/>
          </w:tcPr>
          <w:p w14:paraId="716F3D1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r w:rsidR="000B1CCE" w14:paraId="1E71686E"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3816B3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59F8AB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33DA0B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EFEC25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bl>
    <w:p w14:paraId="7FC016F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各题按</w:t>
      </w:r>
      <w:r>
        <w:rPr>
          <w:rFonts w:ascii="Times New Roman" w:eastAsia="宋体" w:hAnsi="Times New Roman" w:cs="Times New Roman"/>
          <w:sz w:val="24"/>
        </w:rPr>
        <w:t>1—5</w:t>
      </w:r>
      <w:r>
        <w:rPr>
          <w:rFonts w:ascii="Times New Roman" w:eastAsia="宋体" w:hAnsi="Times New Roman" w:cs="Times New Roman"/>
          <w:sz w:val="24"/>
        </w:rPr>
        <w:t>分计分。分析、评价、创造各含</w:t>
      </w:r>
      <w:r>
        <w:rPr>
          <w:rFonts w:ascii="Times New Roman" w:eastAsia="宋体" w:hAnsi="Times New Roman" w:cs="Times New Roman"/>
          <w:sz w:val="24"/>
        </w:rPr>
        <w:t>4</w:t>
      </w:r>
      <w:r>
        <w:rPr>
          <w:rFonts w:ascii="Times New Roman" w:eastAsia="宋体" w:hAnsi="Times New Roman" w:cs="Times New Roman"/>
          <w:sz w:val="24"/>
        </w:rPr>
        <w:t>题；责任担当、情绪调节、合作共情、包容创新各含</w:t>
      </w:r>
      <w:r>
        <w:rPr>
          <w:rFonts w:ascii="Times New Roman" w:eastAsia="宋体" w:hAnsi="Times New Roman" w:cs="Times New Roman"/>
          <w:sz w:val="24"/>
        </w:rPr>
        <w:t>5</w:t>
      </w:r>
      <w:r>
        <w:rPr>
          <w:rFonts w:ascii="Times New Roman" w:eastAsia="宋体" w:hAnsi="Times New Roman" w:cs="Times New Roman"/>
          <w:sz w:val="24"/>
        </w:rPr>
        <w:t>题。维度得分取所属题项均值；高阶思维总体取前</w:t>
      </w:r>
      <w:r>
        <w:rPr>
          <w:rFonts w:ascii="Times New Roman" w:eastAsia="宋体" w:hAnsi="Times New Roman" w:cs="Times New Roman"/>
          <w:sz w:val="24"/>
        </w:rPr>
        <w:t>12</w:t>
      </w:r>
      <w:r>
        <w:rPr>
          <w:rFonts w:ascii="Times New Roman" w:eastAsia="宋体" w:hAnsi="Times New Roman" w:cs="Times New Roman"/>
          <w:sz w:val="24"/>
        </w:rPr>
        <w:t>题均值，高阶社会情感总体取后</w:t>
      </w:r>
      <w:r>
        <w:rPr>
          <w:rFonts w:ascii="Times New Roman" w:eastAsia="宋体" w:hAnsi="Times New Roman" w:cs="Times New Roman"/>
          <w:sz w:val="24"/>
        </w:rPr>
        <w:t>20</w:t>
      </w:r>
      <w:r>
        <w:rPr>
          <w:rFonts w:ascii="Times New Roman" w:eastAsia="宋体" w:hAnsi="Times New Roman" w:cs="Times New Roman"/>
          <w:sz w:val="24"/>
        </w:rPr>
        <w:t>题均值，分别报告，不合并作为单一能力指标。</w:t>
      </w:r>
    </w:p>
    <w:p w14:paraId="073E7E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采用双侧配对</w:t>
      </w:r>
      <w:r>
        <w:rPr>
          <w:rFonts w:ascii="Times New Roman" w:eastAsia="宋体" w:hAnsi="Times New Roman" w:cs="Times New Roman"/>
          <w:sz w:val="24"/>
        </w:rPr>
        <w:t>t</w:t>
      </w:r>
      <w:r>
        <w:rPr>
          <w:rFonts w:ascii="Times New Roman" w:eastAsia="宋体" w:hAnsi="Times New Roman" w:cs="Times New Roman"/>
          <w:sz w:val="24"/>
        </w:rPr>
        <w:t>检验，报告平均增分、</w:t>
      </w:r>
      <w:r>
        <w:rPr>
          <w:rFonts w:ascii="Times New Roman" w:eastAsia="宋体" w:hAnsi="Times New Roman" w:cs="Times New Roman"/>
          <w:sz w:val="24"/>
        </w:rPr>
        <w:t>95%</w:t>
      </w:r>
      <w:r>
        <w:rPr>
          <w:rFonts w:ascii="Times New Roman" w:eastAsia="宋体" w:hAnsi="Times New Roman" w:cs="Times New Roman"/>
          <w:sz w:val="24"/>
        </w:rPr>
        <w:t>置信区间和配对效应量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。两个学段的增分比较采用</w:t>
      </w:r>
      <w:r>
        <w:rPr>
          <w:rFonts w:ascii="Times New Roman" w:eastAsia="宋体" w:hAnsi="Times New Roman" w:cs="Times New Roman"/>
          <w:sz w:val="24"/>
        </w:rPr>
        <w:t>Welch t</w:t>
      </w:r>
      <w:r>
        <w:rPr>
          <w:rFonts w:ascii="Times New Roman" w:eastAsia="宋体" w:hAnsi="Times New Roman" w:cs="Times New Roman"/>
          <w:sz w:val="24"/>
        </w:rPr>
        <w:t>检验，比较高中与初中学生的个体差值。</w:t>
      </w:r>
      <w:r>
        <w:rPr>
          <w:rFonts w:ascii="Times New Roman" w:eastAsia="宋体" w:hAnsi="Times New Roman" w:cs="Times New Roman"/>
          <w:sz w:val="24"/>
        </w:rPr>
        <w:t>Holm</w:t>
      </w:r>
      <w:r>
        <w:rPr>
          <w:rFonts w:ascii="Times New Roman" w:eastAsia="宋体" w:hAnsi="Times New Roman" w:cs="Times New Roman"/>
          <w:sz w:val="24"/>
        </w:rPr>
        <w:t>校正分别用于总体及七维</w:t>
      </w:r>
      <w:r>
        <w:rPr>
          <w:rFonts w:ascii="Times New Roman" w:eastAsia="宋体" w:hAnsi="Times New Roman" w:cs="Times New Roman"/>
          <w:sz w:val="24"/>
        </w:rPr>
        <w:t>9</w:t>
      </w:r>
      <w:r>
        <w:rPr>
          <w:rFonts w:ascii="Times New Roman" w:eastAsia="宋体" w:hAnsi="Times New Roman" w:cs="Times New Roman"/>
          <w:sz w:val="24"/>
        </w:rPr>
        <w:t>项检验、学段内</w:t>
      </w:r>
      <w:r>
        <w:rPr>
          <w:rFonts w:ascii="Times New Roman" w:eastAsia="宋体" w:hAnsi="Times New Roman" w:cs="Times New Roman"/>
          <w:sz w:val="24"/>
        </w:rPr>
        <w:t>4</w:t>
      </w:r>
      <w:r>
        <w:rPr>
          <w:rFonts w:ascii="Times New Roman" w:eastAsia="宋体" w:hAnsi="Times New Roman" w:cs="Times New Roman"/>
          <w:sz w:val="24"/>
        </w:rPr>
        <w:t>项检验、学段增分比较</w:t>
      </w:r>
      <w:r>
        <w:rPr>
          <w:rFonts w:ascii="Times New Roman" w:eastAsia="宋体" w:hAnsi="Times New Roman" w:cs="Times New Roman"/>
          <w:sz w:val="24"/>
        </w:rPr>
        <w:t>2</w:t>
      </w:r>
      <w:r>
        <w:rPr>
          <w:rFonts w:ascii="Times New Roman" w:eastAsia="宋体" w:hAnsi="Times New Roman" w:cs="Times New Roman"/>
          <w:sz w:val="24"/>
        </w:rPr>
        <w:t>项检验、年级内</w:t>
      </w:r>
      <w:r>
        <w:rPr>
          <w:rFonts w:ascii="Times New Roman" w:eastAsia="宋体" w:hAnsi="Times New Roman" w:cs="Times New Roman"/>
          <w:sz w:val="24"/>
        </w:rPr>
        <w:t>14</w:t>
      </w:r>
      <w:r>
        <w:rPr>
          <w:rFonts w:ascii="Times New Roman" w:eastAsia="宋体" w:hAnsi="Times New Roman" w:cs="Times New Roman"/>
          <w:sz w:val="24"/>
        </w:rPr>
        <w:t>项检验；分组分析属于补充探索，校正控制各组检验内部的多重比较误差，并非全报告统一校正。</w:t>
      </w:r>
    </w:p>
    <w:p w14:paraId="0397A7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补充分析包括，剔除任一测次</w:t>
      </w:r>
      <w:r>
        <w:rPr>
          <w:rFonts w:ascii="Times New Roman" w:eastAsia="宋体" w:hAnsi="Times New Roman" w:cs="Times New Roman"/>
          <w:sz w:val="24"/>
        </w:rPr>
        <w:t>32</w:t>
      </w:r>
      <w:r>
        <w:rPr>
          <w:rFonts w:ascii="Times New Roman" w:eastAsia="宋体" w:hAnsi="Times New Roman" w:cs="Times New Roman"/>
          <w:sz w:val="24"/>
        </w:rPr>
        <w:t>题同选项作答记录后的敏感性分析，以及按年级初始水平和平均增分开展的探索性聚类。所有统计由题项重算；表中增分及检验基于未四舍五入数据。</w:t>
      </w:r>
    </w:p>
    <w:p w14:paraId="6C0F56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）总体变化</w:t>
      </w:r>
    </w:p>
    <w:p w14:paraId="2363F96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）高阶思维总体</w:t>
      </w:r>
    </w:p>
    <w:p w14:paraId="4D629F9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3-35  </w:t>
      </w:r>
      <w:r>
        <w:rPr>
          <w:rFonts w:ascii="Times New Roman" w:eastAsia="黑体" w:hAnsi="Times New Roman" w:cs="Times New Roman"/>
        </w:rPr>
        <w:t>高阶思维总体前后测配对比较（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48DCB570"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90EA7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7F170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A2DB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BC6EC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F3A0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506DB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8EC30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1F43687D"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562977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0FECC0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3.934</w:t>
            </w:r>
          </w:p>
        </w:tc>
        <w:tc>
          <w:tcPr>
            <w:tcW w:w="1014" w:type="dxa"/>
            <w:tcBorders>
              <w:top w:val="nil"/>
              <w:left w:val="nil"/>
              <w:bottom w:val="nil"/>
              <w:right w:val="nil"/>
            </w:tcBorders>
            <w:tcMar>
              <w:top w:w="-1" w:type="dxa"/>
              <w:left w:w="-1" w:type="dxa"/>
              <w:bottom w:w="-1" w:type="dxa"/>
              <w:right w:w="-1" w:type="dxa"/>
            </w:tcMar>
            <w:vAlign w:val="center"/>
          </w:tcPr>
          <w:p w14:paraId="089E490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0.786</w:t>
            </w:r>
          </w:p>
        </w:tc>
        <w:tc>
          <w:tcPr>
            <w:tcW w:w="1215" w:type="dxa"/>
            <w:vMerge w:val="restart"/>
            <w:tcBorders>
              <w:top w:val="nil"/>
              <w:left w:val="nil"/>
              <w:bottom w:val="nil"/>
              <w:right w:val="nil"/>
            </w:tcBorders>
            <w:tcMar>
              <w:top w:w="-1" w:type="dxa"/>
              <w:left w:w="-1" w:type="dxa"/>
              <w:bottom w:w="-1" w:type="dxa"/>
              <w:right w:w="-1" w:type="dxa"/>
            </w:tcMar>
            <w:vAlign w:val="center"/>
          </w:tcPr>
          <w:p w14:paraId="3B642C9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2039" w:type="dxa"/>
            <w:vMerge w:val="restart"/>
            <w:tcBorders>
              <w:top w:val="nil"/>
              <w:left w:val="nil"/>
              <w:bottom w:val="nil"/>
              <w:right w:val="nil"/>
            </w:tcBorders>
            <w:tcMar>
              <w:top w:w="-1" w:type="dxa"/>
              <w:left w:w="-1" w:type="dxa"/>
              <w:bottom w:w="-1" w:type="dxa"/>
              <w:right w:w="-1" w:type="dxa"/>
            </w:tcMar>
            <w:vAlign w:val="center"/>
          </w:tcPr>
          <w:p w14:paraId="0D0F8C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0.038</w:t>
            </w:r>
            <w:r>
              <w:rPr>
                <w:rFonts w:ascii="Times New Roman" w:eastAsia="宋体" w:hAnsi="Times New Roman" w:cs="Times New Roman"/>
              </w:rPr>
              <w:t>～</w:t>
            </w:r>
            <w:r>
              <w:rPr>
                <w:rFonts w:ascii="Times New Roman" w:eastAsia="宋体" w:hAnsi="Times New Roman" w:cs="Times New Roman"/>
              </w:rPr>
              <w:t>0.153</w:t>
            </w:r>
          </w:p>
        </w:tc>
        <w:tc>
          <w:tcPr>
            <w:tcW w:w="1172" w:type="dxa"/>
            <w:vMerge w:val="restart"/>
            <w:tcBorders>
              <w:top w:val="nil"/>
              <w:left w:val="nil"/>
              <w:bottom w:val="nil"/>
              <w:right w:val="nil"/>
            </w:tcBorders>
            <w:tcMar>
              <w:top w:w="-1" w:type="dxa"/>
              <w:left w:w="-1" w:type="dxa"/>
              <w:bottom w:w="-1" w:type="dxa"/>
              <w:right w:w="-1" w:type="dxa"/>
            </w:tcMar>
            <w:vAlign w:val="center"/>
          </w:tcPr>
          <w:p w14:paraId="289396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3.254</w:t>
            </w:r>
          </w:p>
        </w:tc>
        <w:tc>
          <w:tcPr>
            <w:tcW w:w="1171" w:type="dxa"/>
            <w:vMerge w:val="restart"/>
            <w:tcBorders>
              <w:top w:val="nil"/>
              <w:left w:val="nil"/>
              <w:bottom w:val="nil"/>
              <w:right w:val="nil"/>
            </w:tcBorders>
            <w:tcMar>
              <w:top w:w="-1" w:type="dxa"/>
              <w:left w:w="-1" w:type="dxa"/>
              <w:bottom w:w="-1" w:type="dxa"/>
              <w:right w:w="-1" w:type="dxa"/>
            </w:tcMar>
            <w:vAlign w:val="center"/>
          </w:tcPr>
          <w:p w14:paraId="40FF5A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0.001</w:t>
            </w:r>
          </w:p>
        </w:tc>
      </w:tr>
      <w:tr w:rsidR="000B1CCE" w14:paraId="05230FD7"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780C532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0BDE23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64002CF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75C9A258"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53660706"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C28512B"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1BE85E3" w14:textId="77777777" w:rsidR="000B1CCE" w:rsidRDefault="000B1CCE">
            <w:pPr>
              <w:adjustRightInd w:val="0"/>
              <w:snapToGrid w:val="0"/>
              <w:spacing w:before="20" w:after="20"/>
              <w:jc w:val="center"/>
              <w:rPr>
                <w:rFonts w:ascii="宋体" w:eastAsia="宋体" w:hAnsi="宋体" w:cs="宋体"/>
                <w:sz w:val="24"/>
              </w:rPr>
            </w:pPr>
          </w:p>
        </w:tc>
      </w:tr>
    </w:tbl>
    <w:p w14:paraId="2D234B54"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p=0.004</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=0.089</w:t>
      </w:r>
      <w:r>
        <w:rPr>
          <w:rFonts w:ascii="Times New Roman" w:eastAsia="华文楷体" w:hAnsi="Times New Roman" w:cs="Times New Roman"/>
          <w:sz w:val="18"/>
        </w:rPr>
        <w:t>。</w:t>
      </w:r>
    </w:p>
    <w:p w14:paraId="3E0DA4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w:t>
      </w:r>
      <w:r>
        <w:rPr>
          <w:rFonts w:ascii="Times New Roman" w:eastAsia="宋体" w:hAnsi="Times New Roman" w:cs="Times New Roman"/>
          <w:sz w:val="24"/>
        </w:rPr>
        <w:t>3.934</w:t>
      </w:r>
      <w:r>
        <w:rPr>
          <w:rFonts w:ascii="Times New Roman" w:eastAsia="宋体" w:hAnsi="Times New Roman" w:cs="Times New Roman"/>
          <w:sz w:val="24"/>
        </w:rPr>
        <w:t>分提高至</w:t>
      </w:r>
      <w:r>
        <w:rPr>
          <w:rFonts w:ascii="Times New Roman" w:eastAsia="宋体" w:hAnsi="Times New Roman" w:cs="Times New Roman"/>
          <w:sz w:val="24"/>
        </w:rPr>
        <w:t>4.030</w:t>
      </w:r>
      <w:r>
        <w:rPr>
          <w:rFonts w:ascii="Times New Roman" w:eastAsia="宋体" w:hAnsi="Times New Roman" w:cs="Times New Roman"/>
          <w:sz w:val="24"/>
        </w:rPr>
        <w:t>分，平均增加</w:t>
      </w:r>
      <w:r>
        <w:rPr>
          <w:rFonts w:ascii="Times New Roman" w:eastAsia="宋体" w:hAnsi="Times New Roman" w:cs="Times New Roman"/>
          <w:sz w:val="24"/>
        </w:rPr>
        <w:t>0.095</w:t>
      </w:r>
      <w:r>
        <w:rPr>
          <w:rFonts w:ascii="Times New Roman" w:eastAsia="宋体" w:hAnsi="Times New Roman" w:cs="Times New Roman"/>
          <w:sz w:val="24"/>
        </w:rPr>
        <w:t>分。高阶思维总体自评得分呈小幅提升。</w:t>
      </w:r>
    </w:p>
    <w:p w14:paraId="2C5ACD4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）高阶社会情感总体</w:t>
      </w:r>
    </w:p>
    <w:p w14:paraId="3281043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3-36  </w:t>
      </w:r>
      <w:r>
        <w:rPr>
          <w:rFonts w:ascii="Times New Roman" w:eastAsia="黑体" w:hAnsi="Times New Roman" w:cs="Times New Roman"/>
        </w:rPr>
        <w:t>高阶社会情感总体前后测配对比较（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5845AC55"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8C78E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06AFC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921CD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68484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A8C6A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D98A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9F387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BDB59A6"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03F10B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515F7A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w:t>
            </w:r>
          </w:p>
        </w:tc>
        <w:tc>
          <w:tcPr>
            <w:tcW w:w="1028" w:type="dxa"/>
            <w:tcBorders>
              <w:top w:val="nil"/>
              <w:left w:val="nil"/>
              <w:bottom w:val="nil"/>
              <w:right w:val="nil"/>
            </w:tcBorders>
            <w:tcMar>
              <w:top w:w="-1" w:type="dxa"/>
              <w:left w:w="-1" w:type="dxa"/>
              <w:bottom w:w="-1" w:type="dxa"/>
              <w:right w:w="-1" w:type="dxa"/>
            </w:tcMar>
            <w:vAlign w:val="center"/>
          </w:tcPr>
          <w:p w14:paraId="56E8096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0.761</w:t>
            </w:r>
          </w:p>
        </w:tc>
        <w:tc>
          <w:tcPr>
            <w:tcW w:w="1214" w:type="dxa"/>
            <w:vMerge w:val="restart"/>
            <w:tcBorders>
              <w:top w:val="nil"/>
              <w:left w:val="nil"/>
              <w:bottom w:val="nil"/>
              <w:right w:val="nil"/>
            </w:tcBorders>
            <w:tcMar>
              <w:top w:w="-1" w:type="dxa"/>
              <w:left w:w="-1" w:type="dxa"/>
              <w:bottom w:w="-1" w:type="dxa"/>
              <w:right w:w="-1" w:type="dxa"/>
            </w:tcMar>
            <w:vAlign w:val="center"/>
          </w:tcPr>
          <w:p w14:paraId="1EBD86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1897" w:type="dxa"/>
            <w:vMerge w:val="restart"/>
            <w:tcBorders>
              <w:top w:val="nil"/>
              <w:left w:val="nil"/>
              <w:bottom w:val="nil"/>
              <w:right w:val="nil"/>
            </w:tcBorders>
            <w:tcMar>
              <w:top w:w="-1" w:type="dxa"/>
              <w:left w:w="-1" w:type="dxa"/>
              <w:bottom w:w="-1" w:type="dxa"/>
              <w:right w:w="-1" w:type="dxa"/>
            </w:tcMar>
            <w:vAlign w:val="center"/>
          </w:tcPr>
          <w:p w14:paraId="67DF38F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0.350</w:t>
            </w:r>
            <w:r>
              <w:rPr>
                <w:rFonts w:ascii="Times New Roman" w:eastAsia="宋体" w:hAnsi="Times New Roman" w:cs="Times New Roman"/>
              </w:rPr>
              <w:t>～</w:t>
            </w:r>
            <w:r>
              <w:rPr>
                <w:rFonts w:ascii="Times New Roman" w:eastAsia="宋体" w:hAnsi="Times New Roman" w:cs="Times New Roman"/>
              </w:rPr>
              <w:t>0.386</w:t>
            </w:r>
          </w:p>
        </w:tc>
        <w:tc>
          <w:tcPr>
            <w:tcW w:w="1222" w:type="dxa"/>
            <w:vMerge w:val="restart"/>
            <w:tcBorders>
              <w:top w:val="nil"/>
              <w:left w:val="nil"/>
              <w:bottom w:val="nil"/>
              <w:right w:val="nil"/>
            </w:tcBorders>
            <w:tcMar>
              <w:top w:w="-1" w:type="dxa"/>
              <w:left w:w="-1" w:type="dxa"/>
              <w:bottom w:w="-1" w:type="dxa"/>
              <w:right w:w="-1" w:type="dxa"/>
            </w:tcMar>
            <w:vAlign w:val="center"/>
          </w:tcPr>
          <w:p w14:paraId="79995D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40.326</w:t>
            </w:r>
          </w:p>
        </w:tc>
        <w:tc>
          <w:tcPr>
            <w:tcW w:w="1222" w:type="dxa"/>
            <w:vMerge w:val="restart"/>
            <w:tcBorders>
              <w:top w:val="nil"/>
              <w:left w:val="nil"/>
              <w:bottom w:val="nil"/>
              <w:right w:val="nil"/>
            </w:tcBorders>
            <w:tcMar>
              <w:top w:w="-1" w:type="dxa"/>
              <w:left w:w="-1" w:type="dxa"/>
              <w:bottom w:w="-1" w:type="dxa"/>
              <w:right w:w="-1" w:type="dxa"/>
            </w:tcMar>
            <w:vAlign w:val="center"/>
          </w:tcPr>
          <w:p w14:paraId="0BB64E0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87D25D3"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590B149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922A6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160F3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5F7B4E20"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1870F8D8"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1073A6E"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D595E22" w14:textId="77777777" w:rsidR="000B1CCE" w:rsidRDefault="000B1CCE">
            <w:pPr>
              <w:adjustRightInd w:val="0"/>
              <w:snapToGrid w:val="0"/>
              <w:spacing w:before="20" w:after="20"/>
              <w:jc w:val="center"/>
              <w:rPr>
                <w:rFonts w:ascii="宋体" w:eastAsia="宋体" w:hAnsi="宋体" w:cs="宋体"/>
                <w:sz w:val="24"/>
              </w:rPr>
            </w:pPr>
          </w:p>
        </w:tc>
      </w:tr>
    </w:tbl>
    <w:p w14:paraId="742109EF"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=1.099</w:t>
      </w:r>
      <w:r>
        <w:rPr>
          <w:rFonts w:ascii="Times New Roman" w:eastAsia="华文楷体" w:hAnsi="Times New Roman" w:cs="Times New Roman"/>
          <w:sz w:val="18"/>
        </w:rPr>
        <w:t>。</w:t>
      </w:r>
    </w:p>
    <w:p w14:paraId="328700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高阶社会情感总体均分由</w:t>
      </w:r>
      <w:r>
        <w:rPr>
          <w:rFonts w:ascii="Times New Roman" w:eastAsia="宋体" w:hAnsi="Times New Roman" w:cs="Times New Roman"/>
          <w:sz w:val="24"/>
        </w:rPr>
        <w:t>4.032</w:t>
      </w:r>
      <w:r>
        <w:rPr>
          <w:rFonts w:ascii="Times New Roman" w:eastAsia="宋体" w:hAnsi="Times New Roman" w:cs="Times New Roman"/>
          <w:sz w:val="24"/>
        </w:rPr>
        <w:t>分提高至</w:t>
      </w:r>
      <w:r>
        <w:rPr>
          <w:rFonts w:ascii="Times New Roman" w:eastAsia="宋体" w:hAnsi="Times New Roman" w:cs="Times New Roman"/>
          <w:sz w:val="24"/>
        </w:rPr>
        <w:t>4.400</w:t>
      </w:r>
      <w:r>
        <w:rPr>
          <w:rFonts w:ascii="Times New Roman" w:eastAsia="宋体" w:hAnsi="Times New Roman" w:cs="Times New Roman"/>
          <w:sz w:val="24"/>
        </w:rPr>
        <w:t>分，平均增加</w:t>
      </w:r>
      <w:r>
        <w:rPr>
          <w:rFonts w:ascii="Times New Roman" w:eastAsia="宋体" w:hAnsi="Times New Roman" w:cs="Times New Roman"/>
          <w:sz w:val="24"/>
        </w:rPr>
        <w:t>0.368</w:t>
      </w:r>
      <w:r>
        <w:rPr>
          <w:rFonts w:ascii="Times New Roman" w:eastAsia="宋体" w:hAnsi="Times New Roman" w:cs="Times New Roman"/>
          <w:sz w:val="24"/>
        </w:rPr>
        <w:t>分。高阶社会情感总体自评得分明显提高，配对效应量为</w:t>
      </w:r>
      <w:r>
        <w:rPr>
          <w:rFonts w:ascii="Times New Roman" w:eastAsia="宋体" w:hAnsi="Times New Roman" w:cs="Times New Roman"/>
          <w:sz w:val="24"/>
        </w:rPr>
        <w:t>1.099</w:t>
      </w:r>
      <w:r>
        <w:rPr>
          <w:rFonts w:ascii="Times New Roman" w:eastAsia="宋体" w:hAnsi="Times New Roman" w:cs="Times New Roman"/>
          <w:sz w:val="24"/>
        </w:rPr>
        <w:t>。相较于高阶思维总体，其平均增分在数值上更大；该比较未构成两类增幅差异的正式检验。</w:t>
      </w:r>
    </w:p>
    <w:p w14:paraId="002901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两个总体指标的均值均有所提高，但改善幅度不同。高阶思维总体增分为</w:t>
      </w:r>
      <w:r>
        <w:rPr>
          <w:rFonts w:ascii="Times New Roman" w:eastAsia="宋体" w:hAnsi="Times New Roman" w:cs="Times New Roman"/>
          <w:sz w:val="24"/>
        </w:rPr>
        <w:t>0.095</w:t>
      </w:r>
      <w:r>
        <w:rPr>
          <w:rFonts w:ascii="Times New Roman" w:eastAsia="宋体" w:hAnsi="Times New Roman" w:cs="Times New Roman"/>
          <w:sz w:val="24"/>
        </w:rPr>
        <w:t>分，高阶社会情感总体增分为</w:t>
      </w:r>
      <w:r>
        <w:rPr>
          <w:rFonts w:ascii="Times New Roman" w:eastAsia="宋体" w:hAnsi="Times New Roman" w:cs="Times New Roman"/>
          <w:sz w:val="24"/>
        </w:rPr>
        <w:t>0.368</w:t>
      </w:r>
      <w:r>
        <w:rPr>
          <w:rFonts w:ascii="Times New Roman" w:eastAsia="宋体" w:hAnsi="Times New Roman" w:cs="Times New Roman"/>
          <w:sz w:val="24"/>
        </w:rPr>
        <w:t>分。该结果提示，在问卷自评层面，责任承担、情绪调节及合作等方面的改善更为突出；对两类增分的数值比较不等同于正式检验其差异。</w:t>
      </w:r>
    </w:p>
    <w:p w14:paraId="402CC2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这一差异可以从三个方面理解。第一，高阶思维的变化涉及认知加工方式的改变，通常需要更长时间的积累，而社会情感能力的自评更容易随课堂合作氛围和任务体验的改变而变化。第二，研究设计已经说明，自陈问卷可能受到社会期望的影响，社会情感题项的表述更贴近日常行为规范，其自评提高中可能包含部分作答倾向的变化。第三，第一部分文献综述指出，同一干预在思维过程上的效果往往大于在终结性技能测验上的效果，问卷所测的是学生对自身表现的总体判断，未必能充分反映课堂中思维过程的变化，需要结合案例和课堂证据加以判断。</w:t>
      </w:r>
    </w:p>
    <w:p w14:paraId="1037513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）初中与高中的比较</w:t>
      </w:r>
    </w:p>
    <w:p w14:paraId="35342FB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3-37  </w:t>
      </w:r>
      <w:r>
        <w:rPr>
          <w:rFonts w:ascii="Times New Roman" w:eastAsia="黑体" w:hAnsi="Times New Roman" w:cs="Times New Roman"/>
        </w:rPr>
        <w:t>两个学段的高阶思维总体前后测比较</w:t>
      </w:r>
    </w:p>
    <w:tbl>
      <w:tblPr>
        <w:tblW w:w="889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36"/>
        <w:gridCol w:w="1656"/>
        <w:gridCol w:w="1656"/>
        <w:gridCol w:w="936"/>
        <w:gridCol w:w="1176"/>
        <w:gridCol w:w="936"/>
        <w:gridCol w:w="998"/>
      </w:tblGrid>
      <w:tr w:rsidR="000B1CCE" w14:paraId="0A40055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17F6F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6A60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FF82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3334D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37E490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C3C11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9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D2A63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3CAE7E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519C7A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590C29F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3.932±0.805</w:t>
            </w:r>
          </w:p>
        </w:tc>
        <w:tc>
          <w:tcPr>
            <w:tcW w:w="0" w:type="auto"/>
            <w:tcBorders>
              <w:top w:val="nil"/>
              <w:left w:val="nil"/>
              <w:bottom w:val="nil"/>
              <w:right w:val="nil"/>
            </w:tcBorders>
            <w:tcMar>
              <w:top w:w="-1" w:type="dxa"/>
              <w:left w:w="-1" w:type="dxa"/>
              <w:bottom w:w="-1" w:type="dxa"/>
              <w:right w:w="-1" w:type="dxa"/>
            </w:tcMar>
            <w:vAlign w:val="center"/>
          </w:tcPr>
          <w:p w14:paraId="42B3486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4.024±0.826</w:t>
            </w:r>
          </w:p>
        </w:tc>
        <w:tc>
          <w:tcPr>
            <w:tcW w:w="936" w:type="dxa"/>
            <w:tcBorders>
              <w:top w:val="nil"/>
              <w:left w:val="nil"/>
              <w:bottom w:val="nil"/>
              <w:right w:val="nil"/>
            </w:tcBorders>
            <w:tcMar>
              <w:top w:w="-1" w:type="dxa"/>
              <w:left w:w="-1" w:type="dxa"/>
              <w:bottom w:w="-1" w:type="dxa"/>
              <w:right w:w="-1" w:type="dxa"/>
            </w:tcMar>
            <w:vAlign w:val="center"/>
          </w:tcPr>
          <w:p w14:paraId="72ED05B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0.092</w:t>
            </w:r>
          </w:p>
        </w:tc>
        <w:tc>
          <w:tcPr>
            <w:tcW w:w="1176" w:type="dxa"/>
            <w:tcBorders>
              <w:top w:val="nil"/>
              <w:left w:val="nil"/>
              <w:bottom w:val="nil"/>
              <w:right w:val="nil"/>
            </w:tcBorders>
            <w:tcMar>
              <w:top w:w="-1" w:type="dxa"/>
              <w:left w:w="-1" w:type="dxa"/>
              <w:bottom w:w="-1" w:type="dxa"/>
              <w:right w:w="-1" w:type="dxa"/>
            </w:tcMar>
            <w:vAlign w:val="center"/>
          </w:tcPr>
          <w:p w14:paraId="0A01DC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0.020</w:t>
            </w:r>
            <w:r>
              <w:rPr>
                <w:rFonts w:ascii="Times New Roman" w:eastAsia="宋体" w:hAnsi="Times New Roman" w:cs="Times New Roman"/>
              </w:rPr>
              <w:t>～</w:t>
            </w:r>
            <w:r>
              <w:rPr>
                <w:rFonts w:ascii="Times New Roman" w:eastAsia="宋体" w:hAnsi="Times New Roman" w:cs="Times New Roman"/>
              </w:rPr>
              <w:t>0.163</w:t>
            </w:r>
          </w:p>
        </w:tc>
        <w:tc>
          <w:tcPr>
            <w:tcW w:w="936" w:type="dxa"/>
            <w:tcBorders>
              <w:top w:val="nil"/>
              <w:left w:val="nil"/>
              <w:bottom w:val="nil"/>
              <w:right w:val="nil"/>
            </w:tcBorders>
            <w:tcMar>
              <w:top w:w="-1" w:type="dxa"/>
              <w:left w:w="-1" w:type="dxa"/>
              <w:bottom w:w="-1" w:type="dxa"/>
              <w:right w:w="-1" w:type="dxa"/>
            </w:tcMar>
            <w:vAlign w:val="center"/>
          </w:tcPr>
          <w:p w14:paraId="046AA2A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2.513</w:t>
            </w:r>
          </w:p>
        </w:tc>
        <w:tc>
          <w:tcPr>
            <w:tcW w:w="998" w:type="dxa"/>
            <w:tcBorders>
              <w:top w:val="nil"/>
              <w:left w:val="nil"/>
              <w:bottom w:val="nil"/>
              <w:right w:val="nil"/>
            </w:tcBorders>
            <w:tcMar>
              <w:top w:w="-1" w:type="dxa"/>
              <w:left w:w="-1" w:type="dxa"/>
              <w:bottom w:w="-1" w:type="dxa"/>
              <w:right w:w="-1" w:type="dxa"/>
            </w:tcMar>
            <w:vAlign w:val="center"/>
          </w:tcPr>
          <w:p w14:paraId="09EF4E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0.024</w:t>
            </w:r>
          </w:p>
        </w:tc>
      </w:tr>
      <w:tr w:rsidR="000B1CCE" w14:paraId="51A846FD"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D498C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59A271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47E5C8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55394F3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12A0509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0.007</w:t>
            </w:r>
            <w:r>
              <w:rPr>
                <w:rFonts w:ascii="Times New Roman" w:eastAsia="宋体" w:hAnsi="Times New Roman" w:cs="Times New Roman"/>
              </w:rPr>
              <w:t>～</w:t>
            </w:r>
            <w:r>
              <w:rPr>
                <w:rFonts w:ascii="Times New Roman" w:eastAsia="宋体" w:hAnsi="Times New Roman" w:cs="Times New Roman"/>
              </w:rPr>
              <w:t>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2B415E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05E2321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0.035</w:t>
            </w:r>
          </w:p>
        </w:tc>
      </w:tr>
    </w:tbl>
    <w:p w14:paraId="3FB83F5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1A61AD0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3-38  </w:t>
      </w:r>
      <w:r>
        <w:rPr>
          <w:rFonts w:ascii="Times New Roman" w:eastAsia="黑体" w:hAnsi="Times New Roman" w:cs="Times New Roman"/>
        </w:rPr>
        <w:t>两个学段的高阶社会情感总体前后测比较</w:t>
      </w:r>
    </w:p>
    <w:tbl>
      <w:tblPr>
        <w:tblW w:w="901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75"/>
        <w:gridCol w:w="1656"/>
        <w:gridCol w:w="1657"/>
        <w:gridCol w:w="936"/>
        <w:gridCol w:w="1176"/>
        <w:gridCol w:w="1056"/>
        <w:gridCol w:w="1056"/>
      </w:tblGrid>
      <w:tr w:rsidR="000B1CCE" w14:paraId="3643115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0373A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D8E90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971723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3851D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BA7BFF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7BC53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04A87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3249E11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FD4A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212352B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4.026±0.779</w:t>
            </w:r>
          </w:p>
        </w:tc>
        <w:tc>
          <w:tcPr>
            <w:tcW w:w="0" w:type="auto"/>
            <w:tcBorders>
              <w:top w:val="nil"/>
              <w:left w:val="nil"/>
              <w:bottom w:val="nil"/>
              <w:right w:val="nil"/>
            </w:tcBorders>
            <w:tcMar>
              <w:top w:w="-1" w:type="dxa"/>
              <w:left w:w="-1" w:type="dxa"/>
              <w:bottom w:w="-1" w:type="dxa"/>
              <w:right w:w="-1" w:type="dxa"/>
            </w:tcMar>
            <w:vAlign w:val="center"/>
          </w:tcPr>
          <w:p w14:paraId="63299B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4.374±0.802</w:t>
            </w:r>
          </w:p>
        </w:tc>
        <w:tc>
          <w:tcPr>
            <w:tcW w:w="936" w:type="dxa"/>
            <w:tcBorders>
              <w:top w:val="nil"/>
              <w:left w:val="nil"/>
              <w:bottom w:val="nil"/>
              <w:right w:val="nil"/>
            </w:tcBorders>
            <w:tcMar>
              <w:top w:w="-1" w:type="dxa"/>
              <w:left w:w="-1" w:type="dxa"/>
              <w:bottom w:w="-1" w:type="dxa"/>
              <w:right w:w="-1" w:type="dxa"/>
            </w:tcMar>
            <w:vAlign w:val="center"/>
          </w:tcPr>
          <w:p w14:paraId="4E40BB2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0.347</w:t>
            </w:r>
          </w:p>
        </w:tc>
        <w:tc>
          <w:tcPr>
            <w:tcW w:w="1176" w:type="dxa"/>
            <w:tcBorders>
              <w:top w:val="nil"/>
              <w:left w:val="nil"/>
              <w:bottom w:val="nil"/>
              <w:right w:val="nil"/>
            </w:tcBorders>
            <w:tcMar>
              <w:top w:w="-1" w:type="dxa"/>
              <w:left w:w="-1" w:type="dxa"/>
              <w:bottom w:w="-1" w:type="dxa"/>
              <w:right w:w="-1" w:type="dxa"/>
            </w:tcMar>
            <w:vAlign w:val="center"/>
          </w:tcPr>
          <w:p w14:paraId="2459701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0.326</w:t>
            </w:r>
            <w:r>
              <w:rPr>
                <w:rFonts w:ascii="Times New Roman" w:eastAsia="宋体" w:hAnsi="Times New Roman" w:cs="Times New Roman"/>
              </w:rPr>
              <w:t>～</w:t>
            </w:r>
            <w:r>
              <w:rPr>
                <w:rFonts w:ascii="Times New Roman" w:eastAsia="宋体" w:hAnsi="Times New Roman" w:cs="Times New Roman"/>
              </w:rPr>
              <w:t>0.369</w:t>
            </w:r>
          </w:p>
        </w:tc>
        <w:tc>
          <w:tcPr>
            <w:tcW w:w="1056" w:type="dxa"/>
            <w:tcBorders>
              <w:top w:val="nil"/>
              <w:left w:val="nil"/>
              <w:bottom w:val="nil"/>
              <w:right w:val="nil"/>
            </w:tcBorders>
            <w:tcMar>
              <w:top w:w="-1" w:type="dxa"/>
              <w:left w:w="-1" w:type="dxa"/>
              <w:bottom w:w="-1" w:type="dxa"/>
              <w:right w:w="-1" w:type="dxa"/>
            </w:tcMar>
            <w:vAlign w:val="center"/>
          </w:tcPr>
          <w:p w14:paraId="162EB5F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32.325</w:t>
            </w:r>
          </w:p>
        </w:tc>
        <w:tc>
          <w:tcPr>
            <w:tcW w:w="1056" w:type="dxa"/>
            <w:tcBorders>
              <w:top w:val="nil"/>
              <w:left w:val="nil"/>
              <w:bottom w:val="nil"/>
              <w:right w:val="nil"/>
            </w:tcBorders>
            <w:tcMar>
              <w:top w:w="-1" w:type="dxa"/>
              <w:left w:w="-1" w:type="dxa"/>
              <w:bottom w:w="-1" w:type="dxa"/>
              <w:right w:w="-1" w:type="dxa"/>
            </w:tcMar>
            <w:vAlign w:val="center"/>
          </w:tcPr>
          <w:p w14:paraId="1906BB3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0148176"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574CDF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3B1CDD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5D610C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F24080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5454CFE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0.379</w:t>
            </w:r>
            <w:r>
              <w:rPr>
                <w:rFonts w:ascii="Times New Roman" w:eastAsia="宋体" w:hAnsi="Times New Roman" w:cs="Times New Roman"/>
              </w:rPr>
              <w:t>～</w:t>
            </w:r>
            <w:r>
              <w:rPr>
                <w:rFonts w:ascii="Times New Roman" w:eastAsia="宋体" w:hAnsi="Times New Roman" w:cs="Times New Roman"/>
              </w:rPr>
              <w:t>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54B7D4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B6A17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4DB75E4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0EA90F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初中和高中学生的高阶思维分别提高</w:t>
      </w:r>
      <w:r>
        <w:rPr>
          <w:rFonts w:ascii="Times New Roman" w:eastAsia="宋体" w:hAnsi="Times New Roman" w:cs="Times New Roman"/>
          <w:sz w:val="24"/>
        </w:rPr>
        <w:t>0.092</w:t>
      </w:r>
      <w:r>
        <w:rPr>
          <w:rFonts w:ascii="Times New Roman" w:eastAsia="宋体" w:hAnsi="Times New Roman" w:cs="Times New Roman"/>
          <w:sz w:val="24"/>
        </w:rPr>
        <w:t>分和</w:t>
      </w:r>
      <w:r>
        <w:rPr>
          <w:rFonts w:ascii="Times New Roman" w:eastAsia="宋体" w:hAnsi="Times New Roman" w:cs="Times New Roman"/>
          <w:sz w:val="24"/>
        </w:rPr>
        <w:t>0.103</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分别为</w:t>
      </w:r>
      <w:r>
        <w:rPr>
          <w:rFonts w:ascii="Times New Roman" w:eastAsia="宋体" w:hAnsi="Times New Roman" w:cs="Times New Roman"/>
          <w:sz w:val="24"/>
        </w:rPr>
        <w:t>0.024</w:t>
      </w:r>
      <w:r>
        <w:rPr>
          <w:rFonts w:ascii="Times New Roman" w:eastAsia="宋体" w:hAnsi="Times New Roman" w:cs="Times New Roman"/>
          <w:sz w:val="24"/>
        </w:rPr>
        <w:t>和</w:t>
      </w:r>
      <w:r>
        <w:rPr>
          <w:rFonts w:ascii="Times New Roman" w:eastAsia="宋体" w:hAnsi="Times New Roman" w:cs="Times New Roman"/>
          <w:sz w:val="24"/>
        </w:rPr>
        <w:t>0.035</w:t>
      </w:r>
      <w:r>
        <w:rPr>
          <w:rFonts w:ascii="Times New Roman" w:eastAsia="宋体" w:hAnsi="Times New Roman" w:cs="Times New Roman"/>
          <w:sz w:val="24"/>
        </w:rPr>
        <w:t>，均达到统计显著，但配对效应量分别为</w:t>
      </w:r>
      <w:r>
        <w:rPr>
          <w:rFonts w:ascii="Times New Roman" w:eastAsia="宋体" w:hAnsi="Times New Roman" w:cs="Times New Roman"/>
          <w:sz w:val="24"/>
        </w:rPr>
        <w:t>0.083</w:t>
      </w:r>
      <w:r>
        <w:rPr>
          <w:rFonts w:ascii="Times New Roman" w:eastAsia="宋体" w:hAnsi="Times New Roman" w:cs="Times New Roman"/>
          <w:sz w:val="24"/>
        </w:rPr>
        <w:t>和</w:t>
      </w:r>
      <w:r>
        <w:rPr>
          <w:rFonts w:ascii="Times New Roman" w:eastAsia="宋体" w:hAnsi="Times New Roman" w:cs="Times New Roman"/>
          <w:sz w:val="24"/>
        </w:rPr>
        <w:t>0.102</w:t>
      </w:r>
      <w:r>
        <w:rPr>
          <w:rFonts w:ascii="Times New Roman" w:eastAsia="宋体" w:hAnsi="Times New Roman" w:cs="Times New Roman"/>
          <w:sz w:val="24"/>
        </w:rPr>
        <w:t>，提升幅度较小。高阶社会情感分别提高</w:t>
      </w:r>
      <w:r>
        <w:rPr>
          <w:rFonts w:ascii="Times New Roman" w:eastAsia="宋体" w:hAnsi="Times New Roman" w:cs="Times New Roman"/>
          <w:sz w:val="24"/>
        </w:rPr>
        <w:t>0.347</w:t>
      </w:r>
      <w:r>
        <w:rPr>
          <w:rFonts w:ascii="Times New Roman" w:eastAsia="宋体" w:hAnsi="Times New Roman" w:cs="Times New Roman"/>
          <w:sz w:val="24"/>
        </w:rPr>
        <w:t>分和</w:t>
      </w:r>
      <w:r>
        <w:rPr>
          <w:rFonts w:ascii="Times New Roman" w:eastAsia="宋体" w:hAnsi="Times New Roman" w:cs="Times New Roman"/>
          <w:sz w:val="24"/>
        </w:rPr>
        <w:t>0.412</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，配对效应量分别为</w:t>
      </w:r>
      <w:r>
        <w:rPr>
          <w:rFonts w:ascii="Times New Roman" w:eastAsia="宋体" w:hAnsi="Times New Roman" w:cs="Times New Roman"/>
          <w:sz w:val="24"/>
        </w:rPr>
        <w:t>1.070</w:t>
      </w:r>
      <w:r>
        <w:rPr>
          <w:rFonts w:ascii="Times New Roman" w:eastAsia="宋体" w:hAnsi="Times New Roman" w:cs="Times New Roman"/>
          <w:sz w:val="24"/>
        </w:rPr>
        <w:t>和</w:t>
      </w:r>
      <w:r>
        <w:rPr>
          <w:rFonts w:ascii="Times New Roman" w:eastAsia="宋体" w:hAnsi="Times New Roman" w:cs="Times New Roman"/>
          <w:sz w:val="24"/>
        </w:rPr>
        <w:t>1.171</w:t>
      </w:r>
      <w:r>
        <w:rPr>
          <w:rFonts w:ascii="Times New Roman" w:eastAsia="宋体" w:hAnsi="Times New Roman" w:cs="Times New Roman"/>
          <w:sz w:val="24"/>
        </w:rPr>
        <w:t>。两个学段均呈现社会情感改善较明显的特点。</w:t>
      </w:r>
    </w:p>
    <w:p w14:paraId="06BA15D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3-39  </w:t>
      </w:r>
      <w:r>
        <w:rPr>
          <w:rFonts w:ascii="Times New Roman" w:eastAsia="黑体" w:hAnsi="Times New Roman" w:cs="Times New Roman"/>
        </w:rPr>
        <w:t>高中与初中学生平均增分的比较</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89"/>
        <w:gridCol w:w="1131"/>
        <w:gridCol w:w="2133"/>
        <w:gridCol w:w="1043"/>
        <w:gridCol w:w="1163"/>
        <w:gridCol w:w="1060"/>
      </w:tblGrid>
      <w:tr w:rsidR="000B1CCE" w14:paraId="1A9562FE" w14:textId="77777777">
        <w:trPr>
          <w:tblHeader/>
          <w:jc w:val="center"/>
        </w:trPr>
        <w:tc>
          <w:tcPr>
            <w:tcW w:w="1989"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E39C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113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E6E0F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增分差</w:t>
            </w:r>
          </w:p>
        </w:tc>
        <w:tc>
          <w:tcPr>
            <w:tcW w:w="2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5029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61B7A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CE80DE" w14:textId="77777777" w:rsidR="000B1CCE" w:rsidRDefault="00000000">
            <w:pPr>
              <w:adjustRightInd w:val="0"/>
              <w:snapToGrid w:val="0"/>
              <w:spacing w:before="20" w:after="20"/>
              <w:jc w:val="center"/>
              <w:rPr>
                <w:rFonts w:ascii="宋体" w:eastAsia="宋体" w:hAnsi="宋体" w:cs="宋体"/>
                <w:b/>
                <w:sz w:val="24"/>
              </w:rPr>
            </w:pPr>
            <w:proofErr w:type="spellStart"/>
            <w:r>
              <w:rPr>
                <w:rFonts w:ascii="Times New Roman" w:eastAsia="宋体" w:hAnsi="Times New Roman" w:cs="Times New Roman"/>
                <w:b/>
              </w:rPr>
              <w:t>df</w:t>
            </w:r>
            <w:proofErr w:type="spellEnd"/>
          </w:p>
        </w:tc>
        <w:tc>
          <w:tcPr>
            <w:tcW w:w="1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32954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190D5747" w14:textId="77777777">
        <w:trPr>
          <w:jc w:val="center"/>
        </w:trPr>
        <w:tc>
          <w:tcPr>
            <w:tcW w:w="1989" w:type="dxa"/>
            <w:tcBorders>
              <w:top w:val="nil"/>
              <w:left w:val="nil"/>
              <w:bottom w:val="nil"/>
              <w:right w:val="nil"/>
            </w:tcBorders>
            <w:tcMar>
              <w:top w:w="-1" w:type="dxa"/>
              <w:left w:w="-1" w:type="dxa"/>
              <w:bottom w:w="-1" w:type="dxa"/>
              <w:right w:w="-1" w:type="dxa"/>
            </w:tcMar>
            <w:vAlign w:val="center"/>
          </w:tcPr>
          <w:p w14:paraId="700365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w:t>
            </w:r>
          </w:p>
        </w:tc>
        <w:tc>
          <w:tcPr>
            <w:tcW w:w="1131" w:type="dxa"/>
            <w:tcBorders>
              <w:top w:val="nil"/>
              <w:left w:val="nil"/>
              <w:bottom w:val="nil"/>
              <w:right w:val="nil"/>
            </w:tcBorders>
            <w:tcMar>
              <w:top w:w="-1" w:type="dxa"/>
              <w:left w:w="-1" w:type="dxa"/>
              <w:bottom w:w="-1" w:type="dxa"/>
              <w:right w:w="-1" w:type="dxa"/>
            </w:tcMar>
            <w:vAlign w:val="center"/>
          </w:tcPr>
          <w:p w14:paraId="4D58731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0.011</w:t>
            </w:r>
          </w:p>
        </w:tc>
        <w:tc>
          <w:tcPr>
            <w:tcW w:w="2133" w:type="dxa"/>
            <w:tcBorders>
              <w:top w:val="nil"/>
              <w:left w:val="nil"/>
              <w:bottom w:val="nil"/>
              <w:right w:val="nil"/>
            </w:tcBorders>
            <w:tcMar>
              <w:top w:w="-1" w:type="dxa"/>
              <w:left w:w="-1" w:type="dxa"/>
              <w:bottom w:w="-1" w:type="dxa"/>
              <w:right w:w="-1" w:type="dxa"/>
            </w:tcMar>
            <w:vAlign w:val="center"/>
          </w:tcPr>
          <w:p w14:paraId="554483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-0.108</w:t>
            </w:r>
            <w:r>
              <w:rPr>
                <w:rFonts w:ascii="Times New Roman" w:eastAsia="宋体" w:hAnsi="Times New Roman" w:cs="Times New Roman"/>
              </w:rPr>
              <w:t>～</w:t>
            </w:r>
            <w:r>
              <w:rPr>
                <w:rFonts w:ascii="Times New Roman" w:eastAsia="宋体" w:hAnsi="Times New Roman" w:cs="Times New Roman"/>
              </w:rPr>
              <w:t>0.130</w:t>
            </w:r>
          </w:p>
        </w:tc>
        <w:tc>
          <w:tcPr>
            <w:tcW w:w="1043" w:type="dxa"/>
            <w:tcBorders>
              <w:top w:val="nil"/>
              <w:left w:val="nil"/>
              <w:bottom w:val="nil"/>
              <w:right w:val="nil"/>
            </w:tcBorders>
            <w:tcMar>
              <w:top w:w="-1" w:type="dxa"/>
              <w:left w:w="-1" w:type="dxa"/>
              <w:bottom w:w="-1" w:type="dxa"/>
              <w:right w:w="-1" w:type="dxa"/>
            </w:tcMar>
            <w:vAlign w:val="center"/>
          </w:tcPr>
          <w:p w14:paraId="4073351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0.180</w:t>
            </w:r>
          </w:p>
        </w:tc>
        <w:tc>
          <w:tcPr>
            <w:tcW w:w="1163" w:type="dxa"/>
            <w:tcBorders>
              <w:top w:val="nil"/>
              <w:left w:val="nil"/>
              <w:bottom w:val="nil"/>
              <w:right w:val="nil"/>
            </w:tcBorders>
            <w:tcMar>
              <w:top w:w="-1" w:type="dxa"/>
              <w:left w:w="-1" w:type="dxa"/>
              <w:bottom w:w="-1" w:type="dxa"/>
              <w:right w:w="-1" w:type="dxa"/>
            </w:tcMar>
            <w:vAlign w:val="center"/>
          </w:tcPr>
          <w:p w14:paraId="1EC929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918.19</w:t>
            </w:r>
          </w:p>
        </w:tc>
        <w:tc>
          <w:tcPr>
            <w:tcW w:w="1060" w:type="dxa"/>
            <w:tcBorders>
              <w:top w:val="nil"/>
              <w:left w:val="nil"/>
              <w:bottom w:val="nil"/>
              <w:right w:val="nil"/>
            </w:tcBorders>
            <w:tcMar>
              <w:top w:w="-1" w:type="dxa"/>
              <w:left w:w="-1" w:type="dxa"/>
              <w:bottom w:w="-1" w:type="dxa"/>
              <w:right w:w="-1" w:type="dxa"/>
            </w:tcMar>
            <w:vAlign w:val="center"/>
          </w:tcPr>
          <w:p w14:paraId="2643FB5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0.857</w:t>
            </w:r>
          </w:p>
        </w:tc>
      </w:tr>
      <w:tr w:rsidR="000B1CCE" w14:paraId="4BD384D8"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2FD9F42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5777EF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2F2C0D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0.025</w:t>
            </w:r>
            <w:r>
              <w:rPr>
                <w:rFonts w:ascii="Times New Roman" w:eastAsia="宋体" w:hAnsi="Times New Roman" w:cs="Times New Roman"/>
              </w:rPr>
              <w:t>～</w:t>
            </w:r>
            <w:r>
              <w:rPr>
                <w:rFonts w:ascii="Times New Roman" w:eastAsia="宋体" w:hAnsi="Times New Roman" w:cs="Times New Roman"/>
              </w:rPr>
              <w:t>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4807B40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6A91E44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EE73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0C9C3B26"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增分差＝高中平均增分－初中平均增分；采用</w:t>
      </w:r>
      <w:r>
        <w:rPr>
          <w:rFonts w:ascii="Times New Roman" w:eastAsia="华文楷体" w:hAnsi="Times New Roman" w:cs="Times New Roman"/>
          <w:sz w:val="18"/>
        </w:rPr>
        <w:t>Welch</w:t>
      </w:r>
      <w:r>
        <w:rPr>
          <w:rFonts w:ascii="Times New Roman" w:eastAsia="华文楷体" w:hAnsi="Times New Roman" w:cs="Times New Roman"/>
          <w:sz w:val="18"/>
        </w:rPr>
        <w:t>检验，对两项比较进行</w:t>
      </w:r>
      <w:r>
        <w:rPr>
          <w:rFonts w:ascii="Times New Roman" w:eastAsia="华文楷体" w:hAnsi="Times New Roman" w:cs="Times New Roman"/>
          <w:sz w:val="18"/>
        </w:rPr>
        <w:t>Holm</w:t>
      </w:r>
      <w:r>
        <w:rPr>
          <w:rFonts w:ascii="Times New Roman" w:eastAsia="华文楷体" w:hAnsi="Times New Roman" w:cs="Times New Roman"/>
          <w:sz w:val="18"/>
        </w:rPr>
        <w:t>校正。</w:t>
      </w:r>
    </w:p>
    <w:p w14:paraId="6095CA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直接比较两个学段的增分，高阶思维差异为</w:t>
      </w:r>
      <w:r>
        <w:rPr>
          <w:rFonts w:ascii="Times New Roman" w:eastAsia="宋体" w:hAnsi="Times New Roman" w:cs="Times New Roman"/>
          <w:sz w:val="24"/>
        </w:rPr>
        <w:t>0.011</w:t>
      </w:r>
      <w:r>
        <w:rPr>
          <w:rFonts w:ascii="Times New Roman" w:eastAsia="宋体" w:hAnsi="Times New Roman" w:cs="Times New Roman"/>
          <w:sz w:val="24"/>
        </w:rPr>
        <w:t>分，校正后</w:t>
      </w:r>
      <w:r>
        <w:rPr>
          <w:rFonts w:ascii="Times New Roman" w:eastAsia="宋体" w:hAnsi="Times New Roman" w:cs="Times New Roman"/>
          <w:sz w:val="24"/>
        </w:rPr>
        <w:t>p=0.857</w:t>
      </w:r>
      <w:r>
        <w:rPr>
          <w:rFonts w:ascii="Times New Roman" w:eastAsia="宋体" w:hAnsi="Times New Roman" w:cs="Times New Roman"/>
          <w:sz w:val="24"/>
        </w:rPr>
        <w:t>，未发现增幅不同的统计证据；高阶社会情感差异为</w:t>
      </w:r>
      <w:r>
        <w:rPr>
          <w:rFonts w:ascii="Times New Roman" w:eastAsia="宋体" w:hAnsi="Times New Roman" w:cs="Times New Roman"/>
          <w:sz w:val="24"/>
        </w:rPr>
        <w:t>0.065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0.025</w:t>
      </w:r>
      <w:r>
        <w:rPr>
          <w:rFonts w:ascii="Times New Roman" w:eastAsia="宋体" w:hAnsi="Times New Roman" w:cs="Times New Roman"/>
          <w:sz w:val="24"/>
        </w:rPr>
        <w:t>，</w:t>
      </w:r>
      <w:r>
        <w:rPr>
          <w:rFonts w:ascii="Times New Roman" w:eastAsia="宋体" w:hAnsi="Times New Roman" w:cs="Times New Roman"/>
          <w:sz w:val="24"/>
        </w:rPr>
        <w:t>0.104</w:t>
      </w:r>
      <w:r>
        <w:rPr>
          <w:rFonts w:ascii="Times New Roman" w:eastAsia="宋体" w:hAnsi="Times New Roman" w:cs="Times New Roman"/>
          <w:sz w:val="24"/>
        </w:rPr>
        <w:t>］，校正后</w:t>
      </w:r>
      <w:r>
        <w:rPr>
          <w:rFonts w:ascii="Times New Roman" w:eastAsia="宋体" w:hAnsi="Times New Roman" w:cs="Times New Roman"/>
          <w:sz w:val="24"/>
        </w:rPr>
        <w:t>p=0.003</w:t>
      </w:r>
      <w:r>
        <w:rPr>
          <w:rFonts w:ascii="Times New Roman" w:eastAsia="宋体" w:hAnsi="Times New Roman" w:cs="Times New Roman"/>
          <w:sz w:val="24"/>
        </w:rPr>
        <w:t>，说明本批高中学生的社会情感自评增分高于初中学生。</w:t>
      </w:r>
    </w:p>
    <w:p w14:paraId="6D90904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）年级差异</w:t>
      </w:r>
    </w:p>
    <w:p w14:paraId="5DFAD9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）各年级的前后变化</w:t>
      </w:r>
    </w:p>
    <w:p w14:paraId="7B6ED74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3-40  </w:t>
      </w:r>
      <w:r>
        <w:rPr>
          <w:rFonts w:ascii="Times New Roman" w:eastAsia="黑体" w:hAnsi="Times New Roman" w:cs="Times New Roman"/>
        </w:rPr>
        <w:t>各年级高阶思维总体的前后变化</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73"/>
        <w:gridCol w:w="773"/>
        <w:gridCol w:w="1035"/>
        <w:gridCol w:w="1035"/>
        <w:gridCol w:w="1133"/>
        <w:gridCol w:w="2037"/>
        <w:gridCol w:w="1133"/>
      </w:tblGrid>
      <w:tr w:rsidR="000B1CCE" w14:paraId="6056FC8E" w14:textId="77777777">
        <w:trPr>
          <w:tblHeader/>
          <w:jc w:val="center"/>
        </w:trPr>
        <w:tc>
          <w:tcPr>
            <w:tcW w:w="1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644BD9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2B2A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0BEF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F6061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0654057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20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622B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27D65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47F0577B"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0423C6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73" w:type="dxa"/>
            <w:tcBorders>
              <w:top w:val="nil"/>
              <w:left w:val="nil"/>
              <w:bottom w:val="nil"/>
              <w:right w:val="nil"/>
            </w:tcBorders>
            <w:tcMar>
              <w:top w:w="-1" w:type="dxa"/>
              <w:left w:w="-1" w:type="dxa"/>
              <w:bottom w:w="-1" w:type="dxa"/>
              <w:right w:w="-1" w:type="dxa"/>
            </w:tcMar>
            <w:vAlign w:val="center"/>
          </w:tcPr>
          <w:p w14:paraId="6B8F74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797269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4.312</w:t>
            </w:r>
          </w:p>
        </w:tc>
        <w:tc>
          <w:tcPr>
            <w:tcW w:w="1035" w:type="dxa"/>
            <w:tcBorders>
              <w:top w:val="nil"/>
              <w:left w:val="nil"/>
              <w:bottom w:val="nil"/>
              <w:right w:val="nil"/>
            </w:tcBorders>
            <w:tcMar>
              <w:top w:w="-1" w:type="dxa"/>
              <w:left w:w="-1" w:type="dxa"/>
              <w:bottom w:w="-1" w:type="dxa"/>
              <w:right w:w="-1" w:type="dxa"/>
            </w:tcMar>
            <w:vAlign w:val="center"/>
          </w:tcPr>
          <w:p w14:paraId="3541FB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4.264</w:t>
            </w:r>
          </w:p>
        </w:tc>
        <w:tc>
          <w:tcPr>
            <w:tcW w:w="1133" w:type="dxa"/>
            <w:tcBorders>
              <w:top w:val="nil"/>
              <w:left w:val="nil"/>
              <w:bottom w:val="nil"/>
              <w:right w:val="nil"/>
            </w:tcBorders>
            <w:tcMar>
              <w:top w:w="-1" w:type="dxa"/>
              <w:left w:w="-1" w:type="dxa"/>
              <w:bottom w:w="-1" w:type="dxa"/>
              <w:right w:w="-1" w:type="dxa"/>
            </w:tcMar>
            <w:vAlign w:val="center"/>
          </w:tcPr>
          <w:p w14:paraId="3F58F1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-0.047</w:t>
            </w:r>
          </w:p>
        </w:tc>
        <w:tc>
          <w:tcPr>
            <w:tcW w:w="2037" w:type="dxa"/>
            <w:tcBorders>
              <w:top w:val="nil"/>
              <w:left w:val="nil"/>
              <w:bottom w:val="nil"/>
              <w:right w:val="nil"/>
            </w:tcBorders>
            <w:tcMar>
              <w:top w:w="-1" w:type="dxa"/>
              <w:left w:w="-1" w:type="dxa"/>
              <w:bottom w:w="-1" w:type="dxa"/>
              <w:right w:w="-1" w:type="dxa"/>
            </w:tcMar>
            <w:vAlign w:val="center"/>
          </w:tcPr>
          <w:p w14:paraId="5243081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-0.175</w:t>
            </w:r>
            <w:r>
              <w:rPr>
                <w:rFonts w:ascii="Times New Roman" w:eastAsia="宋体" w:hAnsi="Times New Roman" w:cs="Times New Roman"/>
              </w:rPr>
              <w:t>～</w:t>
            </w:r>
            <w:r>
              <w:rPr>
                <w:rFonts w:ascii="Times New Roman" w:eastAsia="宋体" w:hAnsi="Times New Roman" w:cs="Times New Roman"/>
              </w:rPr>
              <w:t>0.081</w:t>
            </w:r>
          </w:p>
        </w:tc>
        <w:tc>
          <w:tcPr>
            <w:tcW w:w="1133" w:type="dxa"/>
            <w:tcBorders>
              <w:top w:val="nil"/>
              <w:left w:val="nil"/>
              <w:bottom w:val="nil"/>
              <w:right w:val="nil"/>
            </w:tcBorders>
            <w:tcMar>
              <w:top w:w="-1" w:type="dxa"/>
              <w:left w:w="-1" w:type="dxa"/>
              <w:bottom w:w="-1" w:type="dxa"/>
              <w:right w:w="-1" w:type="dxa"/>
            </w:tcMar>
            <w:vAlign w:val="center"/>
          </w:tcPr>
          <w:p w14:paraId="7099662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118FD515"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6A58F2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73" w:type="dxa"/>
            <w:tcBorders>
              <w:top w:val="nil"/>
              <w:left w:val="nil"/>
              <w:bottom w:val="nil"/>
              <w:right w:val="nil"/>
            </w:tcBorders>
            <w:tcMar>
              <w:top w:w="-1" w:type="dxa"/>
              <w:left w:w="-1" w:type="dxa"/>
              <w:bottom w:w="-1" w:type="dxa"/>
              <w:right w:w="-1" w:type="dxa"/>
            </w:tcMar>
            <w:vAlign w:val="center"/>
          </w:tcPr>
          <w:p w14:paraId="7167C2F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35" w:type="dxa"/>
            <w:tcBorders>
              <w:top w:val="nil"/>
              <w:left w:val="nil"/>
              <w:bottom w:val="nil"/>
              <w:right w:val="nil"/>
            </w:tcBorders>
            <w:tcMar>
              <w:top w:w="-1" w:type="dxa"/>
              <w:left w:w="-1" w:type="dxa"/>
              <w:bottom w:w="-1" w:type="dxa"/>
              <w:right w:w="-1" w:type="dxa"/>
            </w:tcMar>
            <w:vAlign w:val="center"/>
          </w:tcPr>
          <w:p w14:paraId="34AF80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3.689</w:t>
            </w:r>
          </w:p>
        </w:tc>
        <w:tc>
          <w:tcPr>
            <w:tcW w:w="1035" w:type="dxa"/>
            <w:tcBorders>
              <w:top w:val="nil"/>
              <w:left w:val="nil"/>
              <w:bottom w:val="nil"/>
              <w:right w:val="nil"/>
            </w:tcBorders>
            <w:tcMar>
              <w:top w:w="-1" w:type="dxa"/>
              <w:left w:w="-1" w:type="dxa"/>
              <w:bottom w:w="-1" w:type="dxa"/>
              <w:right w:w="-1" w:type="dxa"/>
            </w:tcMar>
            <w:vAlign w:val="center"/>
          </w:tcPr>
          <w:p w14:paraId="4BEC46A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4.011</w:t>
            </w:r>
          </w:p>
        </w:tc>
        <w:tc>
          <w:tcPr>
            <w:tcW w:w="1133" w:type="dxa"/>
            <w:tcBorders>
              <w:top w:val="nil"/>
              <w:left w:val="nil"/>
              <w:bottom w:val="nil"/>
              <w:right w:val="nil"/>
            </w:tcBorders>
            <w:tcMar>
              <w:top w:w="-1" w:type="dxa"/>
              <w:left w:w="-1" w:type="dxa"/>
              <w:bottom w:w="-1" w:type="dxa"/>
              <w:right w:w="-1" w:type="dxa"/>
            </w:tcMar>
            <w:vAlign w:val="center"/>
          </w:tcPr>
          <w:p w14:paraId="425F78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0.321</w:t>
            </w:r>
          </w:p>
        </w:tc>
        <w:tc>
          <w:tcPr>
            <w:tcW w:w="2037" w:type="dxa"/>
            <w:tcBorders>
              <w:top w:val="nil"/>
              <w:left w:val="nil"/>
              <w:bottom w:val="nil"/>
              <w:right w:val="nil"/>
            </w:tcBorders>
            <w:tcMar>
              <w:top w:w="-1" w:type="dxa"/>
              <w:left w:w="-1" w:type="dxa"/>
              <w:bottom w:w="-1" w:type="dxa"/>
              <w:right w:w="-1" w:type="dxa"/>
            </w:tcMar>
            <w:vAlign w:val="center"/>
          </w:tcPr>
          <w:p w14:paraId="6394BAD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0.182</w:t>
            </w:r>
            <w:r>
              <w:rPr>
                <w:rFonts w:ascii="Times New Roman" w:eastAsia="宋体" w:hAnsi="Times New Roman" w:cs="Times New Roman"/>
              </w:rPr>
              <w:t>～</w:t>
            </w:r>
            <w:r>
              <w:rPr>
                <w:rFonts w:ascii="Times New Roman" w:eastAsia="宋体" w:hAnsi="Times New Roman" w:cs="Times New Roman"/>
              </w:rPr>
              <w:t>0.461</w:t>
            </w:r>
          </w:p>
        </w:tc>
        <w:tc>
          <w:tcPr>
            <w:tcW w:w="1133" w:type="dxa"/>
            <w:tcBorders>
              <w:top w:val="nil"/>
              <w:left w:val="nil"/>
              <w:bottom w:val="nil"/>
              <w:right w:val="nil"/>
            </w:tcBorders>
            <w:tcMar>
              <w:top w:w="-1" w:type="dxa"/>
              <w:left w:w="-1" w:type="dxa"/>
              <w:bottom w:w="-1" w:type="dxa"/>
              <w:right w:w="-1" w:type="dxa"/>
            </w:tcMar>
            <w:vAlign w:val="center"/>
          </w:tcPr>
          <w:p w14:paraId="5BD190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5A5DFDC"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55EE4D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73" w:type="dxa"/>
            <w:tcBorders>
              <w:top w:val="nil"/>
              <w:left w:val="nil"/>
              <w:bottom w:val="nil"/>
              <w:right w:val="nil"/>
            </w:tcBorders>
            <w:tcMar>
              <w:top w:w="-1" w:type="dxa"/>
              <w:left w:w="-1" w:type="dxa"/>
              <w:bottom w:w="-1" w:type="dxa"/>
              <w:right w:w="-1" w:type="dxa"/>
            </w:tcMar>
            <w:vAlign w:val="center"/>
          </w:tcPr>
          <w:p w14:paraId="321AAE3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449B68F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3.868</w:t>
            </w:r>
          </w:p>
        </w:tc>
        <w:tc>
          <w:tcPr>
            <w:tcW w:w="1035" w:type="dxa"/>
            <w:tcBorders>
              <w:top w:val="nil"/>
              <w:left w:val="nil"/>
              <w:bottom w:val="nil"/>
              <w:right w:val="nil"/>
            </w:tcBorders>
            <w:tcMar>
              <w:top w:w="-1" w:type="dxa"/>
              <w:left w:w="-1" w:type="dxa"/>
              <w:bottom w:w="-1" w:type="dxa"/>
              <w:right w:w="-1" w:type="dxa"/>
            </w:tcMar>
            <w:vAlign w:val="center"/>
          </w:tcPr>
          <w:p w14:paraId="1916FA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3.916</w:t>
            </w:r>
          </w:p>
        </w:tc>
        <w:tc>
          <w:tcPr>
            <w:tcW w:w="1133" w:type="dxa"/>
            <w:tcBorders>
              <w:top w:val="nil"/>
              <w:left w:val="nil"/>
              <w:bottom w:val="nil"/>
              <w:right w:val="nil"/>
            </w:tcBorders>
            <w:tcMar>
              <w:top w:w="-1" w:type="dxa"/>
              <w:left w:w="-1" w:type="dxa"/>
              <w:bottom w:w="-1" w:type="dxa"/>
              <w:right w:w="-1" w:type="dxa"/>
            </w:tcMar>
            <w:vAlign w:val="center"/>
          </w:tcPr>
          <w:p w14:paraId="218AD1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0.048</w:t>
            </w:r>
          </w:p>
        </w:tc>
        <w:tc>
          <w:tcPr>
            <w:tcW w:w="2037" w:type="dxa"/>
            <w:tcBorders>
              <w:top w:val="nil"/>
              <w:left w:val="nil"/>
              <w:bottom w:val="nil"/>
              <w:right w:val="nil"/>
            </w:tcBorders>
            <w:tcMar>
              <w:top w:w="-1" w:type="dxa"/>
              <w:left w:w="-1" w:type="dxa"/>
              <w:bottom w:w="-1" w:type="dxa"/>
              <w:right w:w="-1" w:type="dxa"/>
            </w:tcMar>
            <w:vAlign w:val="center"/>
          </w:tcPr>
          <w:p w14:paraId="6596BE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-0.109</w:t>
            </w:r>
            <w:r>
              <w:rPr>
                <w:rFonts w:ascii="Times New Roman" w:eastAsia="宋体" w:hAnsi="Times New Roman" w:cs="Times New Roman"/>
              </w:rPr>
              <w:t>～</w:t>
            </w:r>
            <w:r>
              <w:rPr>
                <w:rFonts w:ascii="Times New Roman" w:eastAsia="宋体" w:hAnsi="Times New Roman" w:cs="Times New Roman"/>
              </w:rPr>
              <w:t>0.204</w:t>
            </w:r>
          </w:p>
        </w:tc>
        <w:tc>
          <w:tcPr>
            <w:tcW w:w="1133" w:type="dxa"/>
            <w:tcBorders>
              <w:top w:val="nil"/>
              <w:left w:val="nil"/>
              <w:bottom w:val="nil"/>
              <w:right w:val="nil"/>
            </w:tcBorders>
            <w:tcMar>
              <w:top w:w="-1" w:type="dxa"/>
              <w:left w:w="-1" w:type="dxa"/>
              <w:bottom w:w="-1" w:type="dxa"/>
              <w:right w:w="-1" w:type="dxa"/>
            </w:tcMar>
            <w:vAlign w:val="center"/>
          </w:tcPr>
          <w:p w14:paraId="63288C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372AAEE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6789C9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73" w:type="dxa"/>
            <w:tcBorders>
              <w:top w:val="nil"/>
              <w:left w:val="nil"/>
              <w:bottom w:val="nil"/>
              <w:right w:val="nil"/>
            </w:tcBorders>
            <w:tcMar>
              <w:top w:w="-1" w:type="dxa"/>
              <w:left w:w="-1" w:type="dxa"/>
              <w:bottom w:w="-1" w:type="dxa"/>
              <w:right w:w="-1" w:type="dxa"/>
            </w:tcMar>
            <w:vAlign w:val="center"/>
          </w:tcPr>
          <w:p w14:paraId="2C0202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35" w:type="dxa"/>
            <w:tcBorders>
              <w:top w:val="nil"/>
              <w:left w:val="nil"/>
              <w:bottom w:val="nil"/>
              <w:right w:val="nil"/>
            </w:tcBorders>
            <w:tcMar>
              <w:top w:w="-1" w:type="dxa"/>
              <w:left w:w="-1" w:type="dxa"/>
              <w:bottom w:w="-1" w:type="dxa"/>
              <w:right w:w="-1" w:type="dxa"/>
            </w:tcMar>
            <w:vAlign w:val="center"/>
          </w:tcPr>
          <w:p w14:paraId="64151B7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3.858</w:t>
            </w:r>
          </w:p>
        </w:tc>
        <w:tc>
          <w:tcPr>
            <w:tcW w:w="1035" w:type="dxa"/>
            <w:tcBorders>
              <w:top w:val="nil"/>
              <w:left w:val="nil"/>
              <w:bottom w:val="nil"/>
              <w:right w:val="nil"/>
            </w:tcBorders>
            <w:tcMar>
              <w:top w:w="-1" w:type="dxa"/>
              <w:left w:w="-1" w:type="dxa"/>
              <w:bottom w:w="-1" w:type="dxa"/>
              <w:right w:w="-1" w:type="dxa"/>
            </w:tcMar>
            <w:vAlign w:val="center"/>
          </w:tcPr>
          <w:p w14:paraId="18CC6C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3.902</w:t>
            </w:r>
          </w:p>
        </w:tc>
        <w:tc>
          <w:tcPr>
            <w:tcW w:w="1133" w:type="dxa"/>
            <w:tcBorders>
              <w:top w:val="nil"/>
              <w:left w:val="nil"/>
              <w:bottom w:val="nil"/>
              <w:right w:val="nil"/>
            </w:tcBorders>
            <w:tcMar>
              <w:top w:w="-1" w:type="dxa"/>
              <w:left w:w="-1" w:type="dxa"/>
              <w:bottom w:w="-1" w:type="dxa"/>
              <w:right w:w="-1" w:type="dxa"/>
            </w:tcMar>
            <w:vAlign w:val="center"/>
          </w:tcPr>
          <w:p w14:paraId="75766E2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0.044</w:t>
            </w:r>
          </w:p>
        </w:tc>
        <w:tc>
          <w:tcPr>
            <w:tcW w:w="2037" w:type="dxa"/>
            <w:tcBorders>
              <w:top w:val="nil"/>
              <w:left w:val="nil"/>
              <w:bottom w:val="nil"/>
              <w:right w:val="nil"/>
            </w:tcBorders>
            <w:tcMar>
              <w:top w:w="-1" w:type="dxa"/>
              <w:left w:w="-1" w:type="dxa"/>
              <w:bottom w:w="-1" w:type="dxa"/>
              <w:right w:w="-1" w:type="dxa"/>
            </w:tcMar>
            <w:vAlign w:val="center"/>
          </w:tcPr>
          <w:p w14:paraId="5B6DAAA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-0.101</w:t>
            </w:r>
            <w:r>
              <w:rPr>
                <w:rFonts w:ascii="Times New Roman" w:eastAsia="宋体" w:hAnsi="Times New Roman" w:cs="Times New Roman"/>
              </w:rPr>
              <w:t>～</w:t>
            </w:r>
            <w:r>
              <w:rPr>
                <w:rFonts w:ascii="Times New Roman" w:eastAsia="宋体" w:hAnsi="Times New Roman" w:cs="Times New Roman"/>
              </w:rPr>
              <w:t>0.190</w:t>
            </w:r>
          </w:p>
        </w:tc>
        <w:tc>
          <w:tcPr>
            <w:tcW w:w="1133" w:type="dxa"/>
            <w:tcBorders>
              <w:top w:val="nil"/>
              <w:left w:val="nil"/>
              <w:bottom w:val="nil"/>
              <w:right w:val="nil"/>
            </w:tcBorders>
            <w:tcMar>
              <w:top w:w="-1" w:type="dxa"/>
              <w:left w:w="-1" w:type="dxa"/>
              <w:bottom w:w="-1" w:type="dxa"/>
              <w:right w:w="-1" w:type="dxa"/>
            </w:tcMar>
            <w:vAlign w:val="center"/>
          </w:tcPr>
          <w:p w14:paraId="1938E8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6B1E1755"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B83F97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73" w:type="dxa"/>
            <w:tcBorders>
              <w:top w:val="nil"/>
              <w:left w:val="nil"/>
              <w:bottom w:val="nil"/>
              <w:right w:val="nil"/>
            </w:tcBorders>
            <w:tcMar>
              <w:top w:w="-1" w:type="dxa"/>
              <w:left w:w="-1" w:type="dxa"/>
              <w:bottom w:w="-1" w:type="dxa"/>
              <w:right w:w="-1" w:type="dxa"/>
            </w:tcMar>
            <w:vAlign w:val="center"/>
          </w:tcPr>
          <w:p w14:paraId="1106B44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35" w:type="dxa"/>
            <w:tcBorders>
              <w:top w:val="nil"/>
              <w:left w:val="nil"/>
              <w:bottom w:val="nil"/>
              <w:right w:val="nil"/>
            </w:tcBorders>
            <w:tcMar>
              <w:top w:w="-1" w:type="dxa"/>
              <w:left w:w="-1" w:type="dxa"/>
              <w:bottom w:w="-1" w:type="dxa"/>
              <w:right w:w="-1" w:type="dxa"/>
            </w:tcMar>
            <w:vAlign w:val="center"/>
          </w:tcPr>
          <w:p w14:paraId="493FFF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3.783</w:t>
            </w:r>
          </w:p>
        </w:tc>
        <w:tc>
          <w:tcPr>
            <w:tcW w:w="1035" w:type="dxa"/>
            <w:tcBorders>
              <w:top w:val="nil"/>
              <w:left w:val="nil"/>
              <w:bottom w:val="nil"/>
              <w:right w:val="nil"/>
            </w:tcBorders>
            <w:tcMar>
              <w:top w:w="-1" w:type="dxa"/>
              <w:left w:w="-1" w:type="dxa"/>
              <w:bottom w:w="-1" w:type="dxa"/>
              <w:right w:w="-1" w:type="dxa"/>
            </w:tcMar>
            <w:vAlign w:val="center"/>
          </w:tcPr>
          <w:p w14:paraId="373068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3.781</w:t>
            </w:r>
          </w:p>
        </w:tc>
        <w:tc>
          <w:tcPr>
            <w:tcW w:w="1133" w:type="dxa"/>
            <w:tcBorders>
              <w:top w:val="nil"/>
              <w:left w:val="nil"/>
              <w:bottom w:val="nil"/>
              <w:right w:val="nil"/>
            </w:tcBorders>
            <w:tcMar>
              <w:top w:w="-1" w:type="dxa"/>
              <w:left w:w="-1" w:type="dxa"/>
              <w:bottom w:w="-1" w:type="dxa"/>
              <w:right w:w="-1" w:type="dxa"/>
            </w:tcMar>
            <w:vAlign w:val="center"/>
          </w:tcPr>
          <w:p w14:paraId="572716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-0.002</w:t>
            </w:r>
          </w:p>
        </w:tc>
        <w:tc>
          <w:tcPr>
            <w:tcW w:w="2037" w:type="dxa"/>
            <w:tcBorders>
              <w:top w:val="nil"/>
              <w:left w:val="nil"/>
              <w:bottom w:val="nil"/>
              <w:right w:val="nil"/>
            </w:tcBorders>
            <w:tcMar>
              <w:top w:w="-1" w:type="dxa"/>
              <w:left w:w="-1" w:type="dxa"/>
              <w:bottom w:w="-1" w:type="dxa"/>
              <w:right w:w="-1" w:type="dxa"/>
            </w:tcMar>
            <w:vAlign w:val="center"/>
          </w:tcPr>
          <w:p w14:paraId="118E78B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-0.157</w:t>
            </w:r>
            <w:r>
              <w:rPr>
                <w:rFonts w:ascii="Times New Roman" w:eastAsia="宋体" w:hAnsi="Times New Roman" w:cs="Times New Roman"/>
              </w:rPr>
              <w:t>～</w:t>
            </w:r>
            <w:r>
              <w:rPr>
                <w:rFonts w:ascii="Times New Roman" w:eastAsia="宋体" w:hAnsi="Times New Roman" w:cs="Times New Roman"/>
              </w:rPr>
              <w:t>0.153</w:t>
            </w:r>
          </w:p>
        </w:tc>
        <w:tc>
          <w:tcPr>
            <w:tcW w:w="1133" w:type="dxa"/>
            <w:tcBorders>
              <w:top w:val="nil"/>
              <w:left w:val="nil"/>
              <w:bottom w:val="nil"/>
              <w:right w:val="nil"/>
            </w:tcBorders>
            <w:tcMar>
              <w:top w:w="-1" w:type="dxa"/>
              <w:left w:w="-1" w:type="dxa"/>
              <w:bottom w:w="-1" w:type="dxa"/>
              <w:right w:w="-1" w:type="dxa"/>
            </w:tcMar>
            <w:vAlign w:val="center"/>
          </w:tcPr>
          <w:p w14:paraId="21B9AC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50473A1A"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C71FD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73" w:type="dxa"/>
            <w:tcBorders>
              <w:top w:val="nil"/>
              <w:left w:val="nil"/>
              <w:bottom w:val="nil"/>
              <w:right w:val="nil"/>
            </w:tcBorders>
            <w:tcMar>
              <w:top w:w="-1" w:type="dxa"/>
              <w:left w:w="-1" w:type="dxa"/>
              <w:bottom w:w="-1" w:type="dxa"/>
              <w:right w:w="-1" w:type="dxa"/>
            </w:tcMar>
            <w:vAlign w:val="center"/>
          </w:tcPr>
          <w:p w14:paraId="3C249C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nil"/>
              <w:right w:val="nil"/>
            </w:tcBorders>
            <w:tcMar>
              <w:top w:w="-1" w:type="dxa"/>
              <w:left w:w="-1" w:type="dxa"/>
              <w:bottom w:w="-1" w:type="dxa"/>
              <w:right w:w="-1" w:type="dxa"/>
            </w:tcMar>
            <w:vAlign w:val="center"/>
          </w:tcPr>
          <w:p w14:paraId="639A10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4.133</w:t>
            </w:r>
          </w:p>
        </w:tc>
        <w:tc>
          <w:tcPr>
            <w:tcW w:w="1035" w:type="dxa"/>
            <w:tcBorders>
              <w:top w:val="nil"/>
              <w:left w:val="nil"/>
              <w:bottom w:val="nil"/>
              <w:right w:val="nil"/>
            </w:tcBorders>
            <w:tcMar>
              <w:top w:w="-1" w:type="dxa"/>
              <w:left w:w="-1" w:type="dxa"/>
              <w:bottom w:w="-1" w:type="dxa"/>
              <w:right w:w="-1" w:type="dxa"/>
            </w:tcMar>
            <w:vAlign w:val="center"/>
          </w:tcPr>
          <w:p w14:paraId="287ABE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4.151</w:t>
            </w:r>
          </w:p>
        </w:tc>
        <w:tc>
          <w:tcPr>
            <w:tcW w:w="1133" w:type="dxa"/>
            <w:tcBorders>
              <w:top w:val="nil"/>
              <w:left w:val="nil"/>
              <w:bottom w:val="nil"/>
              <w:right w:val="nil"/>
            </w:tcBorders>
            <w:tcMar>
              <w:top w:w="-1" w:type="dxa"/>
              <w:left w:w="-1" w:type="dxa"/>
              <w:bottom w:w="-1" w:type="dxa"/>
              <w:right w:w="-1" w:type="dxa"/>
            </w:tcMar>
            <w:vAlign w:val="center"/>
          </w:tcPr>
          <w:p w14:paraId="07F6B1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0.018</w:t>
            </w:r>
          </w:p>
        </w:tc>
        <w:tc>
          <w:tcPr>
            <w:tcW w:w="2037" w:type="dxa"/>
            <w:tcBorders>
              <w:top w:val="nil"/>
              <w:left w:val="nil"/>
              <w:bottom w:val="nil"/>
              <w:right w:val="nil"/>
            </w:tcBorders>
            <w:tcMar>
              <w:top w:w="-1" w:type="dxa"/>
              <w:left w:w="-1" w:type="dxa"/>
              <w:bottom w:w="-1" w:type="dxa"/>
              <w:right w:w="-1" w:type="dxa"/>
            </w:tcMar>
            <w:vAlign w:val="center"/>
          </w:tcPr>
          <w:p w14:paraId="1E0F5A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-0.160</w:t>
            </w:r>
            <w:r>
              <w:rPr>
                <w:rFonts w:ascii="Times New Roman" w:eastAsia="宋体" w:hAnsi="Times New Roman" w:cs="Times New Roman"/>
              </w:rPr>
              <w:t>～</w:t>
            </w:r>
            <w:r>
              <w:rPr>
                <w:rFonts w:ascii="Times New Roman" w:eastAsia="宋体" w:hAnsi="Times New Roman" w:cs="Times New Roman"/>
              </w:rPr>
              <w:t>0.196</w:t>
            </w:r>
          </w:p>
        </w:tc>
        <w:tc>
          <w:tcPr>
            <w:tcW w:w="1133" w:type="dxa"/>
            <w:tcBorders>
              <w:top w:val="nil"/>
              <w:left w:val="nil"/>
              <w:bottom w:val="nil"/>
              <w:right w:val="nil"/>
            </w:tcBorders>
            <w:tcMar>
              <w:top w:w="-1" w:type="dxa"/>
              <w:left w:w="-1" w:type="dxa"/>
              <w:bottom w:w="-1" w:type="dxa"/>
              <w:right w:w="-1" w:type="dxa"/>
            </w:tcMar>
            <w:vAlign w:val="center"/>
          </w:tcPr>
          <w:p w14:paraId="4E19D6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27CCC6C9"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578CE1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2B293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7C81C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42FD05D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7FD541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3351C5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0.130</w:t>
            </w:r>
            <w:r>
              <w:rPr>
                <w:rFonts w:ascii="Times New Roman" w:eastAsia="宋体" w:hAnsi="Times New Roman" w:cs="Times New Roman"/>
              </w:rPr>
              <w:t>～</w:t>
            </w:r>
            <w:r>
              <w:rPr>
                <w:rFonts w:ascii="Times New Roman" w:eastAsia="宋体" w:hAnsi="Times New Roman" w:cs="Times New Roman"/>
              </w:rPr>
              <w:t>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30DE9B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75F2DFA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3-41  </w:t>
      </w:r>
      <w:r>
        <w:rPr>
          <w:rFonts w:ascii="Times New Roman" w:eastAsia="黑体" w:hAnsi="Times New Roman" w:cs="Times New Roman"/>
        </w:rPr>
        <w:t>各年级高阶社会情感总体的前后变化</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20"/>
        <w:gridCol w:w="793"/>
        <w:gridCol w:w="1064"/>
        <w:gridCol w:w="1064"/>
        <w:gridCol w:w="1033"/>
        <w:gridCol w:w="1992"/>
        <w:gridCol w:w="1153"/>
      </w:tblGrid>
      <w:tr w:rsidR="000B1CCE" w14:paraId="4EFEF704" w14:textId="77777777">
        <w:trPr>
          <w:tblHeader/>
          <w:jc w:val="center"/>
        </w:trPr>
        <w:tc>
          <w:tcPr>
            <w:tcW w:w="14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7B640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5B886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FD8A6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B4946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0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AED3B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9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FDF8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5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22680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5E13B9A0"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657402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93" w:type="dxa"/>
            <w:tcBorders>
              <w:top w:val="nil"/>
              <w:left w:val="nil"/>
              <w:bottom w:val="nil"/>
              <w:right w:val="nil"/>
            </w:tcBorders>
            <w:tcMar>
              <w:top w:w="-1" w:type="dxa"/>
              <w:left w:w="-1" w:type="dxa"/>
              <w:bottom w:w="-1" w:type="dxa"/>
              <w:right w:w="-1" w:type="dxa"/>
            </w:tcMar>
            <w:vAlign w:val="center"/>
          </w:tcPr>
          <w:p w14:paraId="7C43E62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53E0B6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4.395</w:t>
            </w:r>
          </w:p>
        </w:tc>
        <w:tc>
          <w:tcPr>
            <w:tcW w:w="1064" w:type="dxa"/>
            <w:tcBorders>
              <w:top w:val="nil"/>
              <w:left w:val="nil"/>
              <w:bottom w:val="nil"/>
              <w:right w:val="nil"/>
            </w:tcBorders>
            <w:tcMar>
              <w:top w:w="-1" w:type="dxa"/>
              <w:left w:w="-1" w:type="dxa"/>
              <w:bottom w:w="-1" w:type="dxa"/>
              <w:right w:w="-1" w:type="dxa"/>
            </w:tcMar>
            <w:vAlign w:val="center"/>
          </w:tcPr>
          <w:p w14:paraId="6ECF4B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4.699</w:t>
            </w:r>
          </w:p>
        </w:tc>
        <w:tc>
          <w:tcPr>
            <w:tcW w:w="1033" w:type="dxa"/>
            <w:tcBorders>
              <w:top w:val="nil"/>
              <w:left w:val="nil"/>
              <w:bottom w:val="nil"/>
              <w:right w:val="nil"/>
            </w:tcBorders>
            <w:tcMar>
              <w:top w:w="-1" w:type="dxa"/>
              <w:left w:w="-1" w:type="dxa"/>
              <w:bottom w:w="-1" w:type="dxa"/>
              <w:right w:w="-1" w:type="dxa"/>
            </w:tcMar>
            <w:vAlign w:val="center"/>
          </w:tcPr>
          <w:p w14:paraId="218C609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0.304</w:t>
            </w:r>
          </w:p>
        </w:tc>
        <w:tc>
          <w:tcPr>
            <w:tcW w:w="1992" w:type="dxa"/>
            <w:tcBorders>
              <w:top w:val="nil"/>
              <w:left w:val="nil"/>
              <w:bottom w:val="nil"/>
              <w:right w:val="nil"/>
            </w:tcBorders>
            <w:tcMar>
              <w:top w:w="-1" w:type="dxa"/>
              <w:left w:w="-1" w:type="dxa"/>
              <w:bottom w:w="-1" w:type="dxa"/>
              <w:right w:w="-1" w:type="dxa"/>
            </w:tcMar>
            <w:vAlign w:val="center"/>
          </w:tcPr>
          <w:p w14:paraId="216382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0.260</w:t>
            </w:r>
            <w:r>
              <w:rPr>
                <w:rFonts w:ascii="Times New Roman" w:eastAsia="宋体" w:hAnsi="Times New Roman" w:cs="Times New Roman"/>
              </w:rPr>
              <w:t>～</w:t>
            </w:r>
            <w:r>
              <w:rPr>
                <w:rFonts w:ascii="Times New Roman" w:eastAsia="宋体" w:hAnsi="Times New Roman" w:cs="Times New Roman"/>
              </w:rPr>
              <w:t>0.349</w:t>
            </w:r>
          </w:p>
        </w:tc>
        <w:tc>
          <w:tcPr>
            <w:tcW w:w="1153" w:type="dxa"/>
            <w:tcBorders>
              <w:top w:val="nil"/>
              <w:left w:val="nil"/>
              <w:bottom w:val="nil"/>
              <w:right w:val="nil"/>
            </w:tcBorders>
            <w:tcMar>
              <w:top w:w="-1" w:type="dxa"/>
              <w:left w:w="-1" w:type="dxa"/>
              <w:bottom w:w="-1" w:type="dxa"/>
              <w:right w:w="-1" w:type="dxa"/>
            </w:tcMar>
            <w:vAlign w:val="center"/>
          </w:tcPr>
          <w:p w14:paraId="0181728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01B439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5C510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93" w:type="dxa"/>
            <w:tcBorders>
              <w:top w:val="nil"/>
              <w:left w:val="nil"/>
              <w:bottom w:val="nil"/>
              <w:right w:val="nil"/>
            </w:tcBorders>
            <w:tcMar>
              <w:top w:w="-1" w:type="dxa"/>
              <w:left w:w="-1" w:type="dxa"/>
              <w:bottom w:w="-1" w:type="dxa"/>
              <w:right w:w="-1" w:type="dxa"/>
            </w:tcMar>
            <w:vAlign w:val="center"/>
          </w:tcPr>
          <w:p w14:paraId="64125C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64" w:type="dxa"/>
            <w:tcBorders>
              <w:top w:val="nil"/>
              <w:left w:val="nil"/>
              <w:bottom w:val="nil"/>
              <w:right w:val="nil"/>
            </w:tcBorders>
            <w:tcMar>
              <w:top w:w="-1" w:type="dxa"/>
              <w:left w:w="-1" w:type="dxa"/>
              <w:bottom w:w="-1" w:type="dxa"/>
              <w:right w:w="-1" w:type="dxa"/>
            </w:tcMar>
            <w:vAlign w:val="center"/>
          </w:tcPr>
          <w:p w14:paraId="2F62B1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3.815</w:t>
            </w:r>
          </w:p>
        </w:tc>
        <w:tc>
          <w:tcPr>
            <w:tcW w:w="1064" w:type="dxa"/>
            <w:tcBorders>
              <w:top w:val="nil"/>
              <w:left w:val="nil"/>
              <w:bottom w:val="nil"/>
              <w:right w:val="nil"/>
            </w:tcBorders>
            <w:tcMar>
              <w:top w:w="-1" w:type="dxa"/>
              <w:left w:w="-1" w:type="dxa"/>
              <w:bottom w:w="-1" w:type="dxa"/>
              <w:right w:w="-1" w:type="dxa"/>
            </w:tcMar>
            <w:vAlign w:val="center"/>
          </w:tcPr>
          <w:p w14:paraId="7834AD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4.153</w:t>
            </w:r>
          </w:p>
        </w:tc>
        <w:tc>
          <w:tcPr>
            <w:tcW w:w="1033" w:type="dxa"/>
            <w:tcBorders>
              <w:top w:val="nil"/>
              <w:left w:val="nil"/>
              <w:bottom w:val="nil"/>
              <w:right w:val="nil"/>
            </w:tcBorders>
            <w:tcMar>
              <w:top w:w="-1" w:type="dxa"/>
              <w:left w:w="-1" w:type="dxa"/>
              <w:bottom w:w="-1" w:type="dxa"/>
              <w:right w:w="-1" w:type="dxa"/>
            </w:tcMar>
            <w:vAlign w:val="center"/>
          </w:tcPr>
          <w:p w14:paraId="17FB39E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0.338</w:t>
            </w:r>
          </w:p>
        </w:tc>
        <w:tc>
          <w:tcPr>
            <w:tcW w:w="1992" w:type="dxa"/>
            <w:tcBorders>
              <w:top w:val="nil"/>
              <w:left w:val="nil"/>
              <w:bottom w:val="nil"/>
              <w:right w:val="nil"/>
            </w:tcBorders>
            <w:tcMar>
              <w:top w:w="-1" w:type="dxa"/>
              <w:left w:w="-1" w:type="dxa"/>
              <w:bottom w:w="-1" w:type="dxa"/>
              <w:right w:w="-1" w:type="dxa"/>
            </w:tcMar>
            <w:vAlign w:val="center"/>
          </w:tcPr>
          <w:p w14:paraId="1BE93CF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0.299</w:t>
            </w:r>
            <w:r>
              <w:rPr>
                <w:rFonts w:ascii="Times New Roman" w:eastAsia="宋体" w:hAnsi="Times New Roman" w:cs="Times New Roman"/>
              </w:rPr>
              <w:t>～</w:t>
            </w:r>
            <w:r>
              <w:rPr>
                <w:rFonts w:ascii="Times New Roman" w:eastAsia="宋体" w:hAnsi="Times New Roman" w:cs="Times New Roman"/>
              </w:rPr>
              <w:t>0.376</w:t>
            </w:r>
          </w:p>
        </w:tc>
        <w:tc>
          <w:tcPr>
            <w:tcW w:w="1153" w:type="dxa"/>
            <w:tcBorders>
              <w:top w:val="nil"/>
              <w:left w:val="nil"/>
              <w:bottom w:val="nil"/>
              <w:right w:val="nil"/>
            </w:tcBorders>
            <w:tcMar>
              <w:top w:w="-1" w:type="dxa"/>
              <w:left w:w="-1" w:type="dxa"/>
              <w:bottom w:w="-1" w:type="dxa"/>
              <w:right w:w="-1" w:type="dxa"/>
            </w:tcMar>
            <w:vAlign w:val="center"/>
          </w:tcPr>
          <w:p w14:paraId="5DD3C4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945E5B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50FC57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93" w:type="dxa"/>
            <w:tcBorders>
              <w:top w:val="nil"/>
              <w:left w:val="nil"/>
              <w:bottom w:val="nil"/>
              <w:right w:val="nil"/>
            </w:tcBorders>
            <w:tcMar>
              <w:top w:w="-1" w:type="dxa"/>
              <w:left w:w="-1" w:type="dxa"/>
              <w:bottom w:w="-1" w:type="dxa"/>
              <w:right w:w="-1" w:type="dxa"/>
            </w:tcMar>
            <w:vAlign w:val="center"/>
          </w:tcPr>
          <w:p w14:paraId="7BA99E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353D50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3.929</w:t>
            </w:r>
          </w:p>
        </w:tc>
        <w:tc>
          <w:tcPr>
            <w:tcW w:w="1064" w:type="dxa"/>
            <w:tcBorders>
              <w:top w:val="nil"/>
              <w:left w:val="nil"/>
              <w:bottom w:val="nil"/>
              <w:right w:val="nil"/>
            </w:tcBorders>
            <w:tcMar>
              <w:top w:w="-1" w:type="dxa"/>
              <w:left w:w="-1" w:type="dxa"/>
              <w:bottom w:w="-1" w:type="dxa"/>
              <w:right w:w="-1" w:type="dxa"/>
            </w:tcMar>
            <w:vAlign w:val="center"/>
          </w:tcPr>
          <w:p w14:paraId="0C4228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4.275</w:t>
            </w:r>
          </w:p>
        </w:tc>
        <w:tc>
          <w:tcPr>
            <w:tcW w:w="1033" w:type="dxa"/>
            <w:tcBorders>
              <w:top w:val="nil"/>
              <w:left w:val="nil"/>
              <w:bottom w:val="nil"/>
              <w:right w:val="nil"/>
            </w:tcBorders>
            <w:tcMar>
              <w:top w:w="-1" w:type="dxa"/>
              <w:left w:w="-1" w:type="dxa"/>
              <w:bottom w:w="-1" w:type="dxa"/>
              <w:right w:w="-1" w:type="dxa"/>
            </w:tcMar>
            <w:vAlign w:val="center"/>
          </w:tcPr>
          <w:p w14:paraId="611A9EB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p>
        </w:tc>
        <w:tc>
          <w:tcPr>
            <w:tcW w:w="1992" w:type="dxa"/>
            <w:tcBorders>
              <w:top w:val="nil"/>
              <w:left w:val="nil"/>
              <w:bottom w:val="nil"/>
              <w:right w:val="nil"/>
            </w:tcBorders>
            <w:tcMar>
              <w:top w:w="-1" w:type="dxa"/>
              <w:left w:w="-1" w:type="dxa"/>
              <w:bottom w:w="-1" w:type="dxa"/>
              <w:right w:w="-1" w:type="dxa"/>
            </w:tcMar>
            <w:vAlign w:val="center"/>
          </w:tcPr>
          <w:p w14:paraId="55477E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0.300</w:t>
            </w:r>
            <w:r>
              <w:rPr>
                <w:rFonts w:ascii="Times New Roman" w:eastAsia="宋体" w:hAnsi="Times New Roman" w:cs="Times New Roman"/>
              </w:rPr>
              <w:t>～</w:t>
            </w:r>
            <w:r>
              <w:rPr>
                <w:rFonts w:ascii="Times New Roman" w:eastAsia="宋体" w:hAnsi="Times New Roman" w:cs="Times New Roman"/>
              </w:rPr>
              <w:t>0.390</w:t>
            </w:r>
          </w:p>
        </w:tc>
        <w:tc>
          <w:tcPr>
            <w:tcW w:w="1153" w:type="dxa"/>
            <w:tcBorders>
              <w:top w:val="nil"/>
              <w:left w:val="nil"/>
              <w:bottom w:val="nil"/>
              <w:right w:val="nil"/>
            </w:tcBorders>
            <w:tcMar>
              <w:top w:w="-1" w:type="dxa"/>
              <w:left w:w="-1" w:type="dxa"/>
              <w:bottom w:w="-1" w:type="dxa"/>
              <w:right w:w="-1" w:type="dxa"/>
            </w:tcMar>
            <w:vAlign w:val="center"/>
          </w:tcPr>
          <w:p w14:paraId="32D6E6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7A3BAF0"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98B2DE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93" w:type="dxa"/>
            <w:tcBorders>
              <w:top w:val="nil"/>
              <w:left w:val="nil"/>
              <w:bottom w:val="nil"/>
              <w:right w:val="nil"/>
            </w:tcBorders>
            <w:tcMar>
              <w:top w:w="-1" w:type="dxa"/>
              <w:left w:w="-1" w:type="dxa"/>
              <w:bottom w:w="-1" w:type="dxa"/>
              <w:right w:w="-1" w:type="dxa"/>
            </w:tcMar>
            <w:vAlign w:val="center"/>
          </w:tcPr>
          <w:p w14:paraId="3B6D7B4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64" w:type="dxa"/>
            <w:tcBorders>
              <w:top w:val="nil"/>
              <w:left w:val="nil"/>
              <w:bottom w:val="nil"/>
              <w:right w:val="nil"/>
            </w:tcBorders>
            <w:tcMar>
              <w:top w:w="-1" w:type="dxa"/>
              <w:left w:w="-1" w:type="dxa"/>
              <w:bottom w:w="-1" w:type="dxa"/>
              <w:right w:w="-1" w:type="dxa"/>
            </w:tcMar>
            <w:vAlign w:val="center"/>
          </w:tcPr>
          <w:p w14:paraId="721FCDC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3.964</w:t>
            </w:r>
          </w:p>
        </w:tc>
        <w:tc>
          <w:tcPr>
            <w:tcW w:w="1064" w:type="dxa"/>
            <w:tcBorders>
              <w:top w:val="nil"/>
              <w:left w:val="nil"/>
              <w:bottom w:val="nil"/>
              <w:right w:val="nil"/>
            </w:tcBorders>
            <w:tcMar>
              <w:top w:w="-1" w:type="dxa"/>
              <w:left w:w="-1" w:type="dxa"/>
              <w:bottom w:w="-1" w:type="dxa"/>
              <w:right w:w="-1" w:type="dxa"/>
            </w:tcMar>
            <w:vAlign w:val="center"/>
          </w:tcPr>
          <w:p w14:paraId="49271E5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4.368</w:t>
            </w:r>
          </w:p>
        </w:tc>
        <w:tc>
          <w:tcPr>
            <w:tcW w:w="1033" w:type="dxa"/>
            <w:tcBorders>
              <w:top w:val="nil"/>
              <w:left w:val="nil"/>
              <w:bottom w:val="nil"/>
              <w:right w:val="nil"/>
            </w:tcBorders>
            <w:tcMar>
              <w:top w:w="-1" w:type="dxa"/>
              <w:left w:w="-1" w:type="dxa"/>
              <w:bottom w:w="-1" w:type="dxa"/>
              <w:right w:w="-1" w:type="dxa"/>
            </w:tcMar>
            <w:vAlign w:val="center"/>
          </w:tcPr>
          <w:p w14:paraId="7CC3ECF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0.404</w:t>
            </w:r>
          </w:p>
        </w:tc>
        <w:tc>
          <w:tcPr>
            <w:tcW w:w="1992" w:type="dxa"/>
            <w:tcBorders>
              <w:top w:val="nil"/>
              <w:left w:val="nil"/>
              <w:bottom w:val="nil"/>
              <w:right w:val="nil"/>
            </w:tcBorders>
            <w:tcMar>
              <w:top w:w="-1" w:type="dxa"/>
              <w:left w:w="-1" w:type="dxa"/>
              <w:bottom w:w="-1" w:type="dxa"/>
              <w:right w:w="-1" w:type="dxa"/>
            </w:tcMar>
            <w:vAlign w:val="center"/>
          </w:tcPr>
          <w:p w14:paraId="03666E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0.364</w:t>
            </w:r>
            <w:r>
              <w:rPr>
                <w:rFonts w:ascii="Times New Roman" w:eastAsia="宋体" w:hAnsi="Times New Roman" w:cs="Times New Roman"/>
              </w:rPr>
              <w:t>～</w:t>
            </w:r>
            <w:r>
              <w:rPr>
                <w:rFonts w:ascii="Times New Roman" w:eastAsia="宋体" w:hAnsi="Times New Roman" w:cs="Times New Roman"/>
              </w:rPr>
              <w:t>0.444</w:t>
            </w:r>
          </w:p>
        </w:tc>
        <w:tc>
          <w:tcPr>
            <w:tcW w:w="1153" w:type="dxa"/>
            <w:tcBorders>
              <w:top w:val="nil"/>
              <w:left w:val="nil"/>
              <w:bottom w:val="nil"/>
              <w:right w:val="nil"/>
            </w:tcBorders>
            <w:tcMar>
              <w:top w:w="-1" w:type="dxa"/>
              <w:left w:w="-1" w:type="dxa"/>
              <w:bottom w:w="-1" w:type="dxa"/>
              <w:right w:w="-1" w:type="dxa"/>
            </w:tcMar>
            <w:vAlign w:val="center"/>
          </w:tcPr>
          <w:p w14:paraId="0BB4F1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0ECC11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1F4767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93" w:type="dxa"/>
            <w:tcBorders>
              <w:top w:val="nil"/>
              <w:left w:val="nil"/>
              <w:bottom w:val="nil"/>
              <w:right w:val="nil"/>
            </w:tcBorders>
            <w:tcMar>
              <w:top w:w="-1" w:type="dxa"/>
              <w:left w:w="-1" w:type="dxa"/>
              <w:bottom w:w="-1" w:type="dxa"/>
              <w:right w:w="-1" w:type="dxa"/>
            </w:tcMar>
            <w:vAlign w:val="center"/>
          </w:tcPr>
          <w:p w14:paraId="11610D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64" w:type="dxa"/>
            <w:tcBorders>
              <w:top w:val="nil"/>
              <w:left w:val="nil"/>
              <w:bottom w:val="nil"/>
              <w:right w:val="nil"/>
            </w:tcBorders>
            <w:tcMar>
              <w:top w:w="-1" w:type="dxa"/>
              <w:left w:w="-1" w:type="dxa"/>
              <w:bottom w:w="-1" w:type="dxa"/>
              <w:right w:w="-1" w:type="dxa"/>
            </w:tcMar>
            <w:vAlign w:val="center"/>
          </w:tcPr>
          <w:p w14:paraId="53441D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3.925</w:t>
            </w:r>
          </w:p>
        </w:tc>
        <w:tc>
          <w:tcPr>
            <w:tcW w:w="1064" w:type="dxa"/>
            <w:tcBorders>
              <w:top w:val="nil"/>
              <w:left w:val="nil"/>
              <w:bottom w:val="nil"/>
              <w:right w:val="nil"/>
            </w:tcBorders>
            <w:tcMar>
              <w:top w:w="-1" w:type="dxa"/>
              <w:left w:w="-1" w:type="dxa"/>
              <w:bottom w:w="-1" w:type="dxa"/>
              <w:right w:w="-1" w:type="dxa"/>
            </w:tcMar>
            <w:vAlign w:val="center"/>
          </w:tcPr>
          <w:p w14:paraId="77300F4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4.308</w:t>
            </w:r>
          </w:p>
        </w:tc>
        <w:tc>
          <w:tcPr>
            <w:tcW w:w="1033" w:type="dxa"/>
            <w:tcBorders>
              <w:top w:val="nil"/>
              <w:left w:val="nil"/>
              <w:bottom w:val="nil"/>
              <w:right w:val="nil"/>
            </w:tcBorders>
            <w:tcMar>
              <w:top w:w="-1" w:type="dxa"/>
              <w:left w:w="-1" w:type="dxa"/>
              <w:bottom w:w="-1" w:type="dxa"/>
              <w:right w:w="-1" w:type="dxa"/>
            </w:tcMar>
            <w:vAlign w:val="center"/>
          </w:tcPr>
          <w:p w14:paraId="09C8214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0.383</w:t>
            </w:r>
          </w:p>
        </w:tc>
        <w:tc>
          <w:tcPr>
            <w:tcW w:w="1992" w:type="dxa"/>
            <w:tcBorders>
              <w:top w:val="nil"/>
              <w:left w:val="nil"/>
              <w:bottom w:val="nil"/>
              <w:right w:val="nil"/>
            </w:tcBorders>
            <w:tcMar>
              <w:top w:w="-1" w:type="dxa"/>
              <w:left w:w="-1" w:type="dxa"/>
              <w:bottom w:w="-1" w:type="dxa"/>
              <w:right w:w="-1" w:type="dxa"/>
            </w:tcMar>
            <w:vAlign w:val="center"/>
          </w:tcPr>
          <w:p w14:paraId="5DB1FA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0.346</w:t>
            </w:r>
            <w:r>
              <w:rPr>
                <w:rFonts w:ascii="Times New Roman" w:eastAsia="宋体" w:hAnsi="Times New Roman" w:cs="Times New Roman"/>
              </w:rPr>
              <w:t>～</w:t>
            </w:r>
            <w:r>
              <w:rPr>
                <w:rFonts w:ascii="Times New Roman" w:eastAsia="宋体" w:hAnsi="Times New Roman" w:cs="Times New Roman"/>
              </w:rPr>
              <w:t>0.421</w:t>
            </w:r>
          </w:p>
        </w:tc>
        <w:tc>
          <w:tcPr>
            <w:tcW w:w="1153" w:type="dxa"/>
            <w:tcBorders>
              <w:top w:val="nil"/>
              <w:left w:val="nil"/>
              <w:bottom w:val="nil"/>
              <w:right w:val="nil"/>
            </w:tcBorders>
            <w:tcMar>
              <w:top w:w="-1" w:type="dxa"/>
              <w:left w:w="-1" w:type="dxa"/>
              <w:bottom w:w="-1" w:type="dxa"/>
              <w:right w:w="-1" w:type="dxa"/>
            </w:tcMar>
            <w:vAlign w:val="center"/>
          </w:tcPr>
          <w:p w14:paraId="0FEDCD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905C5A8"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5B8EB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93" w:type="dxa"/>
            <w:tcBorders>
              <w:top w:val="nil"/>
              <w:left w:val="nil"/>
              <w:bottom w:val="nil"/>
              <w:right w:val="nil"/>
            </w:tcBorders>
            <w:tcMar>
              <w:top w:w="-1" w:type="dxa"/>
              <w:left w:w="-1" w:type="dxa"/>
              <w:bottom w:w="-1" w:type="dxa"/>
              <w:right w:w="-1" w:type="dxa"/>
            </w:tcMar>
            <w:vAlign w:val="center"/>
          </w:tcPr>
          <w:p w14:paraId="222F33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nil"/>
              <w:right w:val="nil"/>
            </w:tcBorders>
            <w:tcMar>
              <w:top w:w="-1" w:type="dxa"/>
              <w:left w:w="-1" w:type="dxa"/>
              <w:bottom w:w="-1" w:type="dxa"/>
              <w:right w:w="-1" w:type="dxa"/>
            </w:tcMar>
            <w:vAlign w:val="center"/>
          </w:tcPr>
          <w:p w14:paraId="07E85F0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4.227</w:t>
            </w:r>
          </w:p>
        </w:tc>
        <w:tc>
          <w:tcPr>
            <w:tcW w:w="1064" w:type="dxa"/>
            <w:tcBorders>
              <w:top w:val="nil"/>
              <w:left w:val="nil"/>
              <w:bottom w:val="nil"/>
              <w:right w:val="nil"/>
            </w:tcBorders>
            <w:tcMar>
              <w:top w:w="-1" w:type="dxa"/>
              <w:left w:w="-1" w:type="dxa"/>
              <w:bottom w:w="-1" w:type="dxa"/>
              <w:right w:w="-1" w:type="dxa"/>
            </w:tcMar>
            <w:vAlign w:val="center"/>
          </w:tcPr>
          <w:p w14:paraId="78912A2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4.642</w:t>
            </w:r>
          </w:p>
        </w:tc>
        <w:tc>
          <w:tcPr>
            <w:tcW w:w="1033" w:type="dxa"/>
            <w:tcBorders>
              <w:top w:val="nil"/>
              <w:left w:val="nil"/>
              <w:bottom w:val="nil"/>
              <w:right w:val="nil"/>
            </w:tcBorders>
            <w:tcMar>
              <w:top w:w="-1" w:type="dxa"/>
              <w:left w:w="-1" w:type="dxa"/>
              <w:bottom w:w="-1" w:type="dxa"/>
              <w:right w:w="-1" w:type="dxa"/>
            </w:tcMar>
            <w:vAlign w:val="center"/>
          </w:tcPr>
          <w:p w14:paraId="740C4D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0.415</w:t>
            </w:r>
          </w:p>
        </w:tc>
        <w:tc>
          <w:tcPr>
            <w:tcW w:w="1992" w:type="dxa"/>
            <w:tcBorders>
              <w:top w:val="nil"/>
              <w:left w:val="nil"/>
              <w:bottom w:val="nil"/>
              <w:right w:val="nil"/>
            </w:tcBorders>
            <w:tcMar>
              <w:top w:w="-1" w:type="dxa"/>
              <w:left w:w="-1" w:type="dxa"/>
              <w:bottom w:w="-1" w:type="dxa"/>
              <w:right w:w="-1" w:type="dxa"/>
            </w:tcMar>
            <w:vAlign w:val="center"/>
          </w:tcPr>
          <w:p w14:paraId="16FA8E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0.352</w:t>
            </w:r>
            <w:r>
              <w:rPr>
                <w:rFonts w:ascii="Times New Roman" w:eastAsia="宋体" w:hAnsi="Times New Roman" w:cs="Times New Roman"/>
              </w:rPr>
              <w:t>～</w:t>
            </w:r>
            <w:r>
              <w:rPr>
                <w:rFonts w:ascii="Times New Roman" w:eastAsia="宋体" w:hAnsi="Times New Roman" w:cs="Times New Roman"/>
              </w:rPr>
              <w:t>0.478</w:t>
            </w:r>
          </w:p>
        </w:tc>
        <w:tc>
          <w:tcPr>
            <w:tcW w:w="1153" w:type="dxa"/>
            <w:tcBorders>
              <w:top w:val="nil"/>
              <w:left w:val="nil"/>
              <w:bottom w:val="nil"/>
              <w:right w:val="nil"/>
            </w:tcBorders>
            <w:tcMar>
              <w:top w:w="-1" w:type="dxa"/>
              <w:left w:w="-1" w:type="dxa"/>
              <w:bottom w:w="-1" w:type="dxa"/>
              <w:right w:w="-1" w:type="dxa"/>
            </w:tcMar>
            <w:vAlign w:val="center"/>
          </w:tcPr>
          <w:p w14:paraId="253D3A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6860EC5"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2D7C89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DA7B10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453F5B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2AA2033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2462206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638318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375AEE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4FF17F4C"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两表共</w:t>
      </w:r>
      <w:r>
        <w:rPr>
          <w:rFonts w:ascii="Times New Roman" w:eastAsia="华文楷体" w:hAnsi="Times New Roman" w:cs="Times New Roman"/>
          <w:sz w:val="18"/>
        </w:rPr>
        <w:t>14</w:t>
      </w:r>
      <w:r>
        <w:rPr>
          <w:rFonts w:ascii="Times New Roman" w:eastAsia="华文楷体" w:hAnsi="Times New Roman" w:cs="Times New Roman"/>
          <w:sz w:val="18"/>
        </w:rPr>
        <w:t>项配对检验统一进行</w:t>
      </w:r>
      <w:r>
        <w:rPr>
          <w:rFonts w:ascii="Times New Roman" w:eastAsia="华文楷体" w:hAnsi="Times New Roman" w:cs="Times New Roman"/>
          <w:sz w:val="18"/>
        </w:rPr>
        <w:t>Holm</w:t>
      </w:r>
      <w:r>
        <w:rPr>
          <w:rFonts w:ascii="Times New Roman" w:eastAsia="华文楷体" w:hAnsi="Times New Roman" w:cs="Times New Roman"/>
          <w:sz w:val="18"/>
        </w:rPr>
        <w:t>校正；置信区间为各项未作多重比较校正的</w:t>
      </w:r>
      <w:r>
        <w:rPr>
          <w:rFonts w:ascii="Times New Roman" w:eastAsia="华文楷体" w:hAnsi="Times New Roman" w:cs="Times New Roman"/>
          <w:sz w:val="18"/>
        </w:rPr>
        <w:t>95%</w:t>
      </w:r>
      <w:r>
        <w:rPr>
          <w:rFonts w:ascii="Times New Roman" w:eastAsia="华文楷体" w:hAnsi="Times New Roman" w:cs="Times New Roman"/>
          <w:sz w:val="18"/>
        </w:rPr>
        <w:t>置信区间。</w:t>
      </w:r>
    </w:p>
    <w:p w14:paraId="7EAD57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高阶思维的改善具有年级差异。七年级、十二年级分别提高</w:t>
      </w:r>
      <w:r>
        <w:rPr>
          <w:rFonts w:ascii="Times New Roman" w:eastAsia="宋体" w:hAnsi="Times New Roman" w:cs="Times New Roman"/>
          <w:sz w:val="24"/>
        </w:rPr>
        <w:t>0.321</w:t>
      </w:r>
      <w:r>
        <w:rPr>
          <w:rFonts w:ascii="Times New Roman" w:eastAsia="宋体" w:hAnsi="Times New Roman" w:cs="Times New Roman"/>
          <w:sz w:val="24"/>
        </w:rPr>
        <w:t>分和</w:t>
      </w:r>
      <w:r>
        <w:rPr>
          <w:rFonts w:ascii="Times New Roman" w:eastAsia="宋体" w:hAnsi="Times New Roman" w:cs="Times New Roman"/>
          <w:sz w:val="24"/>
        </w:rPr>
        <w:t>0.292</w:t>
      </w:r>
      <w:r>
        <w:rPr>
          <w:rFonts w:ascii="Times New Roman" w:eastAsia="宋体" w:hAnsi="Times New Roman" w:cs="Times New Roman"/>
          <w:sz w:val="24"/>
        </w:rPr>
        <w:t>分，校正后均达到统计显著；其他年级未达到显著水平。六年级和十年级的平均变化略为负值，分别约为－</w:t>
      </w:r>
      <w:r>
        <w:rPr>
          <w:rFonts w:ascii="Times New Roman" w:eastAsia="宋体" w:hAnsi="Times New Roman" w:cs="Times New Roman"/>
          <w:sz w:val="24"/>
        </w:rPr>
        <w:t>0.047</w:t>
      </w:r>
      <w:r>
        <w:rPr>
          <w:rFonts w:ascii="Times New Roman" w:eastAsia="宋体" w:hAnsi="Times New Roman" w:cs="Times New Roman"/>
          <w:sz w:val="24"/>
        </w:rPr>
        <w:t>分和－</w:t>
      </w:r>
      <w:r>
        <w:rPr>
          <w:rFonts w:ascii="Times New Roman" w:eastAsia="宋体" w:hAnsi="Times New Roman" w:cs="Times New Roman"/>
          <w:sz w:val="24"/>
        </w:rPr>
        <w:t>0.002</w:t>
      </w:r>
      <w:r>
        <w:rPr>
          <w:rFonts w:ascii="Times New Roman" w:eastAsia="宋体" w:hAnsi="Times New Roman" w:cs="Times New Roman"/>
          <w:sz w:val="24"/>
        </w:rPr>
        <w:t>分，差异均不显著。</w:t>
      </w:r>
    </w:p>
    <w:p w14:paraId="5AFE1D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高阶社会情感七个年级均显著提高，平均增分为</w:t>
      </w:r>
      <w:r>
        <w:rPr>
          <w:rFonts w:ascii="Times New Roman" w:eastAsia="宋体" w:hAnsi="Times New Roman" w:cs="Times New Roman"/>
          <w:sz w:val="24"/>
        </w:rPr>
        <w:t>0.304—0.439</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。相较于高阶思维，社会情感自评改善在年级层面的表现更为广泛。以上为各年级内部变化，尚未检验七个年级之间增分差异，不能据排序断言某年级的效果显著优于其他年级。</w:t>
      </w:r>
    </w:p>
    <w:p w14:paraId="61AF217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）年级发展特点的探索性聚类</w:t>
      </w:r>
    </w:p>
    <w:p w14:paraId="16A3ED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在分年级结果基础上，以</w:t>
      </w:r>
      <w:r>
        <w:rPr>
          <w:rFonts w:ascii="Times New Roman" w:eastAsia="宋体" w:hAnsi="Times New Roman" w:cs="Times New Roman"/>
          <w:sz w:val="24"/>
        </w:rPr>
        <w:t>32</w:t>
      </w:r>
      <w:r>
        <w:rPr>
          <w:rFonts w:ascii="Times New Roman" w:eastAsia="宋体" w:hAnsi="Times New Roman" w:cs="Times New Roman"/>
          <w:sz w:val="24"/>
        </w:rPr>
        <w:t>题合计分的前测均值和平均增分为两个指标，经</w:t>
      </w:r>
      <w:r>
        <w:rPr>
          <w:rFonts w:ascii="Times New Roman" w:eastAsia="宋体" w:hAnsi="Times New Roman" w:cs="Times New Roman"/>
          <w:sz w:val="24"/>
        </w:rPr>
        <w:t>Z</w:t>
      </w:r>
      <w:r>
        <w:rPr>
          <w:rFonts w:ascii="Times New Roman" w:eastAsia="宋体" w:hAnsi="Times New Roman" w:cs="Times New Roman"/>
          <w:sz w:val="24"/>
        </w:rPr>
        <w:t>标准化后采用</w:t>
      </w:r>
      <w:r>
        <w:rPr>
          <w:rFonts w:ascii="Times New Roman" w:eastAsia="宋体" w:hAnsi="Times New Roman" w:cs="Times New Roman"/>
          <w:sz w:val="24"/>
        </w:rPr>
        <w:t>Ward</w:t>
      </w:r>
      <w:r>
        <w:rPr>
          <w:rFonts w:ascii="Times New Roman" w:eastAsia="宋体" w:hAnsi="Times New Roman" w:cs="Times New Roman"/>
          <w:sz w:val="24"/>
        </w:rPr>
        <w:t>层次聚类。合计分仅用于辅助归纳年级特点。七个年级各作为一个聚类对象，不纳入全体汇总行。三类方案的轮廓系数为</w:t>
      </w:r>
      <w:r>
        <w:rPr>
          <w:rFonts w:ascii="Times New Roman" w:eastAsia="宋体" w:hAnsi="Times New Roman" w:cs="Times New Roman"/>
          <w:sz w:val="24"/>
        </w:rPr>
        <w:t>0.445</w:t>
      </w:r>
      <w:r>
        <w:rPr>
          <w:rFonts w:ascii="Times New Roman" w:eastAsia="宋体" w:hAnsi="Times New Roman" w:cs="Times New Roman"/>
          <w:sz w:val="24"/>
        </w:rPr>
        <w:t>，略高于两类方案的</w:t>
      </w:r>
      <w:r>
        <w:rPr>
          <w:rFonts w:ascii="Times New Roman" w:eastAsia="宋体" w:hAnsi="Times New Roman" w:cs="Times New Roman"/>
          <w:sz w:val="24"/>
        </w:rPr>
        <w:t>0.411</w:t>
      </w:r>
      <w:r>
        <w:rPr>
          <w:rFonts w:ascii="Times New Roman" w:eastAsia="宋体" w:hAnsi="Times New Roman" w:cs="Times New Roman"/>
          <w:sz w:val="24"/>
        </w:rPr>
        <w:t>，故呈现三类结果。</w:t>
      </w:r>
    </w:p>
    <w:p w14:paraId="29CEEFD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3-42  </w:t>
      </w:r>
      <w:r>
        <w:rPr>
          <w:rFonts w:ascii="Times New Roman" w:eastAsia="黑体" w:hAnsi="Times New Roman" w:cs="Times New Roman"/>
        </w:rPr>
        <w:t>年级发展特点的探索性分组</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31"/>
        <w:gridCol w:w="2931"/>
        <w:gridCol w:w="1452"/>
        <w:gridCol w:w="1205"/>
      </w:tblGrid>
      <w:tr w:rsidR="000B1CCE" w14:paraId="6BDA068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D363F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AFE82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所含年级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6A1B0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平均前测分</w:t>
            </w:r>
          </w:p>
        </w:tc>
        <w:tc>
          <w:tcPr>
            <w:tcW w:w="12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9CAE5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平均增分</w:t>
            </w:r>
          </w:p>
        </w:tc>
      </w:tr>
      <w:tr w:rsidR="000B1CCE" w14:paraId="31672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38E2E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起点较高、持续提高</w:t>
            </w:r>
          </w:p>
        </w:tc>
        <w:tc>
          <w:tcPr>
            <w:tcW w:w="0" w:type="auto"/>
            <w:tcBorders>
              <w:top w:val="nil"/>
              <w:left w:val="nil"/>
              <w:bottom w:val="nil"/>
              <w:right w:val="nil"/>
            </w:tcBorders>
            <w:tcMar>
              <w:top w:w="-1" w:type="dxa"/>
              <w:left w:w="-1" w:type="dxa"/>
              <w:bottom w:w="-1" w:type="dxa"/>
              <w:right w:w="-1" w:type="dxa"/>
            </w:tcMar>
            <w:vAlign w:val="center"/>
          </w:tcPr>
          <w:p w14:paraId="6F656F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六年级、十一年级</w:t>
            </w:r>
          </w:p>
        </w:tc>
        <w:tc>
          <w:tcPr>
            <w:tcW w:w="0" w:type="auto"/>
            <w:tcBorders>
              <w:top w:val="nil"/>
              <w:left w:val="nil"/>
              <w:bottom w:val="nil"/>
              <w:right w:val="nil"/>
            </w:tcBorders>
            <w:tcMar>
              <w:top w:w="-1" w:type="dxa"/>
              <w:left w:w="-1" w:type="dxa"/>
              <w:bottom w:w="-1" w:type="dxa"/>
              <w:right w:w="-1" w:type="dxa"/>
            </w:tcMar>
            <w:vAlign w:val="center"/>
          </w:tcPr>
          <w:p w14:paraId="21710C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136.89</w:t>
            </w:r>
          </w:p>
        </w:tc>
        <w:tc>
          <w:tcPr>
            <w:tcW w:w="1205" w:type="dxa"/>
            <w:tcBorders>
              <w:top w:val="nil"/>
              <w:left w:val="nil"/>
              <w:bottom w:val="nil"/>
              <w:right w:val="nil"/>
            </w:tcBorders>
            <w:tcMar>
              <w:top w:w="-1" w:type="dxa"/>
              <w:left w:w="-1" w:type="dxa"/>
              <w:bottom w:w="-1" w:type="dxa"/>
              <w:right w:w="-1" w:type="dxa"/>
            </w:tcMar>
            <w:vAlign w:val="center"/>
          </w:tcPr>
          <w:p w14:paraId="08F4C6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7.02</w:t>
            </w:r>
          </w:p>
        </w:tc>
      </w:tr>
      <w:tr w:rsidR="000B1CCE" w14:paraId="4426000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640D1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6256AA7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31D61D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123.48</w:t>
            </w:r>
          </w:p>
        </w:tc>
        <w:tc>
          <w:tcPr>
            <w:tcW w:w="1205" w:type="dxa"/>
            <w:tcBorders>
              <w:top w:val="nil"/>
              <w:left w:val="nil"/>
              <w:bottom w:val="nil"/>
              <w:right w:val="nil"/>
            </w:tcBorders>
            <w:tcMar>
              <w:top w:w="-1" w:type="dxa"/>
              <w:left w:w="-1" w:type="dxa"/>
              <w:bottom w:w="-1" w:type="dxa"/>
              <w:right w:w="-1" w:type="dxa"/>
            </w:tcMar>
            <w:vAlign w:val="center"/>
          </w:tcPr>
          <w:p w14:paraId="7E34A1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11.44</w:t>
            </w:r>
          </w:p>
        </w:tc>
      </w:tr>
      <w:tr w:rsidR="000B1CCE" w14:paraId="58703F41"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00DBDEB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0DFCDC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38A298F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50D3625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7.91</w:t>
            </w:r>
          </w:p>
        </w:tc>
      </w:tr>
    </w:tbl>
    <w:p w14:paraId="65377B6D"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合计分为</w:t>
      </w:r>
      <w:r>
        <w:rPr>
          <w:rFonts w:ascii="Times New Roman" w:eastAsia="华文楷体" w:hAnsi="Times New Roman" w:cs="Times New Roman"/>
          <w:sz w:val="18"/>
        </w:rPr>
        <w:t>32—160</w:t>
      </w:r>
      <w:r>
        <w:rPr>
          <w:rFonts w:ascii="Times New Roman" w:eastAsia="华文楷体" w:hAnsi="Times New Roman" w:cs="Times New Roman"/>
          <w:sz w:val="18"/>
        </w:rPr>
        <w:t>分，类型均值按年级等权平均，非按学生人数加权；各类高低仅相对于本批年级。</w:t>
      </w:r>
    </w:p>
    <w:p w14:paraId="1C86E4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7DEAB68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）剔除同选项答卷的敏感性检验</w:t>
      </w:r>
    </w:p>
    <w:p w14:paraId="306952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任一测次</w:t>
      </w:r>
      <w:r>
        <w:rPr>
          <w:rFonts w:ascii="Times New Roman" w:eastAsia="宋体" w:hAnsi="Times New Roman" w:cs="Times New Roman"/>
          <w:sz w:val="24"/>
        </w:rPr>
        <w:t>32</w:t>
      </w:r>
      <w:r>
        <w:rPr>
          <w:rFonts w:ascii="Times New Roman" w:eastAsia="宋体" w:hAnsi="Times New Roman" w:cs="Times New Roman"/>
          <w:sz w:val="24"/>
        </w:rPr>
        <w:t>题全部选择同一选项的记录为</w:t>
      </w:r>
      <w:r>
        <w:rPr>
          <w:rFonts w:ascii="Times New Roman" w:eastAsia="宋体" w:hAnsi="Times New Roman" w:cs="Times New Roman"/>
          <w:sz w:val="24"/>
        </w:rPr>
        <w:t>448</w:t>
      </w:r>
      <w:r>
        <w:rPr>
          <w:rFonts w:ascii="Times New Roman" w:eastAsia="宋体" w:hAnsi="Times New Roman" w:cs="Times New Roman"/>
          <w:sz w:val="24"/>
        </w:rPr>
        <w:t>对，剔除后保留</w:t>
      </w:r>
      <w:r>
        <w:rPr>
          <w:rFonts w:ascii="Times New Roman" w:eastAsia="宋体" w:hAnsi="Times New Roman" w:cs="Times New Roman"/>
          <w:sz w:val="24"/>
        </w:rPr>
        <w:t>898</w:t>
      </w:r>
      <w:r>
        <w:rPr>
          <w:rFonts w:ascii="Times New Roman" w:eastAsia="宋体" w:hAnsi="Times New Roman" w:cs="Times New Roman"/>
          <w:sz w:val="24"/>
        </w:rPr>
        <w:t>对。重新分析后，七个维度和两个总体指标均显著提高，</w:t>
      </w:r>
      <w:r>
        <w:rPr>
          <w:rFonts w:ascii="Times New Roman" w:eastAsia="宋体" w:hAnsi="Times New Roman" w:cs="Times New Roman"/>
          <w:sz w:val="24"/>
        </w:rPr>
        <w:t>9</w:t>
      </w:r>
      <w:r>
        <w:rPr>
          <w:rFonts w:ascii="Times New Roman" w:eastAsia="宋体" w:hAnsi="Times New Roman" w:cs="Times New Roman"/>
          <w:sz w:val="24"/>
        </w:rPr>
        <w:t>项</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。该结果支持改善方向的一致性，但高阶思维增幅受筛选影响较大。主要成效仍依据全部</w:t>
      </w:r>
      <w:r>
        <w:rPr>
          <w:rFonts w:ascii="Times New Roman" w:eastAsia="宋体" w:hAnsi="Times New Roman" w:cs="Times New Roman"/>
          <w:sz w:val="24"/>
        </w:rPr>
        <w:t>1346</w:t>
      </w:r>
      <w:r>
        <w:rPr>
          <w:rFonts w:ascii="Times New Roman" w:eastAsia="宋体" w:hAnsi="Times New Roman" w:cs="Times New Roman"/>
          <w:sz w:val="24"/>
        </w:rPr>
        <w:t>对记录。</w:t>
      </w:r>
    </w:p>
    <w:p w14:paraId="538EE34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3-43  </w:t>
      </w:r>
      <w:r>
        <w:rPr>
          <w:rFonts w:ascii="Times New Roman" w:eastAsia="黑体" w:hAnsi="Times New Roman" w:cs="Times New Roman"/>
        </w:rPr>
        <w:t>两个总体指标的敏感性分析</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308"/>
        <w:gridCol w:w="2178"/>
        <w:gridCol w:w="2049"/>
        <w:gridCol w:w="1984"/>
      </w:tblGrid>
      <w:tr w:rsidR="000B1CCE" w14:paraId="1375A46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BB1C80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E54697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全部</w:t>
            </w:r>
            <w:r>
              <w:rPr>
                <w:rFonts w:ascii="Times New Roman" w:eastAsia="宋体" w:hAnsi="Times New Roman" w:cs="Times New Roman"/>
                <w:b/>
              </w:rPr>
              <w:t>1346</w:t>
            </w:r>
            <w:r>
              <w:rPr>
                <w:rFonts w:ascii="Times New Roman" w:eastAsia="宋体" w:hAnsi="Times New Roman" w:cs="Times New Roman"/>
                <w:b/>
              </w:rPr>
              <w:t>对增分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75F1D1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w:t>
            </w:r>
            <w:r>
              <w:rPr>
                <w:rFonts w:ascii="Times New Roman" w:eastAsia="宋体" w:hAnsi="Times New Roman" w:cs="Times New Roman"/>
                <w:b/>
              </w:rPr>
              <w:t>898</w:t>
            </w:r>
            <w:r>
              <w:rPr>
                <w:rFonts w:ascii="Times New Roman" w:eastAsia="宋体" w:hAnsi="Times New Roman" w:cs="Times New Roman"/>
                <w:b/>
              </w:rPr>
              <w:t>对增分</w:t>
            </w:r>
          </w:p>
        </w:tc>
        <w:tc>
          <w:tcPr>
            <w:tcW w:w="198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6ED2A1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筛选样本</w:t>
            </w:r>
            <w:r>
              <w:rPr>
                <w:rFonts w:ascii="Times New Roman" w:eastAsia="宋体" w:hAnsi="Times New Roman" w:cs="Times New Roman"/>
                <w:b/>
              </w:rPr>
              <w:t>95%CI</w:t>
            </w:r>
          </w:p>
        </w:tc>
      </w:tr>
      <w:tr w:rsidR="000B1CCE" w14:paraId="63DCB8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30E5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高阶思维总体</w:t>
            </w:r>
          </w:p>
        </w:tc>
        <w:tc>
          <w:tcPr>
            <w:tcW w:w="0" w:type="auto"/>
            <w:tcBorders>
              <w:top w:val="nil"/>
              <w:left w:val="nil"/>
              <w:bottom w:val="nil"/>
              <w:right w:val="nil"/>
            </w:tcBorders>
            <w:tcMar>
              <w:top w:w="-1" w:type="dxa"/>
              <w:left w:w="-1" w:type="dxa"/>
              <w:bottom w:w="-1" w:type="dxa"/>
              <w:right w:w="-1" w:type="dxa"/>
            </w:tcMar>
            <w:vAlign w:val="center"/>
          </w:tcPr>
          <w:p w14:paraId="25E6F02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0" w:type="auto"/>
            <w:tcBorders>
              <w:top w:val="nil"/>
              <w:left w:val="nil"/>
              <w:bottom w:val="nil"/>
              <w:right w:val="nil"/>
            </w:tcBorders>
            <w:tcMar>
              <w:top w:w="-1" w:type="dxa"/>
              <w:left w:w="-1" w:type="dxa"/>
              <w:bottom w:w="-1" w:type="dxa"/>
              <w:right w:w="-1" w:type="dxa"/>
            </w:tcMar>
            <w:vAlign w:val="center"/>
          </w:tcPr>
          <w:p w14:paraId="279853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0.204</w:t>
            </w:r>
          </w:p>
        </w:tc>
        <w:tc>
          <w:tcPr>
            <w:tcW w:w="1984" w:type="dxa"/>
            <w:tcBorders>
              <w:top w:val="nil"/>
              <w:left w:val="nil"/>
              <w:bottom w:val="nil"/>
              <w:right w:val="nil"/>
            </w:tcBorders>
            <w:tcMar>
              <w:top w:w="-1" w:type="dxa"/>
              <w:left w:w="-1" w:type="dxa"/>
              <w:bottom w:w="-1" w:type="dxa"/>
              <w:right w:w="-1" w:type="dxa"/>
            </w:tcMar>
            <w:vAlign w:val="center"/>
          </w:tcPr>
          <w:p w14:paraId="19C634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0.134</w:t>
            </w:r>
            <w:r>
              <w:rPr>
                <w:rFonts w:ascii="Times New Roman" w:eastAsia="宋体" w:hAnsi="Times New Roman" w:cs="Times New Roman"/>
              </w:rPr>
              <w:t>～</w:t>
            </w:r>
            <w:r>
              <w:rPr>
                <w:rFonts w:ascii="Times New Roman" w:eastAsia="宋体" w:hAnsi="Times New Roman" w:cs="Times New Roman"/>
              </w:rPr>
              <w:t>0.273</w:t>
            </w:r>
          </w:p>
        </w:tc>
      </w:tr>
      <w:tr w:rsidR="000B1CCE" w14:paraId="35D90326"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25AE88A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33BC54F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5B15593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5D0C244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0.390</w:t>
            </w:r>
            <w:r>
              <w:rPr>
                <w:rFonts w:ascii="Times New Roman" w:eastAsia="宋体" w:hAnsi="Times New Roman" w:cs="Times New Roman"/>
              </w:rPr>
              <w:t>～</w:t>
            </w:r>
            <w:r>
              <w:rPr>
                <w:rFonts w:ascii="Times New Roman" w:eastAsia="宋体" w:hAnsi="Times New Roman" w:cs="Times New Roman"/>
              </w:rPr>
              <w:t>0.425</w:t>
            </w:r>
          </w:p>
        </w:tc>
      </w:tr>
    </w:tbl>
    <w:p w14:paraId="615AA198"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同选项作答筛选仅用于敏感性分析。</w:t>
      </w:r>
    </w:p>
    <w:p w14:paraId="6CF6276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）高阶思维三个维度的变化</w:t>
      </w:r>
    </w:p>
    <w:p w14:paraId="3A5346F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）分析</w:t>
      </w:r>
    </w:p>
    <w:p w14:paraId="27D5EE1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3-44  </w:t>
      </w:r>
      <w:r>
        <w:rPr>
          <w:rFonts w:ascii="Times New Roman" w:eastAsia="黑体" w:hAnsi="Times New Roman" w:cs="Times New Roman"/>
        </w:rPr>
        <w:t>分析前后测配对比较（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7A75378D"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1A931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8A74F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B5C86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D5D26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F4F7E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D848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7E6B6E5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5F3D72E"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7DE119B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3FA4D80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3.941</w:t>
            </w:r>
          </w:p>
        </w:tc>
        <w:tc>
          <w:tcPr>
            <w:tcW w:w="1014" w:type="dxa"/>
            <w:tcBorders>
              <w:top w:val="nil"/>
              <w:left w:val="nil"/>
              <w:bottom w:val="nil"/>
              <w:right w:val="nil"/>
            </w:tcBorders>
            <w:tcMar>
              <w:top w:w="-1" w:type="dxa"/>
              <w:left w:w="-1" w:type="dxa"/>
              <w:bottom w:w="-1" w:type="dxa"/>
              <w:right w:w="-1" w:type="dxa"/>
            </w:tcMar>
            <w:vAlign w:val="center"/>
          </w:tcPr>
          <w:p w14:paraId="31FF535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0.815</w:t>
            </w:r>
          </w:p>
        </w:tc>
        <w:tc>
          <w:tcPr>
            <w:tcW w:w="1215" w:type="dxa"/>
            <w:vMerge w:val="restart"/>
            <w:tcBorders>
              <w:top w:val="nil"/>
              <w:left w:val="nil"/>
              <w:bottom w:val="nil"/>
              <w:right w:val="nil"/>
            </w:tcBorders>
            <w:tcMar>
              <w:top w:w="-1" w:type="dxa"/>
              <w:left w:w="-1" w:type="dxa"/>
              <w:bottom w:w="-1" w:type="dxa"/>
              <w:right w:w="-1" w:type="dxa"/>
            </w:tcMar>
            <w:vAlign w:val="center"/>
          </w:tcPr>
          <w:p w14:paraId="2B2CF43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76A0CF7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0.027</w:t>
            </w:r>
            <w:r>
              <w:rPr>
                <w:rFonts w:ascii="Times New Roman" w:eastAsia="宋体" w:hAnsi="Times New Roman" w:cs="Times New Roman"/>
              </w:rPr>
              <w:t>～</w:t>
            </w:r>
            <w:r>
              <w:rPr>
                <w:rFonts w:ascii="Times New Roman" w:eastAsia="宋体" w:hAnsi="Times New Roman" w:cs="Times New Roman"/>
              </w:rPr>
              <w:t>0.147</w:t>
            </w:r>
          </w:p>
        </w:tc>
        <w:tc>
          <w:tcPr>
            <w:tcW w:w="1172" w:type="dxa"/>
            <w:vMerge w:val="restart"/>
            <w:tcBorders>
              <w:top w:val="nil"/>
              <w:left w:val="nil"/>
              <w:bottom w:val="nil"/>
              <w:right w:val="nil"/>
            </w:tcBorders>
            <w:tcMar>
              <w:top w:w="-1" w:type="dxa"/>
              <w:left w:w="-1" w:type="dxa"/>
              <w:bottom w:w="-1" w:type="dxa"/>
              <w:right w:w="-1" w:type="dxa"/>
            </w:tcMar>
            <w:vAlign w:val="center"/>
          </w:tcPr>
          <w:p w14:paraId="124510D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2.833</w:t>
            </w:r>
          </w:p>
        </w:tc>
        <w:tc>
          <w:tcPr>
            <w:tcW w:w="1171" w:type="dxa"/>
            <w:vMerge w:val="restart"/>
            <w:tcBorders>
              <w:top w:val="nil"/>
              <w:left w:val="nil"/>
              <w:bottom w:val="nil"/>
              <w:right w:val="nil"/>
            </w:tcBorders>
            <w:tcMar>
              <w:top w:w="-1" w:type="dxa"/>
              <w:left w:w="-1" w:type="dxa"/>
              <w:bottom w:w="-1" w:type="dxa"/>
              <w:right w:w="-1" w:type="dxa"/>
            </w:tcMar>
            <w:vAlign w:val="center"/>
          </w:tcPr>
          <w:p w14:paraId="7EA473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0.005</w:t>
            </w:r>
          </w:p>
        </w:tc>
      </w:tr>
      <w:tr w:rsidR="000B1CCE" w14:paraId="32EAEB6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7692B95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5DCBF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0AB98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209EC3D"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1B8C504"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786AF0A8"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399F64CD" w14:textId="77777777" w:rsidR="000B1CCE" w:rsidRDefault="000B1CCE">
            <w:pPr>
              <w:adjustRightInd w:val="0"/>
              <w:snapToGrid w:val="0"/>
              <w:spacing w:before="20" w:after="20"/>
              <w:jc w:val="center"/>
              <w:rPr>
                <w:rFonts w:ascii="宋体" w:eastAsia="宋体" w:hAnsi="宋体" w:cs="宋体"/>
                <w:sz w:val="24"/>
              </w:rPr>
            </w:pPr>
          </w:p>
        </w:tc>
      </w:tr>
    </w:tbl>
    <w:p w14:paraId="7955D3F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=0.077</w:t>
      </w:r>
      <w:r>
        <w:rPr>
          <w:rFonts w:ascii="Times New Roman" w:eastAsia="华文楷体" w:hAnsi="Times New Roman" w:cs="Times New Roman"/>
          <w:sz w:val="18"/>
        </w:rPr>
        <w:t>。</w:t>
      </w:r>
    </w:p>
    <w:p w14:paraId="6CB092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分析均分由</w:t>
      </w:r>
      <w:r>
        <w:rPr>
          <w:rFonts w:ascii="Times New Roman" w:eastAsia="宋体" w:hAnsi="Times New Roman" w:cs="Times New Roman"/>
          <w:sz w:val="24"/>
        </w:rPr>
        <w:t>3.941</w:t>
      </w:r>
      <w:r>
        <w:rPr>
          <w:rFonts w:ascii="Times New Roman" w:eastAsia="宋体" w:hAnsi="Times New Roman" w:cs="Times New Roman"/>
          <w:sz w:val="24"/>
        </w:rPr>
        <w:t>分提高至</w:t>
      </w:r>
      <w:r>
        <w:rPr>
          <w:rFonts w:ascii="Times New Roman" w:eastAsia="宋体" w:hAnsi="Times New Roman" w:cs="Times New Roman"/>
          <w:sz w:val="24"/>
        </w:rPr>
        <w:t>4.028</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分。分析维度得分的提高，反映学生对分解问题、联系已有知识、筛选信息和探究原因等学习行为的自我评价有所改善。</w:t>
      </w:r>
    </w:p>
    <w:p w14:paraId="4CE7890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）评价</w:t>
      </w:r>
    </w:p>
    <w:p w14:paraId="69809B0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3-45  </w:t>
      </w:r>
      <w:r>
        <w:rPr>
          <w:rFonts w:ascii="Times New Roman" w:eastAsia="黑体" w:hAnsi="Times New Roman" w:cs="Times New Roman"/>
        </w:rPr>
        <w:t>评价前后测配对比较（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0FD3DD56"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C8FC7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8A4A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5ED84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9D414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DD9D3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E4A30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4EA3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6540CE7"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4DDEEB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7BF413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3.986</w:t>
            </w:r>
          </w:p>
        </w:tc>
        <w:tc>
          <w:tcPr>
            <w:tcW w:w="1014" w:type="dxa"/>
            <w:tcBorders>
              <w:top w:val="nil"/>
              <w:left w:val="nil"/>
              <w:bottom w:val="nil"/>
              <w:right w:val="nil"/>
            </w:tcBorders>
            <w:tcMar>
              <w:top w:w="-1" w:type="dxa"/>
              <w:left w:w="-1" w:type="dxa"/>
              <w:bottom w:w="-1" w:type="dxa"/>
              <w:right w:w="-1" w:type="dxa"/>
            </w:tcMar>
            <w:vAlign w:val="center"/>
          </w:tcPr>
          <w:p w14:paraId="5DA0BF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0.800</w:t>
            </w:r>
          </w:p>
        </w:tc>
        <w:tc>
          <w:tcPr>
            <w:tcW w:w="1215" w:type="dxa"/>
            <w:vMerge w:val="restart"/>
            <w:tcBorders>
              <w:top w:val="nil"/>
              <w:left w:val="nil"/>
              <w:bottom w:val="nil"/>
              <w:right w:val="nil"/>
            </w:tcBorders>
            <w:tcMar>
              <w:top w:w="-1" w:type="dxa"/>
              <w:left w:w="-1" w:type="dxa"/>
              <w:bottom w:w="-1" w:type="dxa"/>
              <w:right w:w="-1" w:type="dxa"/>
            </w:tcMar>
            <w:vAlign w:val="center"/>
          </w:tcPr>
          <w:p w14:paraId="7ADF997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6F106A9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0.028</w:t>
            </w:r>
            <w:r>
              <w:rPr>
                <w:rFonts w:ascii="Times New Roman" w:eastAsia="宋体" w:hAnsi="Times New Roman" w:cs="Times New Roman"/>
              </w:rPr>
              <w:t>～</w:t>
            </w:r>
            <w:r>
              <w:rPr>
                <w:rFonts w:ascii="Times New Roman" w:eastAsia="宋体" w:hAnsi="Times New Roman" w:cs="Times New Roman"/>
              </w:rPr>
              <w:t>0.146</w:t>
            </w:r>
          </w:p>
        </w:tc>
        <w:tc>
          <w:tcPr>
            <w:tcW w:w="1172" w:type="dxa"/>
            <w:vMerge w:val="restart"/>
            <w:tcBorders>
              <w:top w:val="nil"/>
              <w:left w:val="nil"/>
              <w:bottom w:val="nil"/>
              <w:right w:val="nil"/>
            </w:tcBorders>
            <w:tcMar>
              <w:top w:w="-1" w:type="dxa"/>
              <w:left w:w="-1" w:type="dxa"/>
              <w:bottom w:w="-1" w:type="dxa"/>
              <w:right w:w="-1" w:type="dxa"/>
            </w:tcMar>
            <w:vAlign w:val="center"/>
          </w:tcPr>
          <w:p w14:paraId="63D6DB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2.903</w:t>
            </w:r>
          </w:p>
        </w:tc>
        <w:tc>
          <w:tcPr>
            <w:tcW w:w="1171" w:type="dxa"/>
            <w:vMerge w:val="restart"/>
            <w:tcBorders>
              <w:top w:val="nil"/>
              <w:left w:val="nil"/>
              <w:bottom w:val="nil"/>
              <w:right w:val="nil"/>
            </w:tcBorders>
            <w:tcMar>
              <w:top w:w="-1" w:type="dxa"/>
              <w:left w:w="-1" w:type="dxa"/>
              <w:bottom w:w="-1" w:type="dxa"/>
              <w:right w:w="-1" w:type="dxa"/>
            </w:tcMar>
            <w:vAlign w:val="center"/>
          </w:tcPr>
          <w:p w14:paraId="44BC49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0.004</w:t>
            </w:r>
          </w:p>
        </w:tc>
      </w:tr>
      <w:tr w:rsidR="000B1CCE" w14:paraId="63C2EDFA"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617FA0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848E3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1F3CC4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794CE494"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5EA0B0A"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4EB6291E"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3D543D5D" w14:textId="77777777" w:rsidR="000B1CCE" w:rsidRDefault="000B1CCE">
            <w:pPr>
              <w:adjustRightInd w:val="0"/>
              <w:snapToGrid w:val="0"/>
              <w:spacing w:before="20" w:after="20"/>
              <w:jc w:val="center"/>
              <w:rPr>
                <w:rFonts w:ascii="宋体" w:eastAsia="宋体" w:hAnsi="宋体" w:cs="宋体"/>
                <w:sz w:val="24"/>
              </w:rPr>
            </w:pPr>
          </w:p>
        </w:tc>
      </w:tr>
    </w:tbl>
    <w:p w14:paraId="48307DD1"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=0.079</w:t>
      </w:r>
      <w:r>
        <w:rPr>
          <w:rFonts w:ascii="Times New Roman" w:eastAsia="华文楷体" w:hAnsi="Times New Roman" w:cs="Times New Roman"/>
          <w:sz w:val="18"/>
        </w:rPr>
        <w:t>。</w:t>
      </w:r>
    </w:p>
    <w:p w14:paraId="0757874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评价均分由</w:t>
      </w:r>
      <w:r>
        <w:rPr>
          <w:rFonts w:ascii="Times New Roman" w:eastAsia="宋体" w:hAnsi="Times New Roman" w:cs="Times New Roman"/>
          <w:sz w:val="24"/>
        </w:rPr>
        <w:t>3.986</w:t>
      </w:r>
      <w:r>
        <w:rPr>
          <w:rFonts w:ascii="Times New Roman" w:eastAsia="宋体" w:hAnsi="Times New Roman" w:cs="Times New Roman"/>
          <w:sz w:val="24"/>
        </w:rPr>
        <w:t>分提高至</w:t>
      </w:r>
      <w:r>
        <w:rPr>
          <w:rFonts w:ascii="Times New Roman" w:eastAsia="宋体" w:hAnsi="Times New Roman" w:cs="Times New Roman"/>
          <w:sz w:val="24"/>
        </w:rPr>
        <w:t>4.072</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分。评价维度得分有所提高，反映学生对检视依据、反思学习方法、比较方案和独立判断等行为的自评改善。</w:t>
      </w:r>
    </w:p>
    <w:p w14:paraId="43ED8C2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）创造</w:t>
      </w:r>
    </w:p>
    <w:p w14:paraId="0B269A7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3-46  </w:t>
      </w:r>
      <w:r>
        <w:rPr>
          <w:rFonts w:ascii="Times New Roman" w:eastAsia="黑体" w:hAnsi="Times New Roman" w:cs="Times New Roman"/>
        </w:rPr>
        <w:t>创造前后测配对比较（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2"/>
        <w:gridCol w:w="1022"/>
        <w:gridCol w:w="1022"/>
        <w:gridCol w:w="1217"/>
        <w:gridCol w:w="2042"/>
        <w:gridCol w:w="1113"/>
        <w:gridCol w:w="1201"/>
      </w:tblGrid>
      <w:tr w:rsidR="000B1CCE" w14:paraId="53A06016" w14:textId="77777777">
        <w:trPr>
          <w:tblHeader/>
          <w:jc w:val="center"/>
        </w:trPr>
        <w:tc>
          <w:tcPr>
            <w:tcW w:w="90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FFDEE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1830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40193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B7CB39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0247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7A000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5FDCA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54D42CB9" w14:textId="77777777">
        <w:trPr>
          <w:jc w:val="center"/>
        </w:trPr>
        <w:tc>
          <w:tcPr>
            <w:tcW w:w="902" w:type="dxa"/>
            <w:tcBorders>
              <w:top w:val="nil"/>
              <w:left w:val="nil"/>
              <w:bottom w:val="nil"/>
              <w:right w:val="nil"/>
            </w:tcBorders>
            <w:tcMar>
              <w:top w:w="-1" w:type="dxa"/>
              <w:left w:w="-1" w:type="dxa"/>
              <w:bottom w:w="-1" w:type="dxa"/>
              <w:right w:w="-1" w:type="dxa"/>
            </w:tcMar>
            <w:vAlign w:val="center"/>
          </w:tcPr>
          <w:p w14:paraId="4A93040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2" w:type="dxa"/>
            <w:tcBorders>
              <w:top w:val="nil"/>
              <w:left w:val="nil"/>
              <w:bottom w:val="nil"/>
              <w:right w:val="nil"/>
            </w:tcBorders>
            <w:tcMar>
              <w:top w:w="-1" w:type="dxa"/>
              <w:left w:w="-1" w:type="dxa"/>
              <w:bottom w:w="-1" w:type="dxa"/>
              <w:right w:w="-1" w:type="dxa"/>
            </w:tcMar>
            <w:vAlign w:val="center"/>
          </w:tcPr>
          <w:p w14:paraId="050E912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3.877</w:t>
            </w:r>
          </w:p>
        </w:tc>
        <w:tc>
          <w:tcPr>
            <w:tcW w:w="1022" w:type="dxa"/>
            <w:tcBorders>
              <w:top w:val="nil"/>
              <w:left w:val="nil"/>
              <w:bottom w:val="nil"/>
              <w:right w:val="nil"/>
            </w:tcBorders>
            <w:tcMar>
              <w:top w:w="-1" w:type="dxa"/>
              <w:left w:w="-1" w:type="dxa"/>
              <w:bottom w:w="-1" w:type="dxa"/>
              <w:right w:w="-1" w:type="dxa"/>
            </w:tcMar>
            <w:vAlign w:val="center"/>
          </w:tcPr>
          <w:p w14:paraId="1AE374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0.865</w:t>
            </w:r>
          </w:p>
        </w:tc>
        <w:tc>
          <w:tcPr>
            <w:tcW w:w="1217" w:type="dxa"/>
            <w:vMerge w:val="restart"/>
            <w:tcBorders>
              <w:top w:val="nil"/>
              <w:left w:val="nil"/>
              <w:bottom w:val="nil"/>
              <w:right w:val="nil"/>
            </w:tcBorders>
            <w:tcMar>
              <w:top w:w="-1" w:type="dxa"/>
              <w:left w:w="-1" w:type="dxa"/>
              <w:bottom w:w="-1" w:type="dxa"/>
              <w:right w:w="-1" w:type="dxa"/>
            </w:tcMar>
            <w:vAlign w:val="center"/>
          </w:tcPr>
          <w:p w14:paraId="23023B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0.112</w:t>
            </w:r>
          </w:p>
        </w:tc>
        <w:tc>
          <w:tcPr>
            <w:tcW w:w="2042" w:type="dxa"/>
            <w:vMerge w:val="restart"/>
            <w:tcBorders>
              <w:top w:val="nil"/>
              <w:left w:val="nil"/>
              <w:bottom w:val="nil"/>
              <w:right w:val="nil"/>
            </w:tcBorders>
            <w:tcMar>
              <w:top w:w="-1" w:type="dxa"/>
              <w:left w:w="-1" w:type="dxa"/>
              <w:bottom w:w="-1" w:type="dxa"/>
              <w:right w:w="-1" w:type="dxa"/>
            </w:tcMar>
            <w:vAlign w:val="center"/>
          </w:tcPr>
          <w:p w14:paraId="27C093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0.050</w:t>
            </w:r>
            <w:r>
              <w:rPr>
                <w:rFonts w:ascii="Times New Roman" w:eastAsia="宋体" w:hAnsi="Times New Roman" w:cs="Times New Roman"/>
              </w:rPr>
              <w:t>～</w:t>
            </w:r>
            <w:r>
              <w:rPr>
                <w:rFonts w:ascii="Times New Roman" w:eastAsia="宋体" w:hAnsi="Times New Roman" w:cs="Times New Roman"/>
              </w:rPr>
              <w:t>0.173</w:t>
            </w:r>
          </w:p>
        </w:tc>
        <w:tc>
          <w:tcPr>
            <w:tcW w:w="1113" w:type="dxa"/>
            <w:vMerge w:val="restart"/>
            <w:tcBorders>
              <w:top w:val="nil"/>
              <w:left w:val="nil"/>
              <w:bottom w:val="nil"/>
              <w:right w:val="nil"/>
            </w:tcBorders>
            <w:tcMar>
              <w:top w:w="-1" w:type="dxa"/>
              <w:left w:w="-1" w:type="dxa"/>
              <w:bottom w:w="-1" w:type="dxa"/>
              <w:right w:w="-1" w:type="dxa"/>
            </w:tcMar>
            <w:vAlign w:val="center"/>
          </w:tcPr>
          <w:p w14:paraId="21F081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3.569</w:t>
            </w:r>
          </w:p>
        </w:tc>
        <w:tc>
          <w:tcPr>
            <w:tcW w:w="1201" w:type="dxa"/>
            <w:vMerge w:val="restart"/>
            <w:tcBorders>
              <w:top w:val="nil"/>
              <w:left w:val="nil"/>
              <w:bottom w:val="nil"/>
              <w:right w:val="nil"/>
            </w:tcBorders>
            <w:tcMar>
              <w:top w:w="-1" w:type="dxa"/>
              <w:left w:w="-1" w:type="dxa"/>
              <w:bottom w:w="-1" w:type="dxa"/>
              <w:right w:w="-1" w:type="dxa"/>
            </w:tcMar>
            <w:vAlign w:val="center"/>
          </w:tcPr>
          <w:p w14:paraId="22A2A65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0FB7FDB"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6AC49C3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13AA7A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E21860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7208A86" w14:textId="77777777" w:rsidR="000B1CCE" w:rsidRDefault="000B1CCE">
            <w:pPr>
              <w:adjustRightInd w:val="0"/>
              <w:snapToGrid w:val="0"/>
              <w:spacing w:before="20" w:after="2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766EFC6F" w14:textId="77777777" w:rsidR="000B1CCE" w:rsidRDefault="000B1CCE">
            <w:pPr>
              <w:adjustRightInd w:val="0"/>
              <w:snapToGrid w:val="0"/>
              <w:spacing w:before="20" w:after="2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1AD732A6" w14:textId="77777777" w:rsidR="000B1CCE" w:rsidRDefault="000B1CCE">
            <w:pPr>
              <w:adjustRightInd w:val="0"/>
              <w:snapToGrid w:val="0"/>
              <w:spacing w:before="20" w:after="2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4CBEDB9A" w14:textId="77777777" w:rsidR="000B1CCE" w:rsidRDefault="000B1CCE">
            <w:pPr>
              <w:adjustRightInd w:val="0"/>
              <w:snapToGrid w:val="0"/>
              <w:spacing w:before="20" w:after="20"/>
              <w:jc w:val="center"/>
              <w:rPr>
                <w:rFonts w:ascii="宋体" w:eastAsia="宋体" w:hAnsi="宋体" w:cs="宋体"/>
                <w:sz w:val="24"/>
              </w:rPr>
            </w:pPr>
          </w:p>
        </w:tc>
      </w:tr>
    </w:tbl>
    <w:p w14:paraId="5B64D76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=0.097</w:t>
      </w:r>
      <w:r>
        <w:rPr>
          <w:rFonts w:ascii="Times New Roman" w:eastAsia="华文楷体" w:hAnsi="Times New Roman" w:cs="Times New Roman"/>
          <w:sz w:val="18"/>
        </w:rPr>
        <w:t>。</w:t>
      </w:r>
    </w:p>
    <w:p w14:paraId="46A7E1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创造均分由</w:t>
      </w:r>
      <w:r>
        <w:rPr>
          <w:rFonts w:ascii="Times New Roman" w:eastAsia="宋体" w:hAnsi="Times New Roman" w:cs="Times New Roman"/>
          <w:sz w:val="24"/>
        </w:rPr>
        <w:t>3.877</w:t>
      </w:r>
      <w:r>
        <w:rPr>
          <w:rFonts w:ascii="Times New Roman" w:eastAsia="宋体" w:hAnsi="Times New Roman" w:cs="Times New Roman"/>
          <w:sz w:val="24"/>
        </w:rPr>
        <w:t>分提高至</w:t>
      </w:r>
      <w:r>
        <w:rPr>
          <w:rFonts w:ascii="Times New Roman" w:eastAsia="宋体" w:hAnsi="Times New Roman" w:cs="Times New Roman"/>
          <w:sz w:val="24"/>
        </w:rPr>
        <w:t>3.989</w:t>
      </w:r>
      <w:r>
        <w:rPr>
          <w:rFonts w:ascii="Times New Roman" w:eastAsia="宋体" w:hAnsi="Times New Roman" w:cs="Times New Roman"/>
          <w:sz w:val="24"/>
        </w:rPr>
        <w:t>分，平均增加</w:t>
      </w:r>
      <w:r>
        <w:rPr>
          <w:rFonts w:ascii="Times New Roman" w:eastAsia="宋体" w:hAnsi="Times New Roman" w:cs="Times New Roman"/>
          <w:sz w:val="24"/>
        </w:rPr>
        <w:t>0.112</w:t>
      </w:r>
      <w:r>
        <w:rPr>
          <w:rFonts w:ascii="Times New Roman" w:eastAsia="宋体" w:hAnsi="Times New Roman" w:cs="Times New Roman"/>
          <w:sz w:val="24"/>
        </w:rPr>
        <w:t>分。创造维度的平均增分在三个思维维度中数值最大，涉及尝试多种方法、迁移运用、整合知识和提出多种解决办法；这一排序本身不表示维度间增幅差异已通过检验。</w:t>
      </w:r>
    </w:p>
    <w:p w14:paraId="31778BD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）高阶社会情感四个维度的变化</w:t>
      </w:r>
    </w:p>
    <w:p w14:paraId="523C8BE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）责任担当</w:t>
      </w:r>
    </w:p>
    <w:p w14:paraId="77D0CE3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3-47  </w:t>
      </w:r>
      <w:r>
        <w:rPr>
          <w:rFonts w:ascii="Times New Roman" w:eastAsia="黑体" w:hAnsi="Times New Roman" w:cs="Times New Roman"/>
        </w:rPr>
        <w:t>责任担当前后测配对比较（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3B2046FD"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854E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1622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D3FA48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D985A4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CD858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887D6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3FF82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2578A655"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605028A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E35941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4.049</w:t>
            </w:r>
          </w:p>
        </w:tc>
        <w:tc>
          <w:tcPr>
            <w:tcW w:w="1028" w:type="dxa"/>
            <w:tcBorders>
              <w:top w:val="nil"/>
              <w:left w:val="nil"/>
              <w:bottom w:val="nil"/>
              <w:right w:val="nil"/>
            </w:tcBorders>
            <w:tcMar>
              <w:top w:w="-1" w:type="dxa"/>
              <w:left w:w="-1" w:type="dxa"/>
              <w:bottom w:w="-1" w:type="dxa"/>
              <w:right w:w="-1" w:type="dxa"/>
            </w:tcMar>
            <w:vAlign w:val="center"/>
          </w:tcPr>
          <w:p w14:paraId="687E4F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0.797</w:t>
            </w:r>
          </w:p>
        </w:tc>
        <w:tc>
          <w:tcPr>
            <w:tcW w:w="1214" w:type="dxa"/>
            <w:vMerge w:val="restart"/>
            <w:tcBorders>
              <w:top w:val="nil"/>
              <w:left w:val="nil"/>
              <w:bottom w:val="nil"/>
              <w:right w:val="nil"/>
            </w:tcBorders>
            <w:tcMar>
              <w:top w:w="-1" w:type="dxa"/>
              <w:left w:w="-1" w:type="dxa"/>
              <w:bottom w:w="-1" w:type="dxa"/>
              <w:right w:w="-1" w:type="dxa"/>
            </w:tcMar>
            <w:vAlign w:val="center"/>
          </w:tcPr>
          <w:p w14:paraId="50CA4BD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0.354</w:t>
            </w:r>
          </w:p>
        </w:tc>
        <w:tc>
          <w:tcPr>
            <w:tcW w:w="1897" w:type="dxa"/>
            <w:vMerge w:val="restart"/>
            <w:tcBorders>
              <w:top w:val="nil"/>
              <w:left w:val="nil"/>
              <w:bottom w:val="nil"/>
              <w:right w:val="nil"/>
            </w:tcBorders>
            <w:tcMar>
              <w:top w:w="-1" w:type="dxa"/>
              <w:left w:w="-1" w:type="dxa"/>
              <w:bottom w:w="-1" w:type="dxa"/>
              <w:right w:w="-1" w:type="dxa"/>
            </w:tcMar>
            <w:vAlign w:val="center"/>
          </w:tcPr>
          <w:p w14:paraId="7BCB60C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0.335</w:t>
            </w:r>
            <w:r>
              <w:rPr>
                <w:rFonts w:ascii="Times New Roman" w:eastAsia="宋体" w:hAnsi="Times New Roman" w:cs="Times New Roman"/>
              </w:rPr>
              <w:t>～</w:t>
            </w:r>
            <w:r>
              <w:rPr>
                <w:rFonts w:ascii="Times New Roman" w:eastAsia="宋体" w:hAnsi="Times New Roman" w:cs="Times New Roman"/>
              </w:rPr>
              <w:t>0.374</w:t>
            </w:r>
          </w:p>
        </w:tc>
        <w:tc>
          <w:tcPr>
            <w:tcW w:w="1222" w:type="dxa"/>
            <w:vMerge w:val="restart"/>
            <w:tcBorders>
              <w:top w:val="nil"/>
              <w:left w:val="nil"/>
              <w:bottom w:val="nil"/>
              <w:right w:val="nil"/>
            </w:tcBorders>
            <w:tcMar>
              <w:top w:w="-1" w:type="dxa"/>
              <w:left w:w="-1" w:type="dxa"/>
              <w:bottom w:w="-1" w:type="dxa"/>
              <w:right w:w="-1" w:type="dxa"/>
            </w:tcMar>
            <w:vAlign w:val="center"/>
          </w:tcPr>
          <w:p w14:paraId="444D64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35.409</w:t>
            </w:r>
          </w:p>
        </w:tc>
        <w:tc>
          <w:tcPr>
            <w:tcW w:w="1222" w:type="dxa"/>
            <w:vMerge w:val="restart"/>
            <w:tcBorders>
              <w:top w:val="nil"/>
              <w:left w:val="nil"/>
              <w:bottom w:val="nil"/>
              <w:right w:val="nil"/>
            </w:tcBorders>
            <w:tcMar>
              <w:top w:w="-1" w:type="dxa"/>
              <w:left w:w="-1" w:type="dxa"/>
              <w:bottom w:w="-1" w:type="dxa"/>
              <w:right w:w="-1" w:type="dxa"/>
            </w:tcMar>
            <w:vAlign w:val="center"/>
          </w:tcPr>
          <w:p w14:paraId="680511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F28DAF4"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2091DA8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6794A1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1CB8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56D3D79E"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1803A6BC"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F204812"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7479C935" w14:textId="77777777" w:rsidR="000B1CCE" w:rsidRDefault="000B1CCE">
            <w:pPr>
              <w:adjustRightInd w:val="0"/>
              <w:snapToGrid w:val="0"/>
              <w:spacing w:before="20" w:after="20"/>
              <w:jc w:val="center"/>
              <w:rPr>
                <w:rFonts w:ascii="宋体" w:eastAsia="宋体" w:hAnsi="宋体" w:cs="宋体"/>
                <w:sz w:val="24"/>
              </w:rPr>
            </w:pPr>
          </w:p>
        </w:tc>
      </w:tr>
    </w:tbl>
    <w:p w14:paraId="5D64C7A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=0.965</w:t>
      </w:r>
      <w:r>
        <w:rPr>
          <w:rFonts w:ascii="Times New Roman" w:eastAsia="华文楷体" w:hAnsi="Times New Roman" w:cs="Times New Roman"/>
          <w:sz w:val="18"/>
        </w:rPr>
        <w:t>。</w:t>
      </w:r>
    </w:p>
    <w:p w14:paraId="7E4BA1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责任担当均分由</w:t>
      </w:r>
      <w:r>
        <w:rPr>
          <w:rFonts w:ascii="Times New Roman" w:eastAsia="宋体" w:hAnsi="Times New Roman" w:cs="Times New Roman"/>
          <w:sz w:val="24"/>
        </w:rPr>
        <w:t>4.049</w:t>
      </w:r>
      <w:r>
        <w:rPr>
          <w:rFonts w:ascii="Times New Roman" w:eastAsia="宋体" w:hAnsi="Times New Roman" w:cs="Times New Roman"/>
          <w:sz w:val="24"/>
        </w:rPr>
        <w:t>分提高至</w:t>
      </w:r>
      <w:r>
        <w:rPr>
          <w:rFonts w:ascii="Times New Roman" w:eastAsia="宋体" w:hAnsi="Times New Roman" w:cs="Times New Roman"/>
          <w:sz w:val="24"/>
        </w:rPr>
        <w:t>4.404</w:t>
      </w:r>
      <w:r>
        <w:rPr>
          <w:rFonts w:ascii="Times New Roman" w:eastAsia="宋体" w:hAnsi="Times New Roman" w:cs="Times New Roman"/>
          <w:sz w:val="24"/>
        </w:rPr>
        <w:t>分，平均增加</w:t>
      </w:r>
      <w:r>
        <w:rPr>
          <w:rFonts w:ascii="Times New Roman" w:eastAsia="宋体" w:hAnsi="Times New Roman" w:cs="Times New Roman"/>
          <w:sz w:val="24"/>
        </w:rPr>
        <w:t>0.354</w:t>
      </w:r>
      <w:r>
        <w:rPr>
          <w:rFonts w:ascii="Times New Roman" w:eastAsia="宋体" w:hAnsi="Times New Roman" w:cs="Times New Roman"/>
          <w:sz w:val="24"/>
        </w:rPr>
        <w:t>分。责任担当得分提高，反映学生对任务目标、合作责任、困难坚持与学习反思等行为的自评改善。</w:t>
      </w:r>
    </w:p>
    <w:p w14:paraId="3690595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）情绪调节</w:t>
      </w:r>
    </w:p>
    <w:p w14:paraId="5AC040A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3-48  </w:t>
      </w:r>
      <w:r>
        <w:rPr>
          <w:rFonts w:ascii="Times New Roman" w:eastAsia="黑体" w:hAnsi="Times New Roman" w:cs="Times New Roman"/>
        </w:rPr>
        <w:t>情绪调节前后测配对比较（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161E11C1"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7E70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BC88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C7DC2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54CC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30AE4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99BC5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DC4A5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20BE327E"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1A9BDA8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681B36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3.938</w:t>
            </w:r>
          </w:p>
        </w:tc>
        <w:tc>
          <w:tcPr>
            <w:tcW w:w="1028" w:type="dxa"/>
            <w:tcBorders>
              <w:top w:val="nil"/>
              <w:left w:val="nil"/>
              <w:bottom w:val="nil"/>
              <w:right w:val="nil"/>
            </w:tcBorders>
            <w:tcMar>
              <w:top w:w="-1" w:type="dxa"/>
              <w:left w:w="-1" w:type="dxa"/>
              <w:bottom w:w="-1" w:type="dxa"/>
              <w:right w:w="-1" w:type="dxa"/>
            </w:tcMar>
            <w:vAlign w:val="center"/>
          </w:tcPr>
          <w:p w14:paraId="77059A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0.845</w:t>
            </w:r>
          </w:p>
        </w:tc>
        <w:tc>
          <w:tcPr>
            <w:tcW w:w="1214" w:type="dxa"/>
            <w:vMerge w:val="restart"/>
            <w:tcBorders>
              <w:top w:val="nil"/>
              <w:left w:val="nil"/>
              <w:bottom w:val="nil"/>
              <w:right w:val="nil"/>
            </w:tcBorders>
            <w:tcMar>
              <w:top w:w="-1" w:type="dxa"/>
              <w:left w:w="-1" w:type="dxa"/>
              <w:bottom w:w="-1" w:type="dxa"/>
              <w:right w:w="-1" w:type="dxa"/>
            </w:tcMar>
            <w:vAlign w:val="center"/>
          </w:tcPr>
          <w:p w14:paraId="2CF5784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0.389</w:t>
            </w:r>
          </w:p>
        </w:tc>
        <w:tc>
          <w:tcPr>
            <w:tcW w:w="1897" w:type="dxa"/>
            <w:vMerge w:val="restart"/>
            <w:tcBorders>
              <w:top w:val="nil"/>
              <w:left w:val="nil"/>
              <w:bottom w:val="nil"/>
              <w:right w:val="nil"/>
            </w:tcBorders>
            <w:tcMar>
              <w:top w:w="-1" w:type="dxa"/>
              <w:left w:w="-1" w:type="dxa"/>
              <w:bottom w:w="-1" w:type="dxa"/>
              <w:right w:w="-1" w:type="dxa"/>
            </w:tcMar>
            <w:vAlign w:val="center"/>
          </w:tcPr>
          <w:p w14:paraId="6013919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0.408</w:t>
            </w:r>
          </w:p>
        </w:tc>
        <w:tc>
          <w:tcPr>
            <w:tcW w:w="1222" w:type="dxa"/>
            <w:vMerge w:val="restart"/>
            <w:tcBorders>
              <w:top w:val="nil"/>
              <w:left w:val="nil"/>
              <w:bottom w:val="nil"/>
              <w:right w:val="nil"/>
            </w:tcBorders>
            <w:tcMar>
              <w:top w:w="-1" w:type="dxa"/>
              <w:left w:w="-1" w:type="dxa"/>
              <w:bottom w:w="-1" w:type="dxa"/>
              <w:right w:w="-1" w:type="dxa"/>
            </w:tcMar>
            <w:vAlign w:val="center"/>
          </w:tcPr>
          <w:p w14:paraId="69C5DD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w:t>
            </w:r>
          </w:p>
        </w:tc>
        <w:tc>
          <w:tcPr>
            <w:tcW w:w="1222" w:type="dxa"/>
            <w:vMerge w:val="restart"/>
            <w:tcBorders>
              <w:top w:val="nil"/>
              <w:left w:val="nil"/>
              <w:bottom w:val="nil"/>
              <w:right w:val="nil"/>
            </w:tcBorders>
            <w:tcMar>
              <w:top w:w="-1" w:type="dxa"/>
              <w:left w:w="-1" w:type="dxa"/>
              <w:bottom w:w="-1" w:type="dxa"/>
              <w:right w:w="-1" w:type="dxa"/>
            </w:tcMar>
            <w:vAlign w:val="center"/>
          </w:tcPr>
          <w:p w14:paraId="66CB4FB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0844A8D1"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3BA3CDC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61A72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FB434E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0F5EBF31"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40D96789"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F65B71A"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C2E5376" w14:textId="77777777" w:rsidR="000B1CCE" w:rsidRDefault="000B1CCE">
            <w:pPr>
              <w:adjustRightInd w:val="0"/>
              <w:snapToGrid w:val="0"/>
              <w:spacing w:before="20" w:after="20"/>
              <w:jc w:val="center"/>
              <w:rPr>
                <w:rFonts w:ascii="宋体" w:eastAsia="宋体" w:hAnsi="宋体" w:cs="宋体"/>
                <w:sz w:val="24"/>
              </w:rPr>
            </w:pPr>
          </w:p>
        </w:tc>
      </w:tr>
    </w:tbl>
    <w:p w14:paraId="4D0D105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=1.097</w:t>
      </w:r>
      <w:r>
        <w:rPr>
          <w:rFonts w:ascii="Times New Roman" w:eastAsia="华文楷体" w:hAnsi="Times New Roman" w:cs="Times New Roman"/>
          <w:sz w:val="18"/>
        </w:rPr>
        <w:t>。</w:t>
      </w:r>
    </w:p>
    <w:p w14:paraId="093815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情绪调节均分由</w:t>
      </w:r>
      <w:r>
        <w:rPr>
          <w:rFonts w:ascii="Times New Roman" w:eastAsia="宋体" w:hAnsi="Times New Roman" w:cs="Times New Roman"/>
          <w:sz w:val="24"/>
        </w:rPr>
        <w:t>3.938</w:t>
      </w:r>
      <w:r>
        <w:rPr>
          <w:rFonts w:ascii="Times New Roman" w:eastAsia="宋体" w:hAnsi="Times New Roman" w:cs="Times New Roman"/>
          <w:sz w:val="24"/>
        </w:rPr>
        <w:t>分提高至</w:t>
      </w:r>
      <w:r>
        <w:rPr>
          <w:rFonts w:ascii="Times New Roman" w:eastAsia="宋体" w:hAnsi="Times New Roman" w:cs="Times New Roman"/>
          <w:sz w:val="24"/>
        </w:rPr>
        <w:t>4.328</w:t>
      </w:r>
      <w:r>
        <w:rPr>
          <w:rFonts w:ascii="Times New Roman" w:eastAsia="宋体" w:hAnsi="Times New Roman" w:cs="Times New Roman"/>
          <w:sz w:val="24"/>
        </w:rPr>
        <w:t>分，平均增加</w:t>
      </w:r>
      <w:r>
        <w:rPr>
          <w:rFonts w:ascii="Times New Roman" w:eastAsia="宋体" w:hAnsi="Times New Roman" w:cs="Times New Roman"/>
          <w:sz w:val="24"/>
        </w:rPr>
        <w:t>0.389</w:t>
      </w:r>
      <w:r>
        <w:rPr>
          <w:rFonts w:ascii="Times New Roman" w:eastAsia="宋体" w:hAnsi="Times New Roman" w:cs="Times New Roman"/>
          <w:sz w:val="24"/>
        </w:rPr>
        <w:t>分。情绪调节的平均增分在四个社会情感维度中数值最大，学生对面对困难、意见分歧、紧张情境及学习失误时调节自身状态的评价有所改善。</w:t>
      </w:r>
    </w:p>
    <w:p w14:paraId="478C3F7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）合作共情</w:t>
      </w:r>
    </w:p>
    <w:p w14:paraId="6A6C2E8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3-49  </w:t>
      </w:r>
      <w:r>
        <w:rPr>
          <w:rFonts w:ascii="Times New Roman" w:eastAsia="黑体" w:hAnsi="Times New Roman" w:cs="Times New Roman"/>
        </w:rPr>
        <w:t>合作共情前后测配对比较（</w:t>
      </w:r>
      <w:r>
        <w:rPr>
          <w:rFonts w:ascii="Times New Roman" w:eastAsia="黑体" w:hAnsi="Times New Roman" w:cs="Times New Roman"/>
        </w:rPr>
        <w:t>n=1346</w:t>
      </w:r>
      <w:r>
        <w:rPr>
          <w:rFonts w:ascii="Times New Roman" w:eastAsia="黑体" w:hAnsi="Times New Roman" w:cs="Times New Roman"/>
        </w:rPr>
        <w:t>）</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4AE51B9C"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5341802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DF32B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A94D5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0867D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851C5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9C2E8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B11E5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77461A27"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5261181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1E73F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4.117</w:t>
            </w:r>
          </w:p>
        </w:tc>
        <w:tc>
          <w:tcPr>
            <w:tcW w:w="1028" w:type="dxa"/>
            <w:tcBorders>
              <w:top w:val="nil"/>
              <w:left w:val="nil"/>
              <w:bottom w:val="nil"/>
              <w:right w:val="nil"/>
            </w:tcBorders>
            <w:tcMar>
              <w:top w:w="-1" w:type="dxa"/>
              <w:left w:w="-1" w:type="dxa"/>
              <w:bottom w:w="-1" w:type="dxa"/>
              <w:right w:w="-1" w:type="dxa"/>
            </w:tcMar>
            <w:vAlign w:val="center"/>
          </w:tcPr>
          <w:p w14:paraId="4F6A64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0.785</w:t>
            </w:r>
          </w:p>
        </w:tc>
        <w:tc>
          <w:tcPr>
            <w:tcW w:w="1214" w:type="dxa"/>
            <w:vMerge w:val="restart"/>
            <w:tcBorders>
              <w:top w:val="nil"/>
              <w:left w:val="nil"/>
              <w:bottom w:val="nil"/>
              <w:right w:val="nil"/>
            </w:tcBorders>
            <w:tcMar>
              <w:top w:w="-1" w:type="dxa"/>
              <w:left w:w="-1" w:type="dxa"/>
              <w:bottom w:w="-1" w:type="dxa"/>
              <w:right w:w="-1" w:type="dxa"/>
            </w:tcMar>
            <w:vAlign w:val="center"/>
          </w:tcPr>
          <w:p w14:paraId="3F9ADA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32C4D4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0.344</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441CEE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34.520</w:t>
            </w:r>
          </w:p>
        </w:tc>
        <w:tc>
          <w:tcPr>
            <w:tcW w:w="1222" w:type="dxa"/>
            <w:vMerge w:val="restart"/>
            <w:tcBorders>
              <w:top w:val="nil"/>
              <w:left w:val="nil"/>
              <w:bottom w:val="nil"/>
              <w:right w:val="nil"/>
            </w:tcBorders>
            <w:tcMar>
              <w:top w:w="-1" w:type="dxa"/>
              <w:left w:w="-1" w:type="dxa"/>
              <w:bottom w:w="-1" w:type="dxa"/>
              <w:right w:w="-1" w:type="dxa"/>
            </w:tcMar>
            <w:vAlign w:val="center"/>
          </w:tcPr>
          <w:p w14:paraId="24E4C42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C54DEF8"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576652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B7382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95C56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16796D28"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4B5D43BD"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3FC89F1"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1A44CC0D" w14:textId="77777777" w:rsidR="000B1CCE" w:rsidRDefault="000B1CCE">
            <w:pPr>
              <w:adjustRightInd w:val="0"/>
              <w:snapToGrid w:val="0"/>
              <w:spacing w:before="20" w:after="20"/>
              <w:jc w:val="center"/>
              <w:rPr>
                <w:rFonts w:ascii="宋体" w:eastAsia="宋体" w:hAnsi="宋体" w:cs="宋体"/>
                <w:sz w:val="24"/>
              </w:rPr>
            </w:pPr>
          </w:p>
        </w:tc>
      </w:tr>
    </w:tbl>
    <w:p w14:paraId="3EFABE8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=0.941</w:t>
      </w:r>
      <w:r>
        <w:rPr>
          <w:rFonts w:ascii="Times New Roman" w:eastAsia="华文楷体" w:hAnsi="Times New Roman" w:cs="Times New Roman"/>
          <w:sz w:val="18"/>
        </w:rPr>
        <w:t>。</w:t>
      </w:r>
    </w:p>
    <w:p w14:paraId="346C83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合作共情均分由</w:t>
      </w:r>
      <w:r>
        <w:rPr>
          <w:rFonts w:ascii="Times New Roman" w:eastAsia="宋体" w:hAnsi="Times New Roman" w:cs="Times New Roman"/>
          <w:sz w:val="24"/>
        </w:rPr>
        <w:t>4.117</w:t>
      </w:r>
      <w:r>
        <w:rPr>
          <w:rFonts w:ascii="Times New Roman" w:eastAsia="宋体" w:hAnsi="Times New Roman" w:cs="Times New Roman"/>
          <w:sz w:val="24"/>
        </w:rPr>
        <w:t>分提高至</w:t>
      </w:r>
      <w:r>
        <w:rPr>
          <w:rFonts w:ascii="Times New Roman" w:eastAsia="宋体" w:hAnsi="Times New Roman" w:cs="Times New Roman"/>
          <w:sz w:val="24"/>
        </w:rPr>
        <w:t>4.482</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分。合作共情后测均分达到</w:t>
      </w:r>
      <w:r>
        <w:rPr>
          <w:rFonts w:ascii="Times New Roman" w:eastAsia="宋体" w:hAnsi="Times New Roman" w:cs="Times New Roman"/>
          <w:sz w:val="24"/>
        </w:rPr>
        <w:t>4.482</w:t>
      </w:r>
      <w:r>
        <w:rPr>
          <w:rFonts w:ascii="Times New Roman" w:eastAsia="宋体" w:hAnsi="Times New Roman" w:cs="Times New Roman"/>
          <w:sz w:val="24"/>
        </w:rPr>
        <w:t>分，在四个社会情感维度中最高，反映学生对倾听、理解不同观点、协商及帮助同伴等行为的积极评价。</w:t>
      </w:r>
    </w:p>
    <w:p w14:paraId="420E2C7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）包容创新</w:t>
      </w:r>
    </w:p>
    <w:p w14:paraId="34CC6D0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3-50  </w:t>
      </w:r>
      <w:r>
        <w:rPr>
          <w:rFonts w:ascii="Times New Roman" w:eastAsia="黑体" w:hAnsi="Times New Roman" w:cs="Times New Roman"/>
        </w:rPr>
        <w:t>包容创新前后测配对比较（</w:t>
      </w:r>
      <w:r>
        <w:rPr>
          <w:rFonts w:ascii="Times New Roman" w:eastAsia="黑体" w:hAnsi="Times New Roman" w:cs="Times New Roman"/>
        </w:rPr>
        <w:t>n=1346</w:t>
      </w:r>
      <w:r>
        <w:rPr>
          <w:rFonts w:ascii="Times New Roman" w:eastAsia="黑体" w:hAnsi="Times New Roman" w:cs="Times New Roman"/>
        </w:rPr>
        <w:t>）</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31309A59"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17F8E4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82AA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D53B0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47A0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F326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0DBCF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A17E17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022D183"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309E0A3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39F9ED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4.022</w:t>
            </w:r>
          </w:p>
        </w:tc>
        <w:tc>
          <w:tcPr>
            <w:tcW w:w="1028" w:type="dxa"/>
            <w:tcBorders>
              <w:top w:val="nil"/>
              <w:left w:val="nil"/>
              <w:bottom w:val="nil"/>
              <w:right w:val="nil"/>
            </w:tcBorders>
            <w:tcMar>
              <w:top w:w="-1" w:type="dxa"/>
              <w:left w:w="-1" w:type="dxa"/>
              <w:bottom w:w="-1" w:type="dxa"/>
              <w:right w:w="-1" w:type="dxa"/>
            </w:tcMar>
            <w:vAlign w:val="center"/>
          </w:tcPr>
          <w:p w14:paraId="440780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0.812</w:t>
            </w:r>
          </w:p>
        </w:tc>
        <w:tc>
          <w:tcPr>
            <w:tcW w:w="1214" w:type="dxa"/>
            <w:vMerge w:val="restart"/>
            <w:tcBorders>
              <w:top w:val="nil"/>
              <w:left w:val="nil"/>
              <w:bottom w:val="nil"/>
              <w:right w:val="nil"/>
            </w:tcBorders>
            <w:tcMar>
              <w:top w:w="-1" w:type="dxa"/>
              <w:left w:w="-1" w:type="dxa"/>
              <w:bottom w:w="-1" w:type="dxa"/>
              <w:right w:w="-1" w:type="dxa"/>
            </w:tcMar>
            <w:vAlign w:val="center"/>
          </w:tcPr>
          <w:p w14:paraId="6ED605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23A0B2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66EE45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35.144</w:t>
            </w:r>
          </w:p>
        </w:tc>
        <w:tc>
          <w:tcPr>
            <w:tcW w:w="1222" w:type="dxa"/>
            <w:vMerge w:val="restart"/>
            <w:tcBorders>
              <w:top w:val="nil"/>
              <w:left w:val="nil"/>
              <w:bottom w:val="nil"/>
              <w:right w:val="nil"/>
            </w:tcBorders>
            <w:tcMar>
              <w:top w:w="-1" w:type="dxa"/>
              <w:left w:w="-1" w:type="dxa"/>
              <w:bottom w:w="-1" w:type="dxa"/>
              <w:right w:w="-1" w:type="dxa"/>
            </w:tcMar>
            <w:vAlign w:val="center"/>
          </w:tcPr>
          <w:p w14:paraId="5DF6CCF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48DD3ECA"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32CC72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86463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E4613D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11736258"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290719C"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A632485"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87CDAA8" w14:textId="77777777" w:rsidR="000B1CCE" w:rsidRDefault="000B1CCE">
            <w:pPr>
              <w:adjustRightInd w:val="0"/>
              <w:snapToGrid w:val="0"/>
              <w:spacing w:before="20" w:after="20"/>
              <w:jc w:val="center"/>
              <w:rPr>
                <w:rFonts w:ascii="宋体" w:eastAsia="宋体" w:hAnsi="宋体" w:cs="宋体"/>
                <w:sz w:val="24"/>
              </w:rPr>
            </w:pPr>
          </w:p>
        </w:tc>
      </w:tr>
    </w:tbl>
    <w:p w14:paraId="6ABEAA77"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=0.958</w:t>
      </w:r>
      <w:r>
        <w:rPr>
          <w:rFonts w:ascii="Times New Roman" w:eastAsia="华文楷体" w:hAnsi="Times New Roman" w:cs="Times New Roman"/>
          <w:sz w:val="18"/>
        </w:rPr>
        <w:t>。</w:t>
      </w:r>
    </w:p>
    <w:p w14:paraId="2F9E845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包容创新均分由</w:t>
      </w:r>
      <w:r>
        <w:rPr>
          <w:rFonts w:ascii="Times New Roman" w:eastAsia="宋体" w:hAnsi="Times New Roman" w:cs="Times New Roman"/>
          <w:sz w:val="24"/>
        </w:rPr>
        <w:t>4.022</w:t>
      </w:r>
      <w:r>
        <w:rPr>
          <w:rFonts w:ascii="Times New Roman" w:eastAsia="宋体" w:hAnsi="Times New Roman" w:cs="Times New Roman"/>
          <w:sz w:val="24"/>
        </w:rPr>
        <w:t>分提高至</w:t>
      </w:r>
      <w:r>
        <w:rPr>
          <w:rFonts w:ascii="Times New Roman" w:eastAsia="宋体" w:hAnsi="Times New Roman" w:cs="Times New Roman"/>
          <w:sz w:val="24"/>
        </w:rPr>
        <w:t>4.387</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分。包容创新得分提高，反映学生对尝试陌生方法、接纳不同想法、持续探究和探索多种可能等行为的自评改善。</w:t>
      </w:r>
    </w:p>
    <w:p w14:paraId="6F474FF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）开放性回答的质性分析</w:t>
      </w:r>
    </w:p>
    <w:p w14:paraId="1DD3EBE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）前测中的学习困难</w:t>
      </w:r>
    </w:p>
    <w:p w14:paraId="660E051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3-51  </w:t>
      </w:r>
      <w:r>
        <w:rPr>
          <w:rFonts w:ascii="Times New Roman" w:eastAsia="黑体" w:hAnsi="Times New Roman" w:cs="Times New Roman"/>
        </w:rPr>
        <w:t>学生前测开放性回答三级编码表</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01"/>
        <w:gridCol w:w="2570"/>
        <w:gridCol w:w="1858"/>
        <w:gridCol w:w="1593"/>
      </w:tblGrid>
      <w:tr w:rsidR="000B1CCE" w14:paraId="029BC2CA" w14:textId="77777777">
        <w:trPr>
          <w:tblHeader/>
          <w:jc w:val="center"/>
        </w:trPr>
        <w:tc>
          <w:tcPr>
            <w:tcW w:w="25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E5123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57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F9059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4599AB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C909B1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6CC060A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C8C80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不会、想不出、看不懂、难题、新题型</w:t>
            </w:r>
          </w:p>
        </w:tc>
        <w:tc>
          <w:tcPr>
            <w:tcW w:w="2570" w:type="dxa"/>
            <w:tcBorders>
              <w:top w:val="nil"/>
              <w:left w:val="nil"/>
              <w:bottom w:val="nil"/>
              <w:right w:val="nil"/>
            </w:tcBorders>
            <w:tcMar>
              <w:top w:w="-1" w:type="dxa"/>
              <w:left w:w="-1" w:type="dxa"/>
              <w:bottom w:w="-1" w:type="dxa"/>
              <w:right w:w="-1" w:type="dxa"/>
            </w:tcMar>
            <w:vAlign w:val="center"/>
          </w:tcPr>
          <w:p w14:paraId="25301B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问题理解、思路生成、陌生任务适应</w:t>
            </w:r>
          </w:p>
        </w:tc>
        <w:tc>
          <w:tcPr>
            <w:tcW w:w="0" w:type="auto"/>
            <w:tcBorders>
              <w:top w:val="nil"/>
              <w:left w:val="nil"/>
              <w:bottom w:val="nil"/>
              <w:right w:val="nil"/>
            </w:tcBorders>
            <w:tcMar>
              <w:top w:w="-1" w:type="dxa"/>
              <w:left w:w="-1" w:type="dxa"/>
              <w:bottom w:w="-1" w:type="dxa"/>
              <w:right w:w="-1" w:type="dxa"/>
            </w:tcMar>
            <w:vAlign w:val="center"/>
          </w:tcPr>
          <w:p w14:paraId="41A75A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复杂问题与认知加工困难</w:t>
            </w:r>
          </w:p>
        </w:tc>
        <w:tc>
          <w:tcPr>
            <w:tcW w:w="1593" w:type="dxa"/>
            <w:tcBorders>
              <w:top w:val="nil"/>
              <w:left w:val="nil"/>
              <w:bottom w:val="nil"/>
              <w:right w:val="nil"/>
            </w:tcBorders>
            <w:tcMar>
              <w:top w:w="-1" w:type="dxa"/>
              <w:left w:w="-1" w:type="dxa"/>
              <w:bottom w:w="-1" w:type="dxa"/>
              <w:right w:w="-1" w:type="dxa"/>
            </w:tcMar>
            <w:vAlign w:val="center"/>
          </w:tcPr>
          <w:p w14:paraId="4C4777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306CB12C"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B481F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08F562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48D0E3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10B2A4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245</w:t>
            </w:r>
          </w:p>
        </w:tc>
      </w:tr>
      <w:tr w:rsidR="000B1CCE" w14:paraId="1BDC55B9"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4D59F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2254EC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2EFD41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44BCD8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161</w:t>
            </w:r>
          </w:p>
        </w:tc>
      </w:tr>
      <w:tr w:rsidR="000B1CCE" w14:paraId="318034B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ED1537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F7B5A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A4397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3E2877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w:t>
            </w:r>
          </w:p>
        </w:tc>
      </w:tr>
      <w:tr w:rsidR="000B1CCE" w14:paraId="3079F8A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E743D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6C77C1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4952AB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037B69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r>
      <w:tr w:rsidR="000B1CCE" w14:paraId="69792B6D"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24606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637BD2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204936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33C361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w:t>
            </w:r>
          </w:p>
        </w:tc>
      </w:tr>
      <w:tr w:rsidR="000B1CCE" w14:paraId="6881167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883EDF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84D99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441676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2CD7A9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1453E584"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3B485A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1BD32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323C0D3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44D401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357B9B81"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7198A6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832F4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25CBA4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106609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379</w:t>
            </w:r>
          </w:p>
        </w:tc>
      </w:tr>
    </w:tbl>
    <w:p w14:paraId="6209839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w:t>
      </w:r>
    </w:p>
    <w:p w14:paraId="220B49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61CD09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2</w:t>
      </w:r>
      <w:r>
        <w:rPr>
          <w:rFonts w:ascii="Times New Roman" w:eastAsia="华文楷体" w:hAnsi="Times New Roman" w:cs="Times New Roman"/>
          <w:sz w:val="24"/>
        </w:rPr>
        <w:t>）后测中的学习变化感知</w:t>
      </w:r>
    </w:p>
    <w:p w14:paraId="3A7A102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3-52  </w:t>
      </w:r>
      <w:r>
        <w:rPr>
          <w:rFonts w:ascii="Times New Roman" w:eastAsia="黑体" w:hAnsi="Times New Roman" w:cs="Times New Roman"/>
        </w:rPr>
        <w:t>学生后测开放性回答三级编码表</w:t>
      </w:r>
    </w:p>
    <w:tbl>
      <w:tblPr>
        <w:tblW w:w="8870"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76"/>
        <w:gridCol w:w="2496"/>
        <w:gridCol w:w="1858"/>
        <w:gridCol w:w="1540"/>
      </w:tblGrid>
      <w:tr w:rsidR="000B1CCE" w14:paraId="0A98068D" w14:textId="77777777">
        <w:trPr>
          <w:tblHeader/>
          <w:jc w:val="center"/>
        </w:trPr>
        <w:tc>
          <w:tcPr>
            <w:tcW w:w="29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C9D0C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4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5C2A4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DDB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5B45F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7846C33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53FFF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思考更全面、多角度、更深入、逻辑更清晰</w:t>
            </w:r>
          </w:p>
        </w:tc>
        <w:tc>
          <w:tcPr>
            <w:tcW w:w="2496" w:type="dxa"/>
            <w:tcBorders>
              <w:top w:val="nil"/>
              <w:left w:val="nil"/>
              <w:bottom w:val="nil"/>
              <w:right w:val="nil"/>
            </w:tcBorders>
            <w:tcMar>
              <w:top w:w="-1" w:type="dxa"/>
              <w:left w:w="-1" w:type="dxa"/>
              <w:bottom w:w="-1" w:type="dxa"/>
              <w:right w:w="-1" w:type="dxa"/>
            </w:tcMar>
            <w:vAlign w:val="center"/>
          </w:tcPr>
          <w:p w14:paraId="033304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多角度分析、信息整合、深度加工</w:t>
            </w:r>
          </w:p>
        </w:tc>
        <w:tc>
          <w:tcPr>
            <w:tcW w:w="0" w:type="auto"/>
            <w:tcBorders>
              <w:top w:val="nil"/>
              <w:left w:val="nil"/>
              <w:bottom w:val="nil"/>
              <w:right w:val="nil"/>
            </w:tcBorders>
            <w:tcMar>
              <w:top w:w="-1" w:type="dxa"/>
              <w:left w:w="-1" w:type="dxa"/>
              <w:bottom w:w="-1" w:type="dxa"/>
              <w:right w:w="-1" w:type="dxa"/>
            </w:tcMar>
            <w:vAlign w:val="center"/>
          </w:tcPr>
          <w:p w14:paraId="574135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分析深化与多角度思考</w:t>
            </w:r>
          </w:p>
        </w:tc>
        <w:tc>
          <w:tcPr>
            <w:tcW w:w="1540" w:type="dxa"/>
            <w:tcBorders>
              <w:top w:val="nil"/>
              <w:left w:val="nil"/>
              <w:bottom w:val="nil"/>
              <w:right w:val="nil"/>
            </w:tcBorders>
            <w:tcMar>
              <w:top w:w="-1" w:type="dxa"/>
              <w:left w:w="-1" w:type="dxa"/>
              <w:bottom w:w="-1" w:type="dxa"/>
              <w:right w:w="-1" w:type="dxa"/>
            </w:tcMar>
            <w:vAlign w:val="center"/>
          </w:tcPr>
          <w:p w14:paraId="7BA807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366</w:t>
            </w:r>
          </w:p>
        </w:tc>
      </w:tr>
      <w:tr w:rsidR="000B1CCE" w14:paraId="4DD76089"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DBC9E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5811D1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E91B5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76EF1A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244</w:t>
            </w:r>
          </w:p>
        </w:tc>
      </w:tr>
      <w:tr w:rsidR="000B1CCE" w14:paraId="0062286E"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A9F33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288E27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708A4C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04AD1D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172</w:t>
            </w:r>
          </w:p>
        </w:tc>
      </w:tr>
      <w:tr w:rsidR="000B1CCE" w14:paraId="66A6D86D"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0B5A5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63A793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2EDC1D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4D7398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w:t>
            </w:r>
          </w:p>
        </w:tc>
      </w:tr>
      <w:tr w:rsidR="000B1CCE" w14:paraId="429063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29C9C3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3C6214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9C23A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4B52CD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r>
      <w:tr w:rsidR="000B1CCE" w14:paraId="31A3E91E"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38547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1C399C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692C74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698515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40</w:t>
            </w:r>
          </w:p>
        </w:tc>
      </w:tr>
      <w:tr w:rsidR="000B1CCE" w14:paraId="149D4C6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83302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57E3C5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8294C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4379040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p>
        </w:tc>
      </w:tr>
      <w:tr w:rsidR="000B1CCE" w14:paraId="7D9E2F6C"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188D1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28DBE8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17797E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2AF7C0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p>
        </w:tc>
      </w:tr>
      <w:tr w:rsidR="000B1CCE" w14:paraId="57AC11C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388E3E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44107A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4735F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7C294E4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r>
      <w:tr w:rsidR="000B1CCE" w14:paraId="4C7F9AE4"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F336E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73133D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443B71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3772DC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74</w:t>
            </w:r>
          </w:p>
        </w:tc>
      </w:tr>
      <w:tr w:rsidR="000B1CCE" w14:paraId="2CC92B8D"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665ED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1F505F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69792D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68DACB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429</w:t>
            </w:r>
          </w:p>
        </w:tc>
      </w:tr>
    </w:tbl>
    <w:p w14:paraId="3C987CEA" w14:textId="77777777" w:rsidR="000B1CCE" w:rsidRDefault="00000000">
      <w:pPr>
        <w:adjustRightInd w:val="0"/>
        <w:snapToGrid w:val="0"/>
        <w:spacing w:before="120" w:line="360" w:lineRule="auto"/>
        <w:ind w:firstLineChars="200" w:firstLine="489"/>
        <w:rPr>
          <w:rFonts w:ascii="宋体" w:eastAsia="宋体" w:hAnsi="宋体" w:cs="宋体"/>
          <w:sz w:val="24"/>
        </w:rPr>
      </w:pPr>
      <w:r>
        <w:rPr>
          <w:rFonts w:ascii="Times New Roman" w:eastAsia="宋体" w:hAnsi="Times New Roman" w:cs="Times New Roman"/>
          <w:b/>
          <w:sz w:val="24"/>
        </w:rPr>
        <w:t>后测中，学生最常使用的是会换个角度想、先自己思考、会听取同学意见、遇到困难更冷静等具体行为描述。</w:t>
      </w:r>
      <w:r>
        <w:rPr>
          <w:rFonts w:ascii="Times New Roman" w:eastAsia="宋体" w:hAnsi="Times New Roman" w:cs="Times New Roman"/>
          <w:sz w:val="24"/>
        </w:rPr>
        <w:t>这些文字使思维、合作与问题解决过程变得可见。同时，</w:t>
      </w:r>
      <w:r>
        <w:rPr>
          <w:rFonts w:ascii="Times New Roman" w:eastAsia="宋体" w:hAnsi="Times New Roman" w:cs="Times New Roman"/>
          <w:sz w:val="24"/>
        </w:rPr>
        <w:t>429</w:t>
      </w:r>
      <w:r>
        <w:rPr>
          <w:rFonts w:ascii="Times New Roman" w:eastAsia="宋体" w:hAnsi="Times New Roman" w:cs="Times New Roman"/>
          <w:sz w:val="24"/>
        </w:rPr>
        <w:t>条回答未陈述具体变化，另有</w:t>
      </w:r>
      <w:r>
        <w:rPr>
          <w:rFonts w:ascii="Times New Roman" w:eastAsia="宋体" w:hAnsi="Times New Roman" w:cs="Times New Roman"/>
          <w:sz w:val="24"/>
        </w:rPr>
        <w:t>74</w:t>
      </w:r>
      <w:r>
        <w:rPr>
          <w:rFonts w:ascii="Times New Roman" w:eastAsia="宋体" w:hAnsi="Times New Roman" w:cs="Times New Roman"/>
          <w:sz w:val="24"/>
        </w:rPr>
        <w:t>条仍表达任务难度、学习压力或负向体验，研究中均予以保留，以避免只呈现积极声音。</w:t>
      </w:r>
    </w:p>
    <w:p w14:paraId="40FCFBC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）前后测文本的主题对应</w:t>
      </w:r>
    </w:p>
    <w:p w14:paraId="44546BF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3-53  </w:t>
      </w:r>
      <w:r>
        <w:rPr>
          <w:rFonts w:ascii="Times New Roman" w:eastAsia="黑体" w:hAnsi="Times New Roman" w:cs="Times New Roman"/>
        </w:rPr>
        <w:t>学生前后测开放性文本主题对应表</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65"/>
        <w:gridCol w:w="2610"/>
        <w:gridCol w:w="4044"/>
      </w:tblGrid>
      <w:tr w:rsidR="000B1CCE" w14:paraId="57AF17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BEDF0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前测困难领域</w:t>
            </w:r>
          </w:p>
        </w:tc>
        <w:tc>
          <w:tcPr>
            <w:tcW w:w="26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67F43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后测相关主题</w:t>
            </w:r>
          </w:p>
        </w:tc>
        <w:tc>
          <w:tcPr>
            <w:tcW w:w="4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42AB3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对应关系</w:t>
            </w:r>
          </w:p>
        </w:tc>
      </w:tr>
      <w:tr w:rsidR="000B1CCE" w14:paraId="69F16C0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2DFD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复杂问题理解、思路生成困难</w:t>
            </w:r>
          </w:p>
        </w:tc>
        <w:tc>
          <w:tcPr>
            <w:tcW w:w="2610" w:type="dxa"/>
            <w:tcBorders>
              <w:top w:val="nil"/>
              <w:left w:val="nil"/>
              <w:bottom w:val="nil"/>
              <w:right w:val="nil"/>
            </w:tcBorders>
            <w:tcMar>
              <w:top w:w="-1" w:type="dxa"/>
              <w:left w:w="-1" w:type="dxa"/>
              <w:bottom w:w="-1" w:type="dxa"/>
              <w:right w:w="-1" w:type="dxa"/>
            </w:tcMar>
            <w:vAlign w:val="center"/>
          </w:tcPr>
          <w:p w14:paraId="4667F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分析深化、多角度思考、迁移创新、自主解决</w:t>
            </w:r>
          </w:p>
        </w:tc>
        <w:tc>
          <w:tcPr>
            <w:tcW w:w="4044" w:type="dxa"/>
            <w:tcBorders>
              <w:top w:val="nil"/>
              <w:left w:val="nil"/>
              <w:bottom w:val="nil"/>
              <w:right w:val="nil"/>
            </w:tcBorders>
            <w:tcMar>
              <w:top w:w="-1" w:type="dxa"/>
              <w:left w:w="-1" w:type="dxa"/>
              <w:bottom w:w="-1" w:type="dxa"/>
              <w:right w:w="-1" w:type="dxa"/>
            </w:tcMar>
            <w:vAlign w:val="center"/>
          </w:tcPr>
          <w:p w14:paraId="1DCD598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w:t>
            </w:r>
            <w:r>
              <w:rPr>
                <w:rFonts w:ascii="Times New Roman" w:eastAsia="宋体" w:hAnsi="Times New Roman" w:cs="Times New Roman"/>
                <w:szCs w:val="21"/>
              </w:rPr>
              <w:t>“</w:t>
            </w:r>
            <w:r>
              <w:rPr>
                <w:rFonts w:ascii="Times New Roman" w:eastAsia="宋体" w:hAnsi="Times New Roman" w:cs="Times New Roman"/>
                <w:szCs w:val="21"/>
              </w:rPr>
              <w:t>不会、想不出</w:t>
            </w:r>
            <w:r>
              <w:rPr>
                <w:rFonts w:ascii="Times New Roman" w:eastAsia="宋体" w:hAnsi="Times New Roman" w:cs="Times New Roman"/>
                <w:szCs w:val="21"/>
              </w:rPr>
              <w:t>”</w:t>
            </w:r>
            <w:r>
              <w:rPr>
                <w:rFonts w:ascii="Times New Roman" w:eastAsia="宋体" w:hAnsi="Times New Roman" w:cs="Times New Roman"/>
                <w:szCs w:val="21"/>
              </w:rPr>
              <w:t>到</w:t>
            </w:r>
            <w:r>
              <w:rPr>
                <w:rFonts w:ascii="Times New Roman" w:eastAsia="宋体" w:hAnsi="Times New Roman" w:cs="Times New Roman"/>
                <w:szCs w:val="21"/>
              </w:rPr>
              <w:t>“</w:t>
            </w:r>
            <w:r>
              <w:rPr>
                <w:rFonts w:ascii="Times New Roman" w:eastAsia="宋体" w:hAnsi="Times New Roman" w:cs="Times New Roman"/>
                <w:szCs w:val="21"/>
              </w:rPr>
              <w:t>换角度、想多种方法、先自己思考</w:t>
            </w:r>
            <w:r>
              <w:rPr>
                <w:rFonts w:ascii="Times New Roman" w:eastAsia="宋体" w:hAnsi="Times New Roman" w:cs="Times New Roman"/>
                <w:szCs w:val="21"/>
              </w:rPr>
              <w:t>”</w:t>
            </w:r>
          </w:p>
        </w:tc>
      </w:tr>
      <w:tr w:rsidR="000B1CCE" w14:paraId="67E6E8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977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64F082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79D127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从具体学科困难到</w:t>
            </w:r>
            <w:r>
              <w:rPr>
                <w:rFonts w:ascii="Times New Roman" w:eastAsia="宋体" w:hAnsi="Times New Roman" w:cs="Times New Roman"/>
                <w:szCs w:val="21"/>
              </w:rPr>
              <w:t>“</w:t>
            </w:r>
            <w:r>
              <w:rPr>
                <w:rFonts w:ascii="Times New Roman" w:eastAsia="宋体" w:hAnsi="Times New Roman" w:cs="Times New Roman"/>
                <w:szCs w:val="21"/>
              </w:rPr>
              <w:t>联系知识点</w:t>
            </w:r>
            <w:r>
              <w:rPr>
                <w:rFonts w:ascii="Times New Roman" w:eastAsia="宋体" w:hAnsi="Times New Roman" w:cs="Times New Roman"/>
                <w:szCs w:val="21"/>
              </w:rPr>
              <w:t>”“</w:t>
            </w:r>
            <w:r>
              <w:rPr>
                <w:rFonts w:ascii="Times New Roman" w:eastAsia="宋体" w:hAnsi="Times New Roman" w:cs="Times New Roman"/>
                <w:szCs w:val="21"/>
              </w:rPr>
              <w:t>主动请教</w:t>
            </w:r>
            <w:r>
              <w:rPr>
                <w:rFonts w:ascii="Times New Roman" w:eastAsia="宋体" w:hAnsi="Times New Roman" w:cs="Times New Roman"/>
                <w:szCs w:val="21"/>
              </w:rPr>
              <w:t>”“</w:t>
            </w:r>
            <w:r>
              <w:rPr>
                <w:rFonts w:ascii="Times New Roman" w:eastAsia="宋体" w:hAnsi="Times New Roman" w:cs="Times New Roman"/>
                <w:szCs w:val="21"/>
              </w:rPr>
              <w:t>总结思路</w:t>
            </w:r>
            <w:r>
              <w:rPr>
                <w:rFonts w:ascii="Times New Roman" w:eastAsia="宋体" w:hAnsi="Times New Roman" w:cs="Times New Roman"/>
                <w:szCs w:val="21"/>
              </w:rPr>
              <w:t>”</w:t>
            </w:r>
          </w:p>
        </w:tc>
      </w:tr>
      <w:tr w:rsidR="000B1CCE" w14:paraId="6F46711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6E4F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42FCD3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847A30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更认真</w:t>
            </w:r>
            <w:r>
              <w:rPr>
                <w:rFonts w:ascii="Times New Roman" w:eastAsia="宋体" w:hAnsi="Times New Roman" w:cs="Times New Roman"/>
                <w:szCs w:val="21"/>
              </w:rPr>
              <w:t>”“</w:t>
            </w:r>
            <w:r>
              <w:rPr>
                <w:rFonts w:ascii="Times New Roman" w:eastAsia="宋体" w:hAnsi="Times New Roman" w:cs="Times New Roman"/>
                <w:szCs w:val="21"/>
              </w:rPr>
              <w:t>更有计划</w:t>
            </w:r>
            <w:r>
              <w:rPr>
                <w:rFonts w:ascii="Times New Roman" w:eastAsia="宋体" w:hAnsi="Times New Roman" w:cs="Times New Roman"/>
                <w:szCs w:val="21"/>
              </w:rPr>
              <w:t>”“</w:t>
            </w:r>
            <w:r>
              <w:rPr>
                <w:rFonts w:ascii="Times New Roman" w:eastAsia="宋体" w:hAnsi="Times New Roman" w:cs="Times New Roman"/>
                <w:szCs w:val="21"/>
              </w:rPr>
              <w:t>愿意投入时间</w:t>
            </w:r>
            <w:r>
              <w:rPr>
                <w:rFonts w:ascii="Times New Roman" w:eastAsia="宋体" w:hAnsi="Times New Roman" w:cs="Times New Roman"/>
                <w:szCs w:val="21"/>
              </w:rPr>
              <w:t>”</w:t>
            </w:r>
            <w:r>
              <w:rPr>
                <w:rFonts w:ascii="Times New Roman" w:eastAsia="宋体" w:hAnsi="Times New Roman" w:cs="Times New Roman"/>
                <w:szCs w:val="21"/>
              </w:rPr>
              <w:t>等过程性表达</w:t>
            </w:r>
          </w:p>
        </w:tc>
      </w:tr>
      <w:tr w:rsidR="000B1CCE" w14:paraId="15B9BA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6CD9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76ED00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7D4330F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冷静</w:t>
            </w:r>
            <w:r>
              <w:rPr>
                <w:rFonts w:ascii="Times New Roman" w:eastAsia="宋体" w:hAnsi="Times New Roman" w:cs="Times New Roman"/>
                <w:szCs w:val="21"/>
              </w:rPr>
              <w:t>”“</w:t>
            </w:r>
            <w:r>
              <w:rPr>
                <w:rFonts w:ascii="Times New Roman" w:eastAsia="宋体" w:hAnsi="Times New Roman" w:cs="Times New Roman"/>
                <w:szCs w:val="21"/>
              </w:rPr>
              <w:t>耐心</w:t>
            </w:r>
            <w:r>
              <w:rPr>
                <w:rFonts w:ascii="Times New Roman" w:eastAsia="宋体" w:hAnsi="Times New Roman" w:cs="Times New Roman"/>
                <w:szCs w:val="21"/>
              </w:rPr>
              <w:t>”“</w:t>
            </w:r>
            <w:r>
              <w:rPr>
                <w:rFonts w:ascii="Times New Roman" w:eastAsia="宋体" w:hAnsi="Times New Roman" w:cs="Times New Roman"/>
                <w:szCs w:val="21"/>
              </w:rPr>
              <w:t>不轻易放弃</w:t>
            </w:r>
            <w:r>
              <w:rPr>
                <w:rFonts w:ascii="Times New Roman" w:eastAsia="宋体" w:hAnsi="Times New Roman" w:cs="Times New Roman"/>
                <w:szCs w:val="21"/>
              </w:rPr>
              <w:t>”</w:t>
            </w:r>
            <w:r>
              <w:rPr>
                <w:rFonts w:ascii="Times New Roman" w:eastAsia="宋体" w:hAnsi="Times New Roman" w:cs="Times New Roman"/>
                <w:szCs w:val="21"/>
              </w:rPr>
              <w:t>等情境化表达</w:t>
            </w:r>
          </w:p>
        </w:tc>
      </w:tr>
      <w:tr w:rsidR="000B1CCE" w14:paraId="41BEC5DD"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113CA9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5F3664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合作沟通、倾听共情、包容</w:t>
            </w:r>
            <w:r>
              <w:rPr>
                <w:rFonts w:ascii="Times New Roman" w:eastAsia="宋体" w:hAnsi="Times New Roman" w:cs="Times New Roman"/>
                <w:szCs w:val="21"/>
              </w:rPr>
              <w:lastRenderedPageBreak/>
              <w:t>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44C12BE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lastRenderedPageBreak/>
              <w:t>后测出现</w:t>
            </w:r>
            <w:r>
              <w:rPr>
                <w:rFonts w:ascii="Times New Roman" w:eastAsia="宋体" w:hAnsi="Times New Roman" w:cs="Times New Roman"/>
                <w:szCs w:val="21"/>
              </w:rPr>
              <w:t>“</w:t>
            </w:r>
            <w:r>
              <w:rPr>
                <w:rFonts w:ascii="Times New Roman" w:eastAsia="宋体" w:hAnsi="Times New Roman" w:cs="Times New Roman"/>
                <w:szCs w:val="21"/>
              </w:rPr>
              <w:t>主动交流</w:t>
            </w:r>
            <w:r>
              <w:rPr>
                <w:rFonts w:ascii="Times New Roman" w:eastAsia="宋体" w:hAnsi="Times New Roman" w:cs="Times New Roman"/>
                <w:szCs w:val="21"/>
              </w:rPr>
              <w:t>”“</w:t>
            </w:r>
            <w:r>
              <w:rPr>
                <w:rFonts w:ascii="Times New Roman" w:eastAsia="宋体" w:hAnsi="Times New Roman" w:cs="Times New Roman"/>
                <w:szCs w:val="21"/>
              </w:rPr>
              <w:t>听取意见</w:t>
            </w:r>
            <w:r>
              <w:rPr>
                <w:rFonts w:ascii="Times New Roman" w:eastAsia="宋体" w:hAnsi="Times New Roman" w:cs="Times New Roman"/>
                <w:szCs w:val="21"/>
              </w:rPr>
              <w:t>”“</w:t>
            </w:r>
            <w:r>
              <w:rPr>
                <w:rFonts w:ascii="Times New Roman" w:eastAsia="宋体" w:hAnsi="Times New Roman" w:cs="Times New Roman"/>
                <w:szCs w:val="21"/>
              </w:rPr>
              <w:t>理解他</w:t>
            </w:r>
            <w:r>
              <w:rPr>
                <w:rFonts w:ascii="Times New Roman" w:eastAsia="宋体" w:hAnsi="Times New Roman" w:cs="Times New Roman"/>
                <w:szCs w:val="21"/>
              </w:rPr>
              <w:lastRenderedPageBreak/>
              <w:t>人</w:t>
            </w:r>
            <w:r>
              <w:rPr>
                <w:rFonts w:ascii="Times New Roman" w:eastAsia="宋体" w:hAnsi="Times New Roman" w:cs="Times New Roman"/>
                <w:szCs w:val="21"/>
              </w:rPr>
              <w:t>”“</w:t>
            </w:r>
            <w:r>
              <w:rPr>
                <w:rFonts w:ascii="Times New Roman" w:eastAsia="宋体" w:hAnsi="Times New Roman" w:cs="Times New Roman"/>
                <w:szCs w:val="21"/>
              </w:rPr>
              <w:t>共同解决</w:t>
            </w:r>
            <w:r>
              <w:rPr>
                <w:rFonts w:ascii="Times New Roman" w:eastAsia="宋体" w:hAnsi="Times New Roman" w:cs="Times New Roman"/>
                <w:szCs w:val="21"/>
              </w:rPr>
              <w:t>”</w:t>
            </w:r>
            <w:r>
              <w:rPr>
                <w:rFonts w:ascii="Times New Roman" w:eastAsia="宋体" w:hAnsi="Times New Roman" w:cs="Times New Roman"/>
                <w:szCs w:val="21"/>
              </w:rPr>
              <w:t>等表达</w:t>
            </w:r>
          </w:p>
        </w:tc>
      </w:tr>
    </w:tbl>
    <w:p w14:paraId="4EB993EA" w14:textId="77777777" w:rsidR="000B1CCE" w:rsidRDefault="00000000">
      <w:pPr>
        <w:adjustRightInd w:val="0"/>
        <w:snapToGrid w:val="0"/>
        <w:spacing w:before="120" w:line="360" w:lineRule="auto"/>
        <w:ind w:firstLineChars="200" w:firstLine="480"/>
        <w:rPr>
          <w:b/>
          <w:bCs/>
          <w:sz w:val="24"/>
          <w:szCs w:val="32"/>
        </w:rPr>
      </w:pPr>
      <w:r>
        <w:rPr>
          <w:rFonts w:ascii="Times New Roman" w:eastAsia="宋体" w:hAnsi="Times New Roman" w:cs="Times New Roman"/>
          <w:sz w:val="24"/>
        </w:rPr>
        <w:lastRenderedPageBreak/>
        <w:t>这种对应属于质性意义上的问题与回应关系。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r>
        <w:rPr>
          <w:rFonts w:ascii="Times New Roman" w:eastAsia="宋体" w:hAnsi="Times New Roman" w:cs="Times New Roman"/>
          <w:sz w:val="24"/>
        </w:rPr>
        <w:br/>
        <w:t>2.</w:t>
      </w:r>
      <w:r>
        <w:rPr>
          <w:rFonts w:ascii="Times New Roman" w:eastAsia="宋体" w:hAnsi="Times New Roman" w:cs="Times New Roman"/>
          <w:sz w:val="24"/>
        </w:rPr>
        <w:t>教师问卷前后测结果分析</w:t>
      </w:r>
    </w:p>
    <w:p w14:paraId="406C4FA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教师问卷前后测结果</w:t>
      </w:r>
    </w:p>
    <w:p w14:paraId="163967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333B066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）数据来源与样本</w:t>
      </w:r>
    </w:p>
    <w:p w14:paraId="7A7246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教师前测问卷共</w:t>
      </w:r>
      <w:r>
        <w:rPr>
          <w:rFonts w:ascii="Times New Roman" w:eastAsia="宋体" w:hAnsi="Times New Roman" w:cs="Times New Roman"/>
          <w:sz w:val="24"/>
        </w:rPr>
        <w:t>163</w:t>
      </w:r>
      <w:r>
        <w:rPr>
          <w:rFonts w:ascii="Times New Roman" w:eastAsia="宋体" w:hAnsi="Times New Roman" w:cs="Times New Roman"/>
          <w:sz w:val="24"/>
        </w:rPr>
        <w:t>份，后测共</w:t>
      </w:r>
      <w:r>
        <w:rPr>
          <w:rFonts w:ascii="Times New Roman" w:eastAsia="宋体" w:hAnsi="Times New Roman" w:cs="Times New Roman"/>
          <w:sz w:val="24"/>
        </w:rPr>
        <w:t>172</w:t>
      </w:r>
      <w:r>
        <w:rPr>
          <w:rFonts w:ascii="Times New Roman" w:eastAsia="宋体" w:hAnsi="Times New Roman" w:cs="Times New Roman"/>
          <w:sz w:val="24"/>
        </w:rPr>
        <w:t>份。匹配表包含</w:t>
      </w:r>
      <w:r>
        <w:rPr>
          <w:rFonts w:ascii="Times New Roman" w:eastAsia="宋体" w:hAnsi="Times New Roman" w:cs="Times New Roman"/>
          <w:sz w:val="24"/>
        </w:rPr>
        <w:t>129</w:t>
      </w:r>
      <w:r>
        <w:rPr>
          <w:rFonts w:ascii="Times New Roman" w:eastAsia="宋体" w:hAnsi="Times New Roman" w:cs="Times New Roman"/>
          <w:sz w:val="24"/>
        </w:rPr>
        <w:t>组不重复的前后测对应记录，前测</w:t>
      </w:r>
      <w:r>
        <w:rPr>
          <w:rFonts w:ascii="Times New Roman" w:eastAsia="宋体" w:hAnsi="Times New Roman" w:cs="Times New Roman"/>
          <w:sz w:val="24"/>
        </w:rPr>
        <w:t>34</w:t>
      </w:r>
      <w:r>
        <w:rPr>
          <w:rFonts w:ascii="Times New Roman" w:eastAsia="宋体" w:hAnsi="Times New Roman" w:cs="Times New Roman"/>
          <w:sz w:val="24"/>
        </w:rPr>
        <w:t>份、后测</w:t>
      </w:r>
      <w:r>
        <w:rPr>
          <w:rFonts w:ascii="Times New Roman" w:eastAsia="宋体" w:hAnsi="Times New Roman" w:cs="Times New Roman"/>
          <w:sz w:val="24"/>
        </w:rPr>
        <w:t>43</w:t>
      </w:r>
      <w:r>
        <w:rPr>
          <w:rFonts w:ascii="Times New Roman" w:eastAsia="宋体" w:hAnsi="Times New Roman" w:cs="Times New Roman"/>
          <w:sz w:val="24"/>
        </w:rPr>
        <w:t>份未纳入该表。纳入记录分别占前测的</w:t>
      </w:r>
      <w:r>
        <w:rPr>
          <w:rFonts w:ascii="Times New Roman" w:eastAsia="宋体" w:hAnsi="Times New Roman" w:cs="Times New Roman"/>
          <w:sz w:val="24"/>
        </w:rPr>
        <w:t>79.14%</w:t>
      </w:r>
      <w:r>
        <w:rPr>
          <w:rFonts w:ascii="Times New Roman" w:eastAsia="宋体" w:hAnsi="Times New Roman" w:cs="Times New Roman"/>
          <w:sz w:val="24"/>
        </w:rPr>
        <w:t>和后测的</w:t>
      </w:r>
      <w:r>
        <w:rPr>
          <w:rFonts w:ascii="Times New Roman" w:eastAsia="宋体" w:hAnsi="Times New Roman" w:cs="Times New Roman"/>
          <w:sz w:val="24"/>
        </w:rPr>
        <w:t>75.00%</w:t>
      </w:r>
      <w:r>
        <w:rPr>
          <w:rFonts w:ascii="Times New Roman" w:eastAsia="宋体" w:hAnsi="Times New Roman" w:cs="Times New Roman"/>
          <w:sz w:val="24"/>
        </w:rPr>
        <w:t>。因此，编号相同的</w:t>
      </w:r>
      <w:r>
        <w:rPr>
          <w:rFonts w:ascii="Times New Roman" w:eastAsia="宋体" w:hAnsi="Times New Roman" w:cs="Times New Roman"/>
          <w:sz w:val="24"/>
        </w:rPr>
        <w:t>129</w:t>
      </w:r>
      <w:r>
        <w:rPr>
          <w:rFonts w:ascii="Times New Roman" w:eastAsia="宋体" w:hAnsi="Times New Roman" w:cs="Times New Roman"/>
          <w:sz w:val="24"/>
        </w:rPr>
        <w:t>组应视为待核实的对应记录，以下配对检验属于探索性分析。</w:t>
      </w:r>
    </w:p>
    <w:p w14:paraId="0D190A2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3-54  </w:t>
      </w:r>
      <w:r>
        <w:rPr>
          <w:rFonts w:ascii="Times New Roman" w:eastAsia="黑体" w:hAnsi="Times New Roman" w:cs="Times New Roman"/>
        </w:rPr>
        <w:t>纳入匹配表的教师背景分布（</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36"/>
        <w:gridCol w:w="2349"/>
        <w:gridCol w:w="1187"/>
        <w:gridCol w:w="2250"/>
      </w:tblGrid>
      <w:tr w:rsidR="000B1CCE" w14:paraId="1BCAD9B8" w14:textId="77777777">
        <w:trPr>
          <w:tblHeader/>
          <w:jc w:val="center"/>
        </w:trPr>
        <w:tc>
          <w:tcPr>
            <w:tcW w:w="27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A7829E"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背景特征</w:t>
            </w:r>
          </w:p>
        </w:tc>
        <w:tc>
          <w:tcPr>
            <w:tcW w:w="2349"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4A91F4"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类别</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CE4470"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人数</w:t>
            </w:r>
          </w:p>
        </w:tc>
        <w:tc>
          <w:tcPr>
            <w:tcW w:w="22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244DD6"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86BF962"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0F2C8D"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12D0CB7" w14:textId="77777777" w:rsidR="000B1CCE" w:rsidRDefault="00000000">
            <w:pPr>
              <w:snapToGrid w:val="0"/>
              <w:spacing w:before="20" w:after="20"/>
              <w:jc w:val="center"/>
              <w:rPr>
                <w:sz w:val="18"/>
                <w:szCs w:val="21"/>
              </w:rPr>
            </w:pPr>
            <w:r>
              <w:rPr>
                <w:rFonts w:ascii="Times New Roman" w:eastAsia="宋体" w:hAnsi="Times New Roman" w:cs="Times New Roman"/>
                <w:szCs w:val="21"/>
              </w:rPr>
              <w:t>3</w:t>
            </w:r>
            <w:r>
              <w:rPr>
                <w:rFonts w:ascii="Times New Roman" w:eastAsia="宋体" w:hAnsi="Times New Roman" w:cs="Times New Roman"/>
                <w:szCs w:val="21"/>
              </w:rPr>
              <w:t>年以下</w:t>
            </w:r>
          </w:p>
        </w:tc>
        <w:tc>
          <w:tcPr>
            <w:tcW w:w="1187" w:type="dxa"/>
            <w:tcBorders>
              <w:top w:val="nil"/>
              <w:left w:val="nil"/>
              <w:bottom w:val="nil"/>
              <w:right w:val="nil"/>
            </w:tcBorders>
            <w:tcMar>
              <w:top w:w="-1" w:type="dxa"/>
              <w:left w:w="-1" w:type="dxa"/>
              <w:bottom w:w="-1" w:type="dxa"/>
              <w:right w:w="-1" w:type="dxa"/>
            </w:tcMar>
            <w:vAlign w:val="center"/>
          </w:tcPr>
          <w:p w14:paraId="684DAD1B"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nil"/>
              <w:right w:val="nil"/>
            </w:tcBorders>
            <w:tcMar>
              <w:top w:w="-1" w:type="dxa"/>
              <w:left w:w="-1" w:type="dxa"/>
              <w:bottom w:w="-1" w:type="dxa"/>
              <w:right w:w="-1" w:type="dxa"/>
            </w:tcMar>
            <w:vAlign w:val="center"/>
          </w:tcPr>
          <w:p w14:paraId="06F6E2EB"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r w:rsidR="000B1CCE" w14:paraId="5C4BD136"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14AFE4A"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650A46FB" w14:textId="77777777" w:rsidR="000B1CCE" w:rsidRDefault="00000000">
            <w:pPr>
              <w:snapToGrid w:val="0"/>
              <w:spacing w:before="20" w:after="20"/>
              <w:jc w:val="center"/>
              <w:rPr>
                <w:sz w:val="18"/>
                <w:szCs w:val="21"/>
              </w:rPr>
            </w:pPr>
            <w:r>
              <w:rPr>
                <w:rFonts w:ascii="Times New Roman" w:eastAsia="宋体" w:hAnsi="Times New Roman" w:cs="Times New Roman"/>
                <w:szCs w:val="21"/>
              </w:rPr>
              <w:t>3-5</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5651ECD0" w14:textId="77777777" w:rsidR="000B1CCE" w:rsidRDefault="00000000">
            <w:pPr>
              <w:snapToGrid w:val="0"/>
              <w:spacing w:before="20" w:after="20"/>
              <w:jc w:val="center"/>
              <w:rPr>
                <w:sz w:val="18"/>
                <w:szCs w:val="21"/>
              </w:rPr>
            </w:pPr>
            <w:r>
              <w:rPr>
                <w:rFonts w:ascii="Times New Roman" w:eastAsia="宋体" w:hAnsi="Times New Roman" w:cs="Times New Roman"/>
                <w:szCs w:val="21"/>
              </w:rPr>
              <w:t>22</w:t>
            </w:r>
          </w:p>
        </w:tc>
        <w:tc>
          <w:tcPr>
            <w:tcW w:w="2250" w:type="dxa"/>
            <w:tcBorders>
              <w:top w:val="nil"/>
              <w:left w:val="nil"/>
              <w:bottom w:val="nil"/>
              <w:right w:val="nil"/>
            </w:tcBorders>
            <w:tcMar>
              <w:top w:w="-1" w:type="dxa"/>
              <w:left w:w="-1" w:type="dxa"/>
              <w:bottom w:w="-1" w:type="dxa"/>
              <w:right w:w="-1" w:type="dxa"/>
            </w:tcMar>
            <w:vAlign w:val="center"/>
          </w:tcPr>
          <w:p w14:paraId="1FF6DB67" w14:textId="77777777" w:rsidR="000B1CCE" w:rsidRDefault="00000000">
            <w:pPr>
              <w:snapToGrid w:val="0"/>
              <w:spacing w:before="20" w:after="20"/>
              <w:jc w:val="center"/>
              <w:rPr>
                <w:sz w:val="18"/>
                <w:szCs w:val="21"/>
              </w:rPr>
            </w:pPr>
            <w:r>
              <w:rPr>
                <w:rFonts w:ascii="Times New Roman" w:eastAsia="宋体" w:hAnsi="Times New Roman" w:cs="Times New Roman"/>
                <w:szCs w:val="21"/>
              </w:rPr>
              <w:t>17.05</w:t>
            </w:r>
          </w:p>
        </w:tc>
      </w:tr>
      <w:tr w:rsidR="000B1CCE" w14:paraId="2BB310E7"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3A5F9CE"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16D30F8" w14:textId="77777777" w:rsidR="000B1CCE" w:rsidRDefault="00000000">
            <w:pPr>
              <w:snapToGrid w:val="0"/>
              <w:spacing w:before="20" w:after="20"/>
              <w:jc w:val="center"/>
              <w:rPr>
                <w:sz w:val="18"/>
                <w:szCs w:val="21"/>
              </w:rPr>
            </w:pPr>
            <w:r>
              <w:rPr>
                <w:rFonts w:ascii="Times New Roman" w:eastAsia="宋体" w:hAnsi="Times New Roman" w:cs="Times New Roman"/>
                <w:szCs w:val="21"/>
              </w:rPr>
              <w:t>6-10</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04FC91D5" w14:textId="77777777" w:rsidR="000B1CCE" w:rsidRDefault="00000000">
            <w:pPr>
              <w:snapToGrid w:val="0"/>
              <w:spacing w:before="20" w:after="20"/>
              <w:jc w:val="center"/>
              <w:rPr>
                <w:sz w:val="18"/>
                <w:szCs w:val="21"/>
              </w:rPr>
            </w:pPr>
            <w:r>
              <w:rPr>
                <w:rFonts w:ascii="Times New Roman" w:eastAsia="宋体" w:hAnsi="Times New Roman" w:cs="Times New Roman"/>
                <w:szCs w:val="21"/>
              </w:rPr>
              <w:t>20</w:t>
            </w:r>
          </w:p>
        </w:tc>
        <w:tc>
          <w:tcPr>
            <w:tcW w:w="2250" w:type="dxa"/>
            <w:tcBorders>
              <w:top w:val="nil"/>
              <w:left w:val="nil"/>
              <w:bottom w:val="nil"/>
              <w:right w:val="nil"/>
            </w:tcBorders>
            <w:tcMar>
              <w:top w:w="-1" w:type="dxa"/>
              <w:left w:w="-1" w:type="dxa"/>
              <w:bottom w:w="-1" w:type="dxa"/>
              <w:right w:w="-1" w:type="dxa"/>
            </w:tcMar>
            <w:vAlign w:val="center"/>
          </w:tcPr>
          <w:p w14:paraId="687355E5" w14:textId="77777777" w:rsidR="000B1CCE" w:rsidRDefault="00000000">
            <w:pPr>
              <w:snapToGrid w:val="0"/>
              <w:spacing w:before="20" w:after="20"/>
              <w:jc w:val="center"/>
              <w:rPr>
                <w:sz w:val="18"/>
                <w:szCs w:val="21"/>
              </w:rPr>
            </w:pPr>
            <w:r>
              <w:rPr>
                <w:rFonts w:ascii="Times New Roman" w:eastAsia="宋体" w:hAnsi="Times New Roman" w:cs="Times New Roman"/>
                <w:szCs w:val="21"/>
              </w:rPr>
              <w:t>15.50</w:t>
            </w:r>
          </w:p>
        </w:tc>
      </w:tr>
      <w:tr w:rsidR="000B1CCE" w14:paraId="665DD533"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F9C382D"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723CA0C" w14:textId="77777777" w:rsidR="000B1CCE" w:rsidRDefault="00000000">
            <w:pPr>
              <w:snapToGrid w:val="0"/>
              <w:spacing w:before="20" w:after="20"/>
              <w:jc w:val="center"/>
              <w:rPr>
                <w:sz w:val="18"/>
                <w:szCs w:val="21"/>
              </w:rPr>
            </w:pPr>
            <w:r>
              <w:rPr>
                <w:rFonts w:ascii="Times New Roman" w:eastAsia="宋体" w:hAnsi="Times New Roman" w:cs="Times New Roman"/>
                <w:szCs w:val="21"/>
              </w:rPr>
              <w:t>10</w:t>
            </w:r>
            <w:r>
              <w:rPr>
                <w:rFonts w:ascii="Times New Roman" w:eastAsia="宋体" w:hAnsi="Times New Roman" w:cs="Times New Roman"/>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330B14F0" w14:textId="77777777" w:rsidR="000B1CCE" w:rsidRDefault="00000000">
            <w:pPr>
              <w:snapToGrid w:val="0"/>
              <w:spacing w:before="20" w:after="20"/>
              <w:jc w:val="center"/>
              <w:rPr>
                <w:sz w:val="18"/>
                <w:szCs w:val="21"/>
              </w:rPr>
            </w:pPr>
            <w:r>
              <w:rPr>
                <w:rFonts w:ascii="Times New Roman" w:eastAsia="宋体" w:hAnsi="Times New Roman" w:cs="Times New Roman"/>
                <w:szCs w:val="21"/>
              </w:rPr>
              <w:t>61</w:t>
            </w:r>
          </w:p>
        </w:tc>
        <w:tc>
          <w:tcPr>
            <w:tcW w:w="2250" w:type="dxa"/>
            <w:tcBorders>
              <w:top w:val="nil"/>
              <w:left w:val="nil"/>
              <w:bottom w:val="nil"/>
              <w:right w:val="nil"/>
            </w:tcBorders>
            <w:tcMar>
              <w:top w:w="-1" w:type="dxa"/>
              <w:left w:w="-1" w:type="dxa"/>
              <w:bottom w:w="-1" w:type="dxa"/>
              <w:right w:w="-1" w:type="dxa"/>
            </w:tcMar>
            <w:vAlign w:val="center"/>
          </w:tcPr>
          <w:p w14:paraId="4B2F084A" w14:textId="77777777" w:rsidR="000B1CCE" w:rsidRDefault="00000000">
            <w:pPr>
              <w:snapToGrid w:val="0"/>
              <w:spacing w:before="20" w:after="20"/>
              <w:jc w:val="center"/>
              <w:rPr>
                <w:sz w:val="18"/>
                <w:szCs w:val="21"/>
              </w:rPr>
            </w:pPr>
            <w:r>
              <w:rPr>
                <w:rFonts w:ascii="Times New Roman" w:eastAsia="宋体" w:hAnsi="Times New Roman" w:cs="Times New Roman"/>
                <w:szCs w:val="21"/>
              </w:rPr>
              <w:t>47.29</w:t>
            </w:r>
          </w:p>
        </w:tc>
      </w:tr>
      <w:tr w:rsidR="000B1CCE" w14:paraId="095D2BA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38C8E8F5"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0E9DDA45" w14:textId="77777777" w:rsidR="000B1CCE" w:rsidRDefault="00000000">
            <w:pPr>
              <w:snapToGrid w:val="0"/>
              <w:spacing w:before="20" w:after="20"/>
              <w:jc w:val="center"/>
              <w:rPr>
                <w:sz w:val="18"/>
                <w:szCs w:val="21"/>
              </w:rPr>
            </w:pPr>
            <w:r>
              <w:rPr>
                <w:rFonts w:ascii="Times New Roman" w:eastAsia="宋体" w:hAnsi="Times New Roman" w:cs="Times New Roman"/>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58CB45AF" w14:textId="77777777" w:rsidR="000B1CCE" w:rsidRDefault="00000000">
            <w:pPr>
              <w:snapToGrid w:val="0"/>
              <w:spacing w:before="20" w:after="20"/>
              <w:jc w:val="center"/>
              <w:rPr>
                <w:sz w:val="18"/>
                <w:szCs w:val="21"/>
              </w:rPr>
            </w:pPr>
            <w:r>
              <w:rPr>
                <w:rFonts w:ascii="Times New Roman" w:eastAsia="宋体" w:hAnsi="Times New Roman" w:cs="Times New Roman"/>
                <w:szCs w:val="21"/>
              </w:rPr>
              <w:t>49</w:t>
            </w:r>
          </w:p>
        </w:tc>
        <w:tc>
          <w:tcPr>
            <w:tcW w:w="2250" w:type="dxa"/>
            <w:tcBorders>
              <w:top w:val="nil"/>
              <w:left w:val="nil"/>
              <w:bottom w:val="nil"/>
              <w:right w:val="nil"/>
            </w:tcBorders>
            <w:tcMar>
              <w:top w:w="-1" w:type="dxa"/>
              <w:left w:w="-1" w:type="dxa"/>
              <w:bottom w:w="-1" w:type="dxa"/>
              <w:right w:w="-1" w:type="dxa"/>
            </w:tcMar>
            <w:vAlign w:val="center"/>
          </w:tcPr>
          <w:p w14:paraId="093D2265" w14:textId="77777777" w:rsidR="000B1CCE" w:rsidRDefault="00000000">
            <w:pPr>
              <w:snapToGrid w:val="0"/>
              <w:spacing w:before="20" w:after="20"/>
              <w:jc w:val="center"/>
              <w:rPr>
                <w:sz w:val="18"/>
                <w:szCs w:val="21"/>
              </w:rPr>
            </w:pPr>
            <w:r>
              <w:rPr>
                <w:rFonts w:ascii="Times New Roman" w:eastAsia="宋体" w:hAnsi="Times New Roman" w:cs="Times New Roman"/>
                <w:szCs w:val="21"/>
              </w:rPr>
              <w:t>37.98</w:t>
            </w:r>
          </w:p>
        </w:tc>
      </w:tr>
      <w:tr w:rsidR="000B1CCE" w14:paraId="2843726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6613B0D"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B234C32" w14:textId="77777777" w:rsidR="000B1CCE" w:rsidRDefault="00000000">
            <w:pPr>
              <w:snapToGrid w:val="0"/>
              <w:spacing w:before="20" w:after="20"/>
              <w:jc w:val="center"/>
              <w:rPr>
                <w:sz w:val="18"/>
                <w:szCs w:val="21"/>
              </w:rPr>
            </w:pPr>
            <w:r>
              <w:rPr>
                <w:rFonts w:ascii="Times New Roman" w:eastAsia="宋体" w:hAnsi="Times New Roman" w:cs="Times New Roman"/>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442EF846" w14:textId="77777777" w:rsidR="000B1CCE" w:rsidRDefault="00000000">
            <w:pPr>
              <w:snapToGrid w:val="0"/>
              <w:spacing w:before="20" w:after="20"/>
              <w:jc w:val="center"/>
              <w:rPr>
                <w:sz w:val="18"/>
                <w:szCs w:val="21"/>
              </w:rPr>
            </w:pPr>
            <w:r>
              <w:rPr>
                <w:rFonts w:ascii="Times New Roman" w:eastAsia="宋体" w:hAnsi="Times New Roman" w:cs="Times New Roman"/>
                <w:szCs w:val="21"/>
              </w:rPr>
              <w:t>62</w:t>
            </w:r>
          </w:p>
        </w:tc>
        <w:tc>
          <w:tcPr>
            <w:tcW w:w="2250" w:type="dxa"/>
            <w:tcBorders>
              <w:top w:val="nil"/>
              <w:left w:val="nil"/>
              <w:bottom w:val="nil"/>
              <w:right w:val="nil"/>
            </w:tcBorders>
            <w:tcMar>
              <w:top w:w="-1" w:type="dxa"/>
              <w:left w:w="-1" w:type="dxa"/>
              <w:bottom w:w="-1" w:type="dxa"/>
              <w:right w:w="-1" w:type="dxa"/>
            </w:tcMar>
            <w:vAlign w:val="center"/>
          </w:tcPr>
          <w:p w14:paraId="58F774AA" w14:textId="77777777" w:rsidR="000B1CCE" w:rsidRDefault="00000000">
            <w:pPr>
              <w:snapToGrid w:val="0"/>
              <w:spacing w:before="20" w:after="20"/>
              <w:jc w:val="center"/>
              <w:rPr>
                <w:sz w:val="18"/>
                <w:szCs w:val="21"/>
              </w:rPr>
            </w:pPr>
            <w:r>
              <w:rPr>
                <w:rFonts w:ascii="Times New Roman" w:eastAsia="宋体" w:hAnsi="Times New Roman" w:cs="Times New Roman"/>
                <w:szCs w:val="21"/>
              </w:rPr>
              <w:t>48.06</w:t>
            </w:r>
          </w:p>
        </w:tc>
      </w:tr>
      <w:tr w:rsidR="000B1CCE" w14:paraId="4F14011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3E89A32E"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4145DE8C" w14:textId="77777777" w:rsidR="000B1CCE" w:rsidRDefault="00000000">
            <w:pPr>
              <w:snapToGrid w:val="0"/>
              <w:spacing w:before="20" w:after="20"/>
              <w:jc w:val="center"/>
              <w:rPr>
                <w:sz w:val="18"/>
                <w:szCs w:val="21"/>
              </w:rPr>
            </w:pPr>
            <w:r>
              <w:rPr>
                <w:rFonts w:ascii="Times New Roman" w:eastAsia="宋体" w:hAnsi="Times New Roman" w:cs="Times New Roman"/>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30777B99" w14:textId="77777777" w:rsidR="000B1CCE" w:rsidRDefault="00000000">
            <w:pPr>
              <w:snapToGrid w:val="0"/>
              <w:spacing w:before="20" w:after="20"/>
              <w:jc w:val="center"/>
              <w:rPr>
                <w:sz w:val="18"/>
                <w:szCs w:val="21"/>
              </w:rPr>
            </w:pPr>
            <w:r>
              <w:rPr>
                <w:rFonts w:ascii="Times New Roman" w:eastAsia="宋体" w:hAnsi="Times New Roman" w:cs="Times New Roman"/>
                <w:szCs w:val="21"/>
              </w:rPr>
              <w:t>18</w:t>
            </w:r>
          </w:p>
        </w:tc>
        <w:tc>
          <w:tcPr>
            <w:tcW w:w="2250" w:type="dxa"/>
            <w:tcBorders>
              <w:top w:val="nil"/>
              <w:left w:val="nil"/>
              <w:bottom w:val="nil"/>
              <w:right w:val="nil"/>
            </w:tcBorders>
            <w:tcMar>
              <w:top w:w="-1" w:type="dxa"/>
              <w:left w:w="-1" w:type="dxa"/>
              <w:bottom w:w="-1" w:type="dxa"/>
              <w:right w:w="-1" w:type="dxa"/>
            </w:tcMar>
            <w:vAlign w:val="center"/>
          </w:tcPr>
          <w:p w14:paraId="72CD7525" w14:textId="77777777" w:rsidR="000B1CCE" w:rsidRDefault="00000000">
            <w:pPr>
              <w:snapToGrid w:val="0"/>
              <w:spacing w:before="20" w:after="20"/>
              <w:jc w:val="center"/>
              <w:rPr>
                <w:sz w:val="18"/>
                <w:szCs w:val="21"/>
              </w:rPr>
            </w:pPr>
            <w:r>
              <w:rPr>
                <w:rFonts w:ascii="Times New Roman" w:eastAsia="宋体" w:hAnsi="Times New Roman" w:cs="Times New Roman"/>
                <w:szCs w:val="21"/>
              </w:rPr>
              <w:t>13.95</w:t>
            </w:r>
          </w:p>
        </w:tc>
      </w:tr>
      <w:tr w:rsidR="000B1CCE" w14:paraId="42776D8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D7B3B9B"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BAA7823" w14:textId="77777777" w:rsidR="000B1CCE" w:rsidRDefault="00000000">
            <w:pPr>
              <w:snapToGrid w:val="0"/>
              <w:spacing w:before="20" w:after="20"/>
              <w:jc w:val="center"/>
              <w:rPr>
                <w:sz w:val="18"/>
                <w:szCs w:val="21"/>
              </w:rPr>
            </w:pPr>
            <w:r>
              <w:rPr>
                <w:rFonts w:ascii="Times New Roman" w:eastAsia="宋体" w:hAnsi="Times New Roman" w:cs="Times New Roman"/>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25CF8D7D" w14:textId="77777777" w:rsidR="000B1CCE" w:rsidRDefault="00000000">
            <w:pPr>
              <w:snapToGrid w:val="0"/>
              <w:spacing w:before="20" w:after="20"/>
              <w:jc w:val="center"/>
              <w:rPr>
                <w:sz w:val="18"/>
                <w:szCs w:val="21"/>
              </w:rPr>
            </w:pPr>
            <w:r>
              <w:rPr>
                <w:rFonts w:ascii="Times New Roman" w:eastAsia="宋体" w:hAnsi="Times New Roman" w:cs="Times New Roman"/>
                <w:szCs w:val="21"/>
              </w:rPr>
              <w:t>86</w:t>
            </w:r>
          </w:p>
        </w:tc>
        <w:tc>
          <w:tcPr>
            <w:tcW w:w="2250" w:type="dxa"/>
            <w:tcBorders>
              <w:top w:val="nil"/>
              <w:left w:val="nil"/>
              <w:bottom w:val="nil"/>
              <w:right w:val="nil"/>
            </w:tcBorders>
            <w:tcMar>
              <w:top w:w="-1" w:type="dxa"/>
              <w:left w:w="-1" w:type="dxa"/>
              <w:bottom w:w="-1" w:type="dxa"/>
              <w:right w:w="-1" w:type="dxa"/>
            </w:tcMar>
            <w:vAlign w:val="center"/>
          </w:tcPr>
          <w:p w14:paraId="2673C5C9" w14:textId="77777777" w:rsidR="000B1CCE" w:rsidRDefault="00000000">
            <w:pPr>
              <w:snapToGrid w:val="0"/>
              <w:spacing w:before="20" w:after="20"/>
              <w:jc w:val="center"/>
              <w:rPr>
                <w:sz w:val="18"/>
                <w:szCs w:val="21"/>
              </w:rPr>
            </w:pPr>
            <w:r>
              <w:rPr>
                <w:rFonts w:ascii="Times New Roman" w:eastAsia="宋体" w:hAnsi="Times New Roman" w:cs="Times New Roman"/>
                <w:szCs w:val="21"/>
              </w:rPr>
              <w:t>66.67</w:t>
            </w:r>
          </w:p>
        </w:tc>
      </w:tr>
      <w:tr w:rsidR="000B1CCE" w14:paraId="4613C4E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AB1FF7A"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19A2DBF1" w14:textId="77777777" w:rsidR="000B1CCE" w:rsidRDefault="00000000">
            <w:pPr>
              <w:snapToGrid w:val="0"/>
              <w:spacing w:before="20" w:after="20"/>
              <w:jc w:val="center"/>
              <w:rPr>
                <w:sz w:val="18"/>
                <w:szCs w:val="21"/>
              </w:rPr>
            </w:pPr>
            <w:r>
              <w:rPr>
                <w:rFonts w:ascii="Times New Roman" w:eastAsia="宋体" w:hAnsi="Times New Roman" w:cs="Times New Roman"/>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17DC6054" w14:textId="77777777" w:rsidR="000B1CCE" w:rsidRDefault="00000000">
            <w:pPr>
              <w:snapToGrid w:val="0"/>
              <w:spacing w:before="20" w:after="20"/>
              <w:jc w:val="center"/>
              <w:rPr>
                <w:sz w:val="18"/>
                <w:szCs w:val="21"/>
              </w:rPr>
            </w:pPr>
            <w:r>
              <w:rPr>
                <w:rFonts w:ascii="Times New Roman" w:eastAsia="宋体" w:hAnsi="Times New Roman" w:cs="Times New Roman"/>
                <w:szCs w:val="21"/>
              </w:rPr>
              <w:t>43</w:t>
            </w:r>
          </w:p>
        </w:tc>
        <w:tc>
          <w:tcPr>
            <w:tcW w:w="2250" w:type="dxa"/>
            <w:tcBorders>
              <w:top w:val="nil"/>
              <w:left w:val="nil"/>
              <w:bottom w:val="nil"/>
              <w:right w:val="nil"/>
            </w:tcBorders>
            <w:tcMar>
              <w:top w:w="-1" w:type="dxa"/>
              <w:left w:w="-1" w:type="dxa"/>
              <w:bottom w:w="-1" w:type="dxa"/>
              <w:right w:w="-1" w:type="dxa"/>
            </w:tcMar>
            <w:vAlign w:val="center"/>
          </w:tcPr>
          <w:p w14:paraId="7C683DB2" w14:textId="77777777" w:rsidR="000B1CCE" w:rsidRDefault="00000000">
            <w:pPr>
              <w:snapToGrid w:val="0"/>
              <w:spacing w:before="20" w:after="20"/>
              <w:jc w:val="center"/>
              <w:rPr>
                <w:sz w:val="18"/>
                <w:szCs w:val="21"/>
              </w:rPr>
            </w:pPr>
            <w:r>
              <w:rPr>
                <w:rFonts w:ascii="Times New Roman" w:eastAsia="宋体" w:hAnsi="Times New Roman" w:cs="Times New Roman"/>
                <w:szCs w:val="21"/>
              </w:rPr>
              <w:t>33.33</w:t>
            </w:r>
          </w:p>
        </w:tc>
      </w:tr>
      <w:tr w:rsidR="000B1CCE" w14:paraId="2605C20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F76D49F"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0CC7C2C3" w14:textId="77777777" w:rsidR="000B1CCE" w:rsidRDefault="00000000">
            <w:pPr>
              <w:snapToGrid w:val="0"/>
              <w:spacing w:before="20" w:after="20"/>
              <w:jc w:val="center"/>
              <w:rPr>
                <w:sz w:val="18"/>
                <w:szCs w:val="21"/>
              </w:rPr>
            </w:pPr>
            <w:r>
              <w:rPr>
                <w:rFonts w:ascii="Times New Roman" w:eastAsia="宋体" w:hAnsi="Times New Roman" w:cs="Times New Roman"/>
                <w:szCs w:val="21"/>
              </w:rPr>
              <w:t>是</w:t>
            </w:r>
          </w:p>
        </w:tc>
        <w:tc>
          <w:tcPr>
            <w:tcW w:w="1187" w:type="dxa"/>
            <w:tcBorders>
              <w:top w:val="nil"/>
              <w:left w:val="nil"/>
              <w:bottom w:val="nil"/>
              <w:right w:val="nil"/>
            </w:tcBorders>
            <w:tcMar>
              <w:top w:w="-1" w:type="dxa"/>
              <w:left w:w="-1" w:type="dxa"/>
              <w:bottom w:w="-1" w:type="dxa"/>
              <w:right w:w="-1" w:type="dxa"/>
            </w:tcMar>
            <w:vAlign w:val="center"/>
          </w:tcPr>
          <w:p w14:paraId="66877500" w14:textId="77777777" w:rsidR="000B1CCE" w:rsidRDefault="00000000">
            <w:pPr>
              <w:snapToGrid w:val="0"/>
              <w:spacing w:before="20" w:after="20"/>
              <w:jc w:val="center"/>
              <w:rPr>
                <w:sz w:val="18"/>
                <w:szCs w:val="21"/>
              </w:rPr>
            </w:pPr>
            <w:r>
              <w:rPr>
                <w:rFonts w:ascii="Times New Roman" w:eastAsia="宋体" w:hAnsi="Times New Roman" w:cs="Times New Roman"/>
                <w:szCs w:val="21"/>
              </w:rPr>
              <w:t>103</w:t>
            </w:r>
          </w:p>
        </w:tc>
        <w:tc>
          <w:tcPr>
            <w:tcW w:w="2250" w:type="dxa"/>
            <w:tcBorders>
              <w:top w:val="nil"/>
              <w:left w:val="nil"/>
              <w:bottom w:val="nil"/>
              <w:right w:val="nil"/>
            </w:tcBorders>
            <w:tcMar>
              <w:top w:w="-1" w:type="dxa"/>
              <w:left w:w="-1" w:type="dxa"/>
              <w:bottom w:w="-1" w:type="dxa"/>
              <w:right w:w="-1" w:type="dxa"/>
            </w:tcMar>
            <w:vAlign w:val="center"/>
          </w:tcPr>
          <w:p w14:paraId="75A069BF" w14:textId="77777777" w:rsidR="000B1CCE" w:rsidRDefault="00000000">
            <w:pPr>
              <w:snapToGrid w:val="0"/>
              <w:spacing w:before="20" w:after="20"/>
              <w:jc w:val="center"/>
              <w:rPr>
                <w:sz w:val="18"/>
                <w:szCs w:val="21"/>
              </w:rPr>
            </w:pPr>
            <w:r>
              <w:rPr>
                <w:rFonts w:ascii="Times New Roman" w:eastAsia="宋体" w:hAnsi="Times New Roman" w:cs="Times New Roman"/>
                <w:szCs w:val="21"/>
              </w:rPr>
              <w:t>79.84</w:t>
            </w:r>
          </w:p>
        </w:tc>
      </w:tr>
      <w:tr w:rsidR="000B1CCE" w14:paraId="2BC2AD38" w14:textId="77777777">
        <w:trPr>
          <w:jc w:val="center"/>
        </w:trPr>
        <w:tc>
          <w:tcPr>
            <w:tcW w:w="2736" w:type="dxa"/>
            <w:tcBorders>
              <w:top w:val="nil"/>
              <w:left w:val="nil"/>
              <w:bottom w:val="single" w:sz="12" w:space="0" w:color="000000"/>
              <w:right w:val="nil"/>
            </w:tcBorders>
            <w:tcMar>
              <w:top w:w="-1" w:type="dxa"/>
              <w:left w:w="-1" w:type="dxa"/>
              <w:bottom w:w="-1" w:type="dxa"/>
              <w:right w:w="-1" w:type="dxa"/>
            </w:tcMar>
            <w:vAlign w:val="center"/>
          </w:tcPr>
          <w:p w14:paraId="45F1EB00"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single" w:sz="12" w:space="0" w:color="000000"/>
              <w:right w:val="nil"/>
            </w:tcBorders>
            <w:tcMar>
              <w:top w:w="-1" w:type="dxa"/>
              <w:left w:w="-1" w:type="dxa"/>
              <w:bottom w:w="-1" w:type="dxa"/>
              <w:right w:w="-1" w:type="dxa"/>
            </w:tcMar>
            <w:vAlign w:val="center"/>
          </w:tcPr>
          <w:p w14:paraId="6CD13205" w14:textId="77777777" w:rsidR="000B1CCE" w:rsidRDefault="00000000">
            <w:pPr>
              <w:snapToGrid w:val="0"/>
              <w:spacing w:before="20" w:after="20"/>
              <w:jc w:val="center"/>
              <w:rPr>
                <w:sz w:val="18"/>
                <w:szCs w:val="21"/>
              </w:rPr>
            </w:pPr>
            <w:r>
              <w:rPr>
                <w:rFonts w:ascii="Times New Roman" w:eastAsia="宋体" w:hAnsi="Times New Roman" w:cs="Times New Roman"/>
                <w:szCs w:val="21"/>
              </w:rPr>
              <w:t>否</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078CD8C"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single" w:sz="12" w:space="0" w:color="000000"/>
              <w:right w:val="nil"/>
            </w:tcBorders>
            <w:tcMar>
              <w:top w:w="-1" w:type="dxa"/>
              <w:left w:w="-1" w:type="dxa"/>
              <w:bottom w:w="-1" w:type="dxa"/>
              <w:right w:w="-1" w:type="dxa"/>
            </w:tcMar>
            <w:vAlign w:val="center"/>
          </w:tcPr>
          <w:p w14:paraId="257244B5"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bl>
    <w:p w14:paraId="667C128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样本中，教龄</w:t>
      </w:r>
      <w:r>
        <w:rPr>
          <w:rFonts w:ascii="Times New Roman" w:eastAsia="宋体" w:hAnsi="Times New Roman" w:cs="Times New Roman"/>
          <w:sz w:val="24"/>
        </w:rPr>
        <w:t>10</w:t>
      </w:r>
      <w:r>
        <w:rPr>
          <w:rFonts w:ascii="Times New Roman" w:eastAsia="宋体" w:hAnsi="Times New Roman" w:cs="Times New Roman"/>
          <w:sz w:val="24"/>
        </w:rPr>
        <w:t>年以上教师</w:t>
      </w:r>
      <w:r>
        <w:rPr>
          <w:rFonts w:ascii="Times New Roman" w:eastAsia="宋体" w:hAnsi="Times New Roman" w:cs="Times New Roman"/>
          <w:sz w:val="24"/>
        </w:rPr>
        <w:t>61</w:t>
      </w:r>
      <w:r>
        <w:rPr>
          <w:rFonts w:ascii="Times New Roman" w:eastAsia="宋体" w:hAnsi="Times New Roman" w:cs="Times New Roman"/>
          <w:sz w:val="24"/>
        </w:rPr>
        <w:t>人（</w:t>
      </w:r>
      <w:r>
        <w:rPr>
          <w:rFonts w:ascii="Times New Roman" w:eastAsia="宋体" w:hAnsi="Times New Roman" w:cs="Times New Roman"/>
          <w:sz w:val="24"/>
        </w:rPr>
        <w:t>47.29%</w:t>
      </w:r>
      <w:r>
        <w:rPr>
          <w:rFonts w:ascii="Times New Roman" w:eastAsia="宋体" w:hAnsi="Times New Roman" w:cs="Times New Roman"/>
          <w:sz w:val="24"/>
        </w:rPr>
        <w:t>），中级职称教师</w:t>
      </w:r>
      <w:r>
        <w:rPr>
          <w:rFonts w:ascii="Times New Roman" w:eastAsia="宋体" w:hAnsi="Times New Roman" w:cs="Times New Roman"/>
          <w:sz w:val="24"/>
        </w:rPr>
        <w:t>62</w:t>
      </w:r>
      <w:r>
        <w:rPr>
          <w:rFonts w:ascii="Times New Roman" w:eastAsia="宋体" w:hAnsi="Times New Roman" w:cs="Times New Roman"/>
          <w:sz w:val="24"/>
        </w:rPr>
        <w:t>人（</w:t>
      </w:r>
      <w:r>
        <w:rPr>
          <w:rFonts w:ascii="Times New Roman" w:eastAsia="宋体" w:hAnsi="Times New Roman" w:cs="Times New Roman"/>
          <w:sz w:val="24"/>
        </w:rPr>
        <w:t>48.06%</w:t>
      </w:r>
      <w:r>
        <w:rPr>
          <w:rFonts w:ascii="Times New Roman" w:eastAsia="宋体" w:hAnsi="Times New Roman" w:cs="Times New Roman"/>
          <w:sz w:val="24"/>
        </w:rPr>
        <w:t>）；初中教师</w:t>
      </w:r>
      <w:r>
        <w:rPr>
          <w:rFonts w:ascii="Times New Roman" w:eastAsia="宋体" w:hAnsi="Times New Roman" w:cs="Times New Roman"/>
          <w:sz w:val="24"/>
        </w:rPr>
        <w:t>86</w:t>
      </w:r>
      <w:r>
        <w:rPr>
          <w:rFonts w:ascii="Times New Roman" w:eastAsia="宋体" w:hAnsi="Times New Roman" w:cs="Times New Roman"/>
          <w:sz w:val="24"/>
        </w:rPr>
        <w:t>人（</w:t>
      </w:r>
      <w:r>
        <w:rPr>
          <w:rFonts w:ascii="Times New Roman" w:eastAsia="宋体" w:hAnsi="Times New Roman" w:cs="Times New Roman"/>
          <w:sz w:val="24"/>
        </w:rPr>
        <w:t>66.67%</w:t>
      </w:r>
      <w:r>
        <w:rPr>
          <w:rFonts w:ascii="Times New Roman" w:eastAsia="宋体" w:hAnsi="Times New Roman" w:cs="Times New Roman"/>
          <w:sz w:val="24"/>
        </w:rPr>
        <w:t>），高中教师</w:t>
      </w:r>
      <w:r>
        <w:rPr>
          <w:rFonts w:ascii="Times New Roman" w:eastAsia="宋体" w:hAnsi="Times New Roman" w:cs="Times New Roman"/>
          <w:sz w:val="24"/>
        </w:rPr>
        <w:t>43</w:t>
      </w:r>
      <w:r>
        <w:rPr>
          <w:rFonts w:ascii="Times New Roman" w:eastAsia="宋体" w:hAnsi="Times New Roman" w:cs="Times New Roman"/>
          <w:sz w:val="24"/>
        </w:rPr>
        <w:t>人（</w:t>
      </w:r>
      <w:r>
        <w:rPr>
          <w:rFonts w:ascii="Times New Roman" w:eastAsia="宋体" w:hAnsi="Times New Roman" w:cs="Times New Roman"/>
          <w:sz w:val="24"/>
        </w:rPr>
        <w:t>33.33%</w:t>
      </w:r>
      <w:r>
        <w:rPr>
          <w:rFonts w:ascii="Times New Roman" w:eastAsia="宋体" w:hAnsi="Times New Roman" w:cs="Times New Roman"/>
          <w:sz w:val="24"/>
        </w:rPr>
        <w:t>）。前测已有相关培训经历者</w:t>
      </w:r>
      <w:r>
        <w:rPr>
          <w:rFonts w:ascii="Times New Roman" w:eastAsia="宋体" w:hAnsi="Times New Roman" w:cs="Times New Roman"/>
          <w:sz w:val="24"/>
        </w:rPr>
        <w:t>103</w:t>
      </w:r>
      <w:r>
        <w:rPr>
          <w:rFonts w:ascii="Times New Roman" w:eastAsia="宋体" w:hAnsi="Times New Roman" w:cs="Times New Roman"/>
          <w:sz w:val="24"/>
        </w:rPr>
        <w:t>人（</w:t>
      </w:r>
      <w:r>
        <w:rPr>
          <w:rFonts w:ascii="Times New Roman" w:eastAsia="宋体" w:hAnsi="Times New Roman" w:cs="Times New Roman"/>
          <w:sz w:val="24"/>
        </w:rPr>
        <w:t>79.84%</w:t>
      </w:r>
      <w:r>
        <w:rPr>
          <w:rFonts w:ascii="Times New Roman" w:eastAsia="宋体" w:hAnsi="Times New Roman" w:cs="Times New Roman"/>
          <w:sz w:val="24"/>
        </w:rPr>
        <w:t>），说明参与教师多数在研究实施前已接触相关培训或教研活</w:t>
      </w:r>
      <w:r>
        <w:rPr>
          <w:rFonts w:ascii="Times New Roman" w:eastAsia="宋体" w:hAnsi="Times New Roman" w:cs="Times New Roman"/>
          <w:sz w:val="24"/>
        </w:rPr>
        <w:lastRenderedPageBreak/>
        <w:t>动。</w:t>
      </w:r>
    </w:p>
    <w:p w14:paraId="40DFFFC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）学科分布与维度计分</w:t>
      </w:r>
    </w:p>
    <w:p w14:paraId="6C63CE8D"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3-55  </w:t>
      </w:r>
      <w:r>
        <w:rPr>
          <w:rFonts w:ascii="Times New Roman" w:eastAsia="黑体" w:hAnsi="Times New Roman" w:cs="Times New Roman"/>
        </w:rPr>
        <w:t>纳入匹配表的教师学科分布（</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459"/>
        <w:gridCol w:w="1745"/>
        <w:gridCol w:w="3315"/>
      </w:tblGrid>
      <w:tr w:rsidR="000B1CCE" w14:paraId="312BF243" w14:textId="77777777">
        <w:trPr>
          <w:tblHeader/>
          <w:jc w:val="center"/>
        </w:trPr>
        <w:tc>
          <w:tcPr>
            <w:tcW w:w="34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F7FAF2" w14:textId="77777777" w:rsidR="000B1CCE" w:rsidRDefault="00000000">
            <w:pPr>
              <w:snapToGrid w:val="0"/>
              <w:spacing w:before="20" w:after="20"/>
              <w:jc w:val="center"/>
              <w:rPr>
                <w:b/>
              </w:rPr>
            </w:pPr>
            <w:r>
              <w:rPr>
                <w:rFonts w:ascii="Times New Roman" w:eastAsia="宋体" w:hAnsi="Times New Roman" w:cs="Times New Roman"/>
                <w:b/>
              </w:rPr>
              <w:t>学科</w:t>
            </w:r>
          </w:p>
        </w:tc>
        <w:tc>
          <w:tcPr>
            <w:tcW w:w="17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62FC32" w14:textId="77777777" w:rsidR="000B1CCE" w:rsidRDefault="00000000">
            <w:pPr>
              <w:snapToGrid w:val="0"/>
              <w:spacing w:before="20" w:after="20"/>
              <w:jc w:val="center"/>
              <w:rPr>
                <w:b/>
              </w:rPr>
            </w:pPr>
            <w:r>
              <w:rPr>
                <w:rFonts w:ascii="Times New Roman" w:eastAsia="宋体" w:hAnsi="Times New Roman" w:cs="Times New Roman"/>
                <w:b/>
              </w:rPr>
              <w:t>人数</w:t>
            </w:r>
          </w:p>
        </w:tc>
        <w:tc>
          <w:tcPr>
            <w:tcW w:w="33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71BB52" w14:textId="77777777" w:rsidR="000B1CCE" w:rsidRDefault="00000000">
            <w:pPr>
              <w:snapToGrid w:val="0"/>
              <w:spacing w:before="20" w:after="20"/>
              <w:jc w:val="center"/>
              <w:rPr>
                <w:b/>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0E05BBA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F9B407" w14:textId="77777777" w:rsidR="000B1CCE" w:rsidRDefault="00000000">
            <w:pPr>
              <w:snapToGrid w:val="0"/>
              <w:spacing w:before="20" w:after="20"/>
              <w:jc w:val="center"/>
            </w:pPr>
            <w:r>
              <w:rPr>
                <w:rFonts w:ascii="Times New Roman" w:eastAsia="宋体" w:hAnsi="Times New Roman" w:cs="Times New Roman"/>
              </w:rPr>
              <w:t>语文</w:t>
            </w:r>
          </w:p>
        </w:tc>
        <w:tc>
          <w:tcPr>
            <w:tcW w:w="1745" w:type="dxa"/>
            <w:tcBorders>
              <w:top w:val="nil"/>
              <w:left w:val="nil"/>
              <w:bottom w:val="nil"/>
              <w:right w:val="nil"/>
            </w:tcBorders>
            <w:tcMar>
              <w:top w:w="-1" w:type="dxa"/>
              <w:left w:w="-1" w:type="dxa"/>
              <w:bottom w:w="-1" w:type="dxa"/>
              <w:right w:w="-1" w:type="dxa"/>
            </w:tcMar>
            <w:vAlign w:val="center"/>
          </w:tcPr>
          <w:p w14:paraId="6F7C5984" w14:textId="77777777" w:rsidR="000B1CCE" w:rsidRDefault="00000000">
            <w:pPr>
              <w:snapToGrid w:val="0"/>
              <w:spacing w:before="20" w:after="20"/>
              <w:jc w:val="center"/>
            </w:pPr>
            <w:r>
              <w:rPr>
                <w:rFonts w:ascii="Times New Roman" w:eastAsia="宋体" w:hAnsi="Times New Roman" w:cs="Times New Roman"/>
              </w:rPr>
              <w:t>29</w:t>
            </w:r>
          </w:p>
        </w:tc>
        <w:tc>
          <w:tcPr>
            <w:tcW w:w="3315" w:type="dxa"/>
            <w:tcBorders>
              <w:top w:val="nil"/>
              <w:left w:val="nil"/>
              <w:bottom w:val="nil"/>
              <w:right w:val="nil"/>
            </w:tcBorders>
            <w:tcMar>
              <w:top w:w="-1" w:type="dxa"/>
              <w:left w:w="-1" w:type="dxa"/>
              <w:bottom w:w="-1" w:type="dxa"/>
              <w:right w:w="-1" w:type="dxa"/>
            </w:tcMar>
            <w:vAlign w:val="center"/>
          </w:tcPr>
          <w:p w14:paraId="1083093A" w14:textId="77777777" w:rsidR="000B1CCE" w:rsidRDefault="00000000">
            <w:pPr>
              <w:snapToGrid w:val="0"/>
              <w:spacing w:before="20" w:after="20"/>
              <w:jc w:val="center"/>
            </w:pPr>
            <w:r>
              <w:rPr>
                <w:rFonts w:ascii="Times New Roman" w:eastAsia="宋体" w:hAnsi="Times New Roman" w:cs="Times New Roman"/>
              </w:rPr>
              <w:t>22.48</w:t>
            </w:r>
          </w:p>
        </w:tc>
      </w:tr>
      <w:tr w:rsidR="000B1CCE" w14:paraId="35B6A54B"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CFDD23D" w14:textId="77777777" w:rsidR="000B1CCE" w:rsidRDefault="00000000">
            <w:pPr>
              <w:snapToGrid w:val="0"/>
              <w:spacing w:before="20" w:after="20"/>
              <w:jc w:val="center"/>
            </w:pPr>
            <w:r>
              <w:rPr>
                <w:rFonts w:ascii="Times New Roman" w:eastAsia="宋体" w:hAnsi="Times New Roman" w:cs="Times New Roman"/>
              </w:rPr>
              <w:t>英语</w:t>
            </w:r>
          </w:p>
        </w:tc>
        <w:tc>
          <w:tcPr>
            <w:tcW w:w="1745" w:type="dxa"/>
            <w:tcBorders>
              <w:top w:val="nil"/>
              <w:left w:val="nil"/>
              <w:bottom w:val="nil"/>
              <w:right w:val="nil"/>
            </w:tcBorders>
            <w:tcMar>
              <w:top w:w="-1" w:type="dxa"/>
              <w:left w:w="-1" w:type="dxa"/>
              <w:bottom w:w="-1" w:type="dxa"/>
              <w:right w:w="-1" w:type="dxa"/>
            </w:tcMar>
            <w:vAlign w:val="center"/>
          </w:tcPr>
          <w:p w14:paraId="00772157" w14:textId="77777777" w:rsidR="000B1CCE" w:rsidRDefault="00000000">
            <w:pPr>
              <w:snapToGrid w:val="0"/>
              <w:spacing w:before="20" w:after="20"/>
              <w:jc w:val="center"/>
            </w:pPr>
            <w:r>
              <w:rPr>
                <w:rFonts w:ascii="Times New Roman" w:eastAsia="宋体" w:hAnsi="Times New Roman" w:cs="Times New Roman"/>
              </w:rPr>
              <w:t>19</w:t>
            </w:r>
          </w:p>
        </w:tc>
        <w:tc>
          <w:tcPr>
            <w:tcW w:w="3315" w:type="dxa"/>
            <w:tcBorders>
              <w:top w:val="nil"/>
              <w:left w:val="nil"/>
              <w:bottom w:val="nil"/>
              <w:right w:val="nil"/>
            </w:tcBorders>
            <w:tcMar>
              <w:top w:w="-1" w:type="dxa"/>
              <w:left w:w="-1" w:type="dxa"/>
              <w:bottom w:w="-1" w:type="dxa"/>
              <w:right w:w="-1" w:type="dxa"/>
            </w:tcMar>
            <w:vAlign w:val="center"/>
          </w:tcPr>
          <w:p w14:paraId="7546BC67" w14:textId="77777777" w:rsidR="000B1CCE" w:rsidRDefault="00000000">
            <w:pPr>
              <w:snapToGrid w:val="0"/>
              <w:spacing w:before="20" w:after="20"/>
              <w:jc w:val="center"/>
            </w:pPr>
            <w:r>
              <w:rPr>
                <w:rFonts w:ascii="Times New Roman" w:eastAsia="宋体" w:hAnsi="Times New Roman" w:cs="Times New Roman"/>
              </w:rPr>
              <w:t>14.73</w:t>
            </w:r>
          </w:p>
        </w:tc>
      </w:tr>
      <w:tr w:rsidR="000B1CCE" w14:paraId="6CC1AF9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AF00670" w14:textId="77777777" w:rsidR="000B1CCE" w:rsidRDefault="00000000">
            <w:pPr>
              <w:snapToGrid w:val="0"/>
              <w:spacing w:before="20" w:after="20"/>
              <w:jc w:val="center"/>
            </w:pPr>
            <w:r>
              <w:rPr>
                <w:rFonts w:ascii="Times New Roman" w:eastAsia="宋体" w:hAnsi="Times New Roman" w:cs="Times New Roman"/>
              </w:rPr>
              <w:t>体育与健康</w:t>
            </w:r>
          </w:p>
        </w:tc>
        <w:tc>
          <w:tcPr>
            <w:tcW w:w="1745" w:type="dxa"/>
            <w:tcBorders>
              <w:top w:val="nil"/>
              <w:left w:val="nil"/>
              <w:bottom w:val="nil"/>
              <w:right w:val="nil"/>
            </w:tcBorders>
            <w:tcMar>
              <w:top w:w="-1" w:type="dxa"/>
              <w:left w:w="-1" w:type="dxa"/>
              <w:bottom w:w="-1" w:type="dxa"/>
              <w:right w:w="-1" w:type="dxa"/>
            </w:tcMar>
            <w:vAlign w:val="center"/>
          </w:tcPr>
          <w:p w14:paraId="2533C883" w14:textId="77777777" w:rsidR="000B1CCE" w:rsidRDefault="00000000">
            <w:pPr>
              <w:snapToGrid w:val="0"/>
              <w:spacing w:before="20" w:after="20"/>
              <w:jc w:val="center"/>
            </w:pPr>
            <w:r>
              <w:rPr>
                <w:rFonts w:ascii="Times New Roman" w:eastAsia="宋体" w:hAnsi="Times New Roman" w:cs="Times New Roman"/>
              </w:rPr>
              <w:t>15</w:t>
            </w:r>
          </w:p>
        </w:tc>
        <w:tc>
          <w:tcPr>
            <w:tcW w:w="3315" w:type="dxa"/>
            <w:tcBorders>
              <w:top w:val="nil"/>
              <w:left w:val="nil"/>
              <w:bottom w:val="nil"/>
              <w:right w:val="nil"/>
            </w:tcBorders>
            <w:tcMar>
              <w:top w:w="-1" w:type="dxa"/>
              <w:left w:w="-1" w:type="dxa"/>
              <w:bottom w:w="-1" w:type="dxa"/>
              <w:right w:w="-1" w:type="dxa"/>
            </w:tcMar>
            <w:vAlign w:val="center"/>
          </w:tcPr>
          <w:p w14:paraId="4EA00A8D" w14:textId="77777777" w:rsidR="000B1CCE" w:rsidRDefault="00000000">
            <w:pPr>
              <w:snapToGrid w:val="0"/>
              <w:spacing w:before="20" w:after="20"/>
              <w:jc w:val="center"/>
            </w:pPr>
            <w:r>
              <w:rPr>
                <w:rFonts w:ascii="Times New Roman" w:eastAsia="宋体" w:hAnsi="Times New Roman" w:cs="Times New Roman"/>
              </w:rPr>
              <w:t>11.63</w:t>
            </w:r>
          </w:p>
        </w:tc>
      </w:tr>
      <w:tr w:rsidR="000B1CCE" w14:paraId="4E0D2ECB"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D79408A" w14:textId="77777777" w:rsidR="000B1CCE" w:rsidRDefault="00000000">
            <w:pPr>
              <w:snapToGrid w:val="0"/>
              <w:spacing w:before="20" w:after="20"/>
              <w:jc w:val="center"/>
            </w:pPr>
            <w:r>
              <w:rPr>
                <w:rFonts w:ascii="Times New Roman" w:eastAsia="宋体" w:hAnsi="Times New Roman" w:cs="Times New Roman"/>
              </w:rPr>
              <w:t>数学</w:t>
            </w:r>
          </w:p>
        </w:tc>
        <w:tc>
          <w:tcPr>
            <w:tcW w:w="1745" w:type="dxa"/>
            <w:tcBorders>
              <w:top w:val="nil"/>
              <w:left w:val="nil"/>
              <w:bottom w:val="nil"/>
              <w:right w:val="nil"/>
            </w:tcBorders>
            <w:tcMar>
              <w:top w:w="-1" w:type="dxa"/>
              <w:left w:w="-1" w:type="dxa"/>
              <w:bottom w:w="-1" w:type="dxa"/>
              <w:right w:w="-1" w:type="dxa"/>
            </w:tcMar>
            <w:vAlign w:val="center"/>
          </w:tcPr>
          <w:p w14:paraId="0FADD982" w14:textId="77777777" w:rsidR="000B1CCE" w:rsidRDefault="00000000">
            <w:pPr>
              <w:snapToGrid w:val="0"/>
              <w:spacing w:before="20" w:after="20"/>
              <w:jc w:val="center"/>
            </w:pPr>
            <w:r>
              <w:rPr>
                <w:rFonts w:ascii="Times New Roman" w:eastAsia="宋体" w:hAnsi="Times New Roman" w:cs="Times New Roman"/>
              </w:rPr>
              <w:t>14</w:t>
            </w:r>
          </w:p>
        </w:tc>
        <w:tc>
          <w:tcPr>
            <w:tcW w:w="3315" w:type="dxa"/>
            <w:tcBorders>
              <w:top w:val="nil"/>
              <w:left w:val="nil"/>
              <w:bottom w:val="nil"/>
              <w:right w:val="nil"/>
            </w:tcBorders>
            <w:tcMar>
              <w:top w:w="-1" w:type="dxa"/>
              <w:left w:w="-1" w:type="dxa"/>
              <w:bottom w:w="-1" w:type="dxa"/>
              <w:right w:w="-1" w:type="dxa"/>
            </w:tcMar>
            <w:vAlign w:val="center"/>
          </w:tcPr>
          <w:p w14:paraId="1B7E0EDF" w14:textId="77777777" w:rsidR="000B1CCE" w:rsidRDefault="00000000">
            <w:pPr>
              <w:snapToGrid w:val="0"/>
              <w:spacing w:before="20" w:after="20"/>
              <w:jc w:val="center"/>
            </w:pPr>
            <w:r>
              <w:rPr>
                <w:rFonts w:ascii="Times New Roman" w:eastAsia="宋体" w:hAnsi="Times New Roman" w:cs="Times New Roman"/>
              </w:rPr>
              <w:t>10.85</w:t>
            </w:r>
          </w:p>
        </w:tc>
      </w:tr>
      <w:tr w:rsidR="000B1CCE" w14:paraId="379D639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AC8FAE9" w14:textId="77777777" w:rsidR="000B1CCE" w:rsidRDefault="00000000">
            <w:pPr>
              <w:snapToGrid w:val="0"/>
              <w:spacing w:before="20" w:after="20"/>
              <w:jc w:val="center"/>
            </w:pPr>
            <w:r>
              <w:rPr>
                <w:rFonts w:ascii="Times New Roman" w:eastAsia="宋体" w:hAnsi="Times New Roman" w:cs="Times New Roman"/>
              </w:rPr>
              <w:t>艺术</w:t>
            </w:r>
          </w:p>
        </w:tc>
        <w:tc>
          <w:tcPr>
            <w:tcW w:w="1745" w:type="dxa"/>
            <w:tcBorders>
              <w:top w:val="nil"/>
              <w:left w:val="nil"/>
              <w:bottom w:val="nil"/>
              <w:right w:val="nil"/>
            </w:tcBorders>
            <w:tcMar>
              <w:top w:w="-1" w:type="dxa"/>
              <w:left w:w="-1" w:type="dxa"/>
              <w:bottom w:w="-1" w:type="dxa"/>
              <w:right w:w="-1" w:type="dxa"/>
            </w:tcMar>
            <w:vAlign w:val="center"/>
          </w:tcPr>
          <w:p w14:paraId="3B4E9C54"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51D01AB5" w14:textId="77777777" w:rsidR="000B1CCE" w:rsidRDefault="00000000">
            <w:pPr>
              <w:snapToGrid w:val="0"/>
              <w:spacing w:before="20" w:after="20"/>
              <w:jc w:val="center"/>
            </w:pPr>
            <w:r>
              <w:rPr>
                <w:rFonts w:ascii="Times New Roman" w:eastAsia="宋体" w:hAnsi="Times New Roman" w:cs="Times New Roman"/>
              </w:rPr>
              <w:t>8.53</w:t>
            </w:r>
          </w:p>
        </w:tc>
      </w:tr>
      <w:tr w:rsidR="000B1CCE" w14:paraId="17E94950"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C01E5BB" w14:textId="77777777" w:rsidR="000B1CCE" w:rsidRDefault="00000000">
            <w:pPr>
              <w:snapToGrid w:val="0"/>
              <w:spacing w:before="20" w:after="20"/>
              <w:jc w:val="center"/>
            </w:pPr>
            <w:r>
              <w:rPr>
                <w:rFonts w:ascii="Times New Roman" w:eastAsia="宋体" w:hAnsi="Times New Roman" w:cs="Times New Roman"/>
              </w:rPr>
              <w:t>物理</w:t>
            </w:r>
          </w:p>
        </w:tc>
        <w:tc>
          <w:tcPr>
            <w:tcW w:w="1745" w:type="dxa"/>
            <w:tcBorders>
              <w:top w:val="nil"/>
              <w:left w:val="nil"/>
              <w:bottom w:val="nil"/>
              <w:right w:val="nil"/>
            </w:tcBorders>
            <w:tcMar>
              <w:top w:w="-1" w:type="dxa"/>
              <w:left w:w="-1" w:type="dxa"/>
              <w:bottom w:w="-1" w:type="dxa"/>
              <w:right w:w="-1" w:type="dxa"/>
            </w:tcMar>
            <w:vAlign w:val="center"/>
          </w:tcPr>
          <w:p w14:paraId="5FD6FCEA"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55B18FDF" w14:textId="77777777" w:rsidR="000B1CCE" w:rsidRDefault="00000000">
            <w:pPr>
              <w:snapToGrid w:val="0"/>
              <w:spacing w:before="20" w:after="20"/>
              <w:jc w:val="center"/>
            </w:pPr>
            <w:r>
              <w:rPr>
                <w:rFonts w:ascii="Times New Roman" w:eastAsia="宋体" w:hAnsi="Times New Roman" w:cs="Times New Roman"/>
              </w:rPr>
              <w:t>8.53</w:t>
            </w:r>
          </w:p>
        </w:tc>
      </w:tr>
      <w:tr w:rsidR="000B1CCE" w14:paraId="5BD7A2A6"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BAE39BB" w14:textId="77777777" w:rsidR="000B1CCE" w:rsidRDefault="00000000">
            <w:pPr>
              <w:snapToGrid w:val="0"/>
              <w:spacing w:before="20" w:after="20"/>
              <w:jc w:val="center"/>
            </w:pPr>
            <w:r>
              <w:rPr>
                <w:rFonts w:ascii="Times New Roman" w:eastAsia="宋体" w:hAnsi="Times New Roman" w:cs="Times New Roman"/>
              </w:rPr>
              <w:t>道法</w:t>
            </w:r>
            <w:r>
              <w:rPr>
                <w:rFonts w:ascii="Times New Roman" w:eastAsia="宋体" w:hAnsi="Times New Roman" w:cs="Times New Roman"/>
              </w:rPr>
              <w:t>/</w:t>
            </w:r>
            <w:r>
              <w:rPr>
                <w:rFonts w:ascii="Times New Roman" w:eastAsia="宋体" w:hAnsi="Times New Roman" w:cs="Times New Roman"/>
              </w:rPr>
              <w:t>思政</w:t>
            </w:r>
          </w:p>
        </w:tc>
        <w:tc>
          <w:tcPr>
            <w:tcW w:w="1745" w:type="dxa"/>
            <w:tcBorders>
              <w:top w:val="nil"/>
              <w:left w:val="nil"/>
              <w:bottom w:val="nil"/>
              <w:right w:val="nil"/>
            </w:tcBorders>
            <w:tcMar>
              <w:top w:w="-1" w:type="dxa"/>
              <w:left w:w="-1" w:type="dxa"/>
              <w:bottom w:w="-1" w:type="dxa"/>
              <w:right w:w="-1" w:type="dxa"/>
            </w:tcMar>
            <w:vAlign w:val="center"/>
          </w:tcPr>
          <w:p w14:paraId="15E9B991" w14:textId="77777777" w:rsidR="000B1CCE" w:rsidRDefault="00000000">
            <w:pPr>
              <w:snapToGrid w:val="0"/>
              <w:spacing w:before="20" w:after="20"/>
              <w:jc w:val="center"/>
            </w:pPr>
            <w:r>
              <w:rPr>
                <w:rFonts w:ascii="Times New Roman" w:eastAsia="宋体" w:hAnsi="Times New Roman" w:cs="Times New Roman"/>
              </w:rPr>
              <w:t>10</w:t>
            </w:r>
          </w:p>
        </w:tc>
        <w:tc>
          <w:tcPr>
            <w:tcW w:w="3315" w:type="dxa"/>
            <w:tcBorders>
              <w:top w:val="nil"/>
              <w:left w:val="nil"/>
              <w:bottom w:val="nil"/>
              <w:right w:val="nil"/>
            </w:tcBorders>
            <w:tcMar>
              <w:top w:w="-1" w:type="dxa"/>
              <w:left w:w="-1" w:type="dxa"/>
              <w:bottom w:w="-1" w:type="dxa"/>
              <w:right w:w="-1" w:type="dxa"/>
            </w:tcMar>
            <w:vAlign w:val="center"/>
          </w:tcPr>
          <w:p w14:paraId="4280A21A" w14:textId="77777777" w:rsidR="000B1CCE" w:rsidRDefault="00000000">
            <w:pPr>
              <w:snapToGrid w:val="0"/>
              <w:spacing w:before="20" w:after="20"/>
              <w:jc w:val="center"/>
            </w:pPr>
            <w:r>
              <w:rPr>
                <w:rFonts w:ascii="Times New Roman" w:eastAsia="宋体" w:hAnsi="Times New Roman" w:cs="Times New Roman"/>
              </w:rPr>
              <w:t>7.75</w:t>
            </w:r>
          </w:p>
        </w:tc>
      </w:tr>
      <w:tr w:rsidR="000B1CCE" w14:paraId="3C2DFB6C"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A87A706" w14:textId="77777777" w:rsidR="000B1CCE" w:rsidRDefault="00000000">
            <w:pPr>
              <w:snapToGrid w:val="0"/>
              <w:spacing w:before="20" w:after="20"/>
              <w:jc w:val="center"/>
            </w:pPr>
            <w:r>
              <w:rPr>
                <w:rFonts w:ascii="Times New Roman" w:eastAsia="宋体" w:hAnsi="Times New Roman" w:cs="Times New Roman"/>
              </w:rPr>
              <w:t>历史</w:t>
            </w:r>
          </w:p>
        </w:tc>
        <w:tc>
          <w:tcPr>
            <w:tcW w:w="1745" w:type="dxa"/>
            <w:tcBorders>
              <w:top w:val="nil"/>
              <w:left w:val="nil"/>
              <w:bottom w:val="nil"/>
              <w:right w:val="nil"/>
            </w:tcBorders>
            <w:tcMar>
              <w:top w:w="-1" w:type="dxa"/>
              <w:left w:w="-1" w:type="dxa"/>
              <w:bottom w:w="-1" w:type="dxa"/>
              <w:right w:w="-1" w:type="dxa"/>
            </w:tcMar>
            <w:vAlign w:val="center"/>
          </w:tcPr>
          <w:p w14:paraId="411F8086"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70926B5E" w14:textId="77777777" w:rsidR="000B1CCE" w:rsidRDefault="00000000">
            <w:pPr>
              <w:snapToGrid w:val="0"/>
              <w:spacing w:before="20" w:after="20"/>
              <w:jc w:val="center"/>
            </w:pPr>
            <w:r>
              <w:rPr>
                <w:rFonts w:ascii="Times New Roman" w:eastAsia="宋体" w:hAnsi="Times New Roman" w:cs="Times New Roman"/>
              </w:rPr>
              <w:t>4.65</w:t>
            </w:r>
          </w:p>
        </w:tc>
      </w:tr>
      <w:tr w:rsidR="000B1CCE" w14:paraId="20B4F81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B1324E4" w14:textId="77777777" w:rsidR="000B1CCE" w:rsidRDefault="00000000">
            <w:pPr>
              <w:snapToGrid w:val="0"/>
              <w:spacing w:before="20" w:after="20"/>
              <w:jc w:val="center"/>
            </w:pPr>
            <w:r>
              <w:rPr>
                <w:rFonts w:ascii="Times New Roman" w:eastAsia="宋体" w:hAnsi="Times New Roman" w:cs="Times New Roman"/>
              </w:rPr>
              <w:t>化学</w:t>
            </w:r>
          </w:p>
        </w:tc>
        <w:tc>
          <w:tcPr>
            <w:tcW w:w="1745" w:type="dxa"/>
            <w:tcBorders>
              <w:top w:val="nil"/>
              <w:left w:val="nil"/>
              <w:bottom w:val="nil"/>
              <w:right w:val="nil"/>
            </w:tcBorders>
            <w:tcMar>
              <w:top w:w="-1" w:type="dxa"/>
              <w:left w:w="-1" w:type="dxa"/>
              <w:bottom w:w="-1" w:type="dxa"/>
              <w:right w:w="-1" w:type="dxa"/>
            </w:tcMar>
            <w:vAlign w:val="center"/>
          </w:tcPr>
          <w:p w14:paraId="387B23AF"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6714B6C8" w14:textId="77777777" w:rsidR="000B1CCE" w:rsidRDefault="00000000">
            <w:pPr>
              <w:snapToGrid w:val="0"/>
              <w:spacing w:before="20" w:after="20"/>
              <w:jc w:val="center"/>
            </w:pPr>
            <w:r>
              <w:rPr>
                <w:rFonts w:ascii="Times New Roman" w:eastAsia="宋体" w:hAnsi="Times New Roman" w:cs="Times New Roman"/>
              </w:rPr>
              <w:t>4.65</w:t>
            </w:r>
          </w:p>
        </w:tc>
      </w:tr>
      <w:tr w:rsidR="000B1CCE" w14:paraId="75A4B7A6"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99D5CBF" w14:textId="77777777" w:rsidR="000B1CCE" w:rsidRDefault="00000000">
            <w:pPr>
              <w:snapToGrid w:val="0"/>
              <w:spacing w:before="20" w:after="20"/>
              <w:jc w:val="center"/>
              <w:rPr>
                <w:rFonts w:eastAsia="宋体"/>
              </w:rPr>
            </w:pPr>
            <w:r>
              <w:rPr>
                <w:rFonts w:ascii="Times New Roman" w:eastAsia="宋体" w:hAnsi="Times New Roman" w:cs="Times New Roman"/>
              </w:rPr>
              <w:t>信息技术</w:t>
            </w:r>
          </w:p>
        </w:tc>
        <w:tc>
          <w:tcPr>
            <w:tcW w:w="1745" w:type="dxa"/>
            <w:tcBorders>
              <w:top w:val="nil"/>
              <w:left w:val="nil"/>
              <w:bottom w:val="nil"/>
              <w:right w:val="nil"/>
            </w:tcBorders>
            <w:tcMar>
              <w:top w:w="-1" w:type="dxa"/>
              <w:left w:w="-1" w:type="dxa"/>
              <w:bottom w:w="-1" w:type="dxa"/>
              <w:right w:w="-1" w:type="dxa"/>
            </w:tcMar>
            <w:vAlign w:val="center"/>
          </w:tcPr>
          <w:p w14:paraId="04FBEA8D"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4F61CA8F" w14:textId="77777777" w:rsidR="000B1CCE" w:rsidRDefault="00000000">
            <w:pPr>
              <w:snapToGrid w:val="0"/>
              <w:spacing w:before="20" w:after="20"/>
              <w:jc w:val="center"/>
            </w:pPr>
            <w:r>
              <w:rPr>
                <w:rFonts w:ascii="Times New Roman" w:eastAsia="宋体" w:hAnsi="Times New Roman" w:cs="Times New Roman"/>
              </w:rPr>
              <w:t>2.33</w:t>
            </w:r>
          </w:p>
        </w:tc>
      </w:tr>
      <w:tr w:rsidR="000B1CCE" w14:paraId="32D53FC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B264421" w14:textId="77777777" w:rsidR="000B1CCE" w:rsidRDefault="00000000">
            <w:pPr>
              <w:snapToGrid w:val="0"/>
              <w:spacing w:before="20" w:after="20"/>
              <w:jc w:val="center"/>
            </w:pPr>
            <w:r>
              <w:rPr>
                <w:rFonts w:ascii="Times New Roman" w:eastAsia="宋体" w:hAnsi="Times New Roman" w:cs="Times New Roman"/>
              </w:rPr>
              <w:t>地理</w:t>
            </w:r>
          </w:p>
        </w:tc>
        <w:tc>
          <w:tcPr>
            <w:tcW w:w="1745" w:type="dxa"/>
            <w:tcBorders>
              <w:top w:val="nil"/>
              <w:left w:val="nil"/>
              <w:bottom w:val="nil"/>
              <w:right w:val="nil"/>
            </w:tcBorders>
            <w:tcMar>
              <w:top w:w="-1" w:type="dxa"/>
              <w:left w:w="-1" w:type="dxa"/>
              <w:bottom w:w="-1" w:type="dxa"/>
              <w:right w:w="-1" w:type="dxa"/>
            </w:tcMar>
            <w:vAlign w:val="center"/>
          </w:tcPr>
          <w:p w14:paraId="16108453"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12B131EE" w14:textId="77777777" w:rsidR="000B1CCE" w:rsidRDefault="00000000">
            <w:pPr>
              <w:snapToGrid w:val="0"/>
              <w:spacing w:before="20" w:after="20"/>
              <w:jc w:val="center"/>
            </w:pPr>
            <w:r>
              <w:rPr>
                <w:rFonts w:ascii="Times New Roman" w:eastAsia="宋体" w:hAnsi="Times New Roman" w:cs="Times New Roman"/>
              </w:rPr>
              <w:t>2.33</w:t>
            </w:r>
          </w:p>
        </w:tc>
      </w:tr>
      <w:tr w:rsidR="000B1CCE" w14:paraId="6D4CCD3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FC26E8" w14:textId="77777777" w:rsidR="000B1CCE" w:rsidRDefault="00000000">
            <w:pPr>
              <w:snapToGrid w:val="0"/>
              <w:spacing w:before="20" w:after="20"/>
              <w:jc w:val="center"/>
            </w:pPr>
            <w:r>
              <w:rPr>
                <w:rFonts w:ascii="Times New Roman" w:eastAsia="宋体" w:hAnsi="Times New Roman" w:cs="Times New Roman"/>
              </w:rPr>
              <w:t>科学</w:t>
            </w:r>
          </w:p>
        </w:tc>
        <w:tc>
          <w:tcPr>
            <w:tcW w:w="1745" w:type="dxa"/>
            <w:tcBorders>
              <w:top w:val="nil"/>
              <w:left w:val="nil"/>
              <w:bottom w:val="nil"/>
              <w:right w:val="nil"/>
            </w:tcBorders>
            <w:tcMar>
              <w:top w:w="-1" w:type="dxa"/>
              <w:left w:w="-1" w:type="dxa"/>
              <w:bottom w:w="-1" w:type="dxa"/>
              <w:right w:w="-1" w:type="dxa"/>
            </w:tcMar>
            <w:vAlign w:val="center"/>
          </w:tcPr>
          <w:p w14:paraId="196D70EB"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1691AAA9" w14:textId="77777777" w:rsidR="000B1CCE" w:rsidRDefault="00000000">
            <w:pPr>
              <w:snapToGrid w:val="0"/>
              <w:spacing w:before="20" w:after="20"/>
              <w:jc w:val="center"/>
            </w:pPr>
            <w:r>
              <w:rPr>
                <w:rFonts w:ascii="Times New Roman" w:eastAsia="宋体" w:hAnsi="Times New Roman" w:cs="Times New Roman"/>
              </w:rPr>
              <w:t>0.78</w:t>
            </w:r>
          </w:p>
        </w:tc>
      </w:tr>
      <w:tr w:rsidR="000B1CCE" w14:paraId="34A6D12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6699D2F" w14:textId="77777777" w:rsidR="000B1CCE" w:rsidRDefault="00000000">
            <w:pPr>
              <w:snapToGrid w:val="0"/>
              <w:spacing w:before="20" w:after="20"/>
              <w:jc w:val="center"/>
            </w:pPr>
            <w:r>
              <w:rPr>
                <w:rFonts w:ascii="Times New Roman" w:eastAsia="宋体" w:hAnsi="Times New Roman" w:cs="Times New Roman"/>
              </w:rPr>
              <w:t>心理</w:t>
            </w:r>
          </w:p>
        </w:tc>
        <w:tc>
          <w:tcPr>
            <w:tcW w:w="1745" w:type="dxa"/>
            <w:tcBorders>
              <w:top w:val="nil"/>
              <w:left w:val="nil"/>
              <w:bottom w:val="nil"/>
              <w:right w:val="nil"/>
            </w:tcBorders>
            <w:tcMar>
              <w:top w:w="-1" w:type="dxa"/>
              <w:left w:w="-1" w:type="dxa"/>
              <w:bottom w:w="-1" w:type="dxa"/>
              <w:right w:w="-1" w:type="dxa"/>
            </w:tcMar>
            <w:vAlign w:val="center"/>
          </w:tcPr>
          <w:p w14:paraId="0CBFE4A0"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38B28BB8" w14:textId="77777777" w:rsidR="000B1CCE" w:rsidRDefault="00000000">
            <w:pPr>
              <w:snapToGrid w:val="0"/>
              <w:spacing w:before="20" w:after="20"/>
              <w:jc w:val="center"/>
            </w:pPr>
            <w:r>
              <w:rPr>
                <w:rFonts w:ascii="Times New Roman" w:eastAsia="宋体" w:hAnsi="Times New Roman" w:cs="Times New Roman"/>
              </w:rPr>
              <w:t>0.78</w:t>
            </w:r>
          </w:p>
        </w:tc>
      </w:tr>
      <w:tr w:rsidR="000B1CCE" w14:paraId="506730D0" w14:textId="77777777">
        <w:trPr>
          <w:jc w:val="center"/>
        </w:trPr>
        <w:tc>
          <w:tcPr>
            <w:tcW w:w="3458" w:type="dxa"/>
            <w:tcBorders>
              <w:top w:val="nil"/>
              <w:left w:val="nil"/>
              <w:bottom w:val="single" w:sz="12" w:space="0" w:color="000000"/>
              <w:right w:val="nil"/>
            </w:tcBorders>
            <w:tcMar>
              <w:top w:w="-1" w:type="dxa"/>
              <w:left w:w="-1" w:type="dxa"/>
              <w:bottom w:w="-1" w:type="dxa"/>
              <w:right w:w="-1" w:type="dxa"/>
            </w:tcMar>
            <w:vAlign w:val="center"/>
          </w:tcPr>
          <w:p w14:paraId="7EB2D806" w14:textId="77777777" w:rsidR="000B1CCE" w:rsidRDefault="00000000">
            <w:pPr>
              <w:snapToGrid w:val="0"/>
              <w:spacing w:before="20" w:after="20"/>
              <w:jc w:val="center"/>
              <w:rPr>
                <w:b/>
              </w:rPr>
            </w:pPr>
            <w:r>
              <w:rPr>
                <w:rFonts w:ascii="Times New Roman" w:eastAsia="宋体" w:hAnsi="Times New Roman" w:cs="Times New Roman"/>
                <w:b/>
              </w:rPr>
              <w:t>合计</w:t>
            </w:r>
          </w:p>
        </w:tc>
        <w:tc>
          <w:tcPr>
            <w:tcW w:w="1745" w:type="dxa"/>
            <w:tcBorders>
              <w:top w:val="nil"/>
              <w:left w:val="nil"/>
              <w:bottom w:val="single" w:sz="12" w:space="0" w:color="000000"/>
              <w:right w:val="nil"/>
            </w:tcBorders>
            <w:tcMar>
              <w:top w:w="-1" w:type="dxa"/>
              <w:left w:w="-1" w:type="dxa"/>
              <w:bottom w:w="-1" w:type="dxa"/>
              <w:right w:w="-1" w:type="dxa"/>
            </w:tcMar>
            <w:vAlign w:val="center"/>
          </w:tcPr>
          <w:p w14:paraId="2E165EFC" w14:textId="77777777" w:rsidR="000B1CCE" w:rsidRDefault="00000000">
            <w:pPr>
              <w:snapToGrid w:val="0"/>
              <w:spacing w:before="20" w:after="20"/>
              <w:jc w:val="center"/>
              <w:rPr>
                <w:b/>
              </w:rPr>
            </w:pPr>
            <w:r>
              <w:rPr>
                <w:rFonts w:ascii="Times New Roman" w:eastAsia="宋体" w:hAnsi="Times New Roman" w:cs="Times New Roman"/>
                <w:b/>
              </w:rPr>
              <w:t>129</w:t>
            </w:r>
          </w:p>
        </w:tc>
        <w:tc>
          <w:tcPr>
            <w:tcW w:w="3315" w:type="dxa"/>
            <w:tcBorders>
              <w:top w:val="nil"/>
              <w:left w:val="nil"/>
              <w:bottom w:val="single" w:sz="12" w:space="0" w:color="000000"/>
              <w:right w:val="nil"/>
            </w:tcBorders>
            <w:tcMar>
              <w:top w:w="-1" w:type="dxa"/>
              <w:left w:w="-1" w:type="dxa"/>
              <w:bottom w:w="-1" w:type="dxa"/>
              <w:right w:w="-1" w:type="dxa"/>
            </w:tcMar>
            <w:vAlign w:val="center"/>
          </w:tcPr>
          <w:p w14:paraId="2B46A651" w14:textId="77777777" w:rsidR="000B1CCE" w:rsidRDefault="00000000">
            <w:pPr>
              <w:snapToGrid w:val="0"/>
              <w:spacing w:before="20" w:after="20"/>
              <w:jc w:val="center"/>
              <w:rPr>
                <w:b/>
              </w:rPr>
            </w:pPr>
            <w:r>
              <w:rPr>
                <w:rFonts w:ascii="Times New Roman" w:eastAsia="宋体" w:hAnsi="Times New Roman" w:cs="Times New Roman"/>
                <w:b/>
              </w:rPr>
              <w:t>100.00</w:t>
            </w:r>
          </w:p>
        </w:tc>
      </w:tr>
    </w:tbl>
    <w:p w14:paraId="21C88F07"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样本涵盖</w:t>
      </w:r>
      <w:r>
        <w:rPr>
          <w:rFonts w:ascii="Times New Roman" w:eastAsia="宋体" w:hAnsi="Times New Roman" w:cs="Times New Roman"/>
          <w:sz w:val="24"/>
        </w:rPr>
        <w:t>13</w:t>
      </w:r>
      <w:r>
        <w:rPr>
          <w:rFonts w:ascii="Times New Roman" w:eastAsia="宋体" w:hAnsi="Times New Roman" w:cs="Times New Roman"/>
          <w:sz w:val="24"/>
        </w:rPr>
        <w:t>类学科，其中语文</w:t>
      </w:r>
      <w:r>
        <w:rPr>
          <w:rFonts w:ascii="Times New Roman" w:eastAsia="宋体" w:hAnsi="Times New Roman" w:cs="Times New Roman"/>
          <w:sz w:val="24"/>
        </w:rPr>
        <w:t>29</w:t>
      </w:r>
      <w:r>
        <w:rPr>
          <w:rFonts w:ascii="Times New Roman" w:eastAsia="宋体" w:hAnsi="Times New Roman" w:cs="Times New Roman"/>
          <w:sz w:val="24"/>
        </w:rPr>
        <w:t>人（</w:t>
      </w:r>
      <w:r>
        <w:rPr>
          <w:rFonts w:ascii="Times New Roman" w:eastAsia="宋体" w:hAnsi="Times New Roman" w:cs="Times New Roman"/>
          <w:sz w:val="24"/>
        </w:rPr>
        <w:t>22.48%</w:t>
      </w:r>
      <w:r>
        <w:rPr>
          <w:rFonts w:ascii="Times New Roman" w:eastAsia="宋体" w:hAnsi="Times New Roman" w:cs="Times New Roman"/>
          <w:sz w:val="24"/>
        </w:rPr>
        <w:t>）、英语</w:t>
      </w:r>
      <w:r>
        <w:rPr>
          <w:rFonts w:ascii="Times New Roman" w:eastAsia="宋体" w:hAnsi="Times New Roman" w:cs="Times New Roman"/>
          <w:sz w:val="24"/>
        </w:rPr>
        <w:t>19</w:t>
      </w:r>
      <w:r>
        <w:rPr>
          <w:rFonts w:ascii="Times New Roman" w:eastAsia="宋体" w:hAnsi="Times New Roman" w:cs="Times New Roman"/>
          <w:sz w:val="24"/>
        </w:rPr>
        <w:t>人（</w:t>
      </w:r>
      <w:r>
        <w:rPr>
          <w:rFonts w:ascii="Times New Roman" w:eastAsia="宋体" w:hAnsi="Times New Roman" w:cs="Times New Roman"/>
          <w:sz w:val="24"/>
        </w:rPr>
        <w:t>14.73%</w:t>
      </w:r>
      <w:r>
        <w:rPr>
          <w:rFonts w:ascii="Times New Roman" w:eastAsia="宋体" w:hAnsi="Times New Roman" w:cs="Times New Roman"/>
          <w:sz w:val="24"/>
        </w:rPr>
        <w:t>）、体育与健康</w:t>
      </w:r>
      <w:r>
        <w:rPr>
          <w:rFonts w:ascii="Times New Roman" w:eastAsia="宋体" w:hAnsi="Times New Roman" w:cs="Times New Roman"/>
          <w:sz w:val="24"/>
        </w:rPr>
        <w:t>15</w:t>
      </w:r>
      <w:r>
        <w:rPr>
          <w:rFonts w:ascii="Times New Roman" w:eastAsia="宋体" w:hAnsi="Times New Roman" w:cs="Times New Roman"/>
          <w:sz w:val="24"/>
        </w:rPr>
        <w:t>人（</w:t>
      </w:r>
      <w:r>
        <w:rPr>
          <w:rFonts w:ascii="Times New Roman" w:eastAsia="宋体" w:hAnsi="Times New Roman" w:cs="Times New Roman"/>
          <w:sz w:val="24"/>
        </w:rPr>
        <w:t>11.63%</w:t>
      </w:r>
      <w:r>
        <w:rPr>
          <w:rFonts w:ascii="Times New Roman" w:eastAsia="宋体" w:hAnsi="Times New Roman" w:cs="Times New Roman"/>
          <w:sz w:val="24"/>
        </w:rPr>
        <w:t>）、数学</w:t>
      </w:r>
      <w:r>
        <w:rPr>
          <w:rFonts w:ascii="Times New Roman" w:eastAsia="宋体" w:hAnsi="Times New Roman" w:cs="Times New Roman"/>
          <w:sz w:val="24"/>
        </w:rPr>
        <w:t>14</w:t>
      </w:r>
      <w:r>
        <w:rPr>
          <w:rFonts w:ascii="Times New Roman" w:eastAsia="宋体" w:hAnsi="Times New Roman" w:cs="Times New Roman"/>
          <w:sz w:val="24"/>
        </w:rPr>
        <w:t>人（</w:t>
      </w:r>
      <w:r>
        <w:rPr>
          <w:rFonts w:ascii="Times New Roman" w:eastAsia="宋体" w:hAnsi="Times New Roman" w:cs="Times New Roman"/>
          <w:sz w:val="24"/>
        </w:rPr>
        <w:t>10.85%</w:t>
      </w:r>
      <w:r>
        <w:rPr>
          <w:rFonts w:ascii="Times New Roman" w:eastAsia="宋体" w:hAnsi="Times New Roman" w:cs="Times New Roman"/>
          <w:sz w:val="24"/>
        </w:rPr>
        <w:t>）。样本具有多学科构成，但学科人数不均衡，部分学科仅</w:t>
      </w:r>
      <w:r>
        <w:rPr>
          <w:rFonts w:ascii="Times New Roman" w:eastAsia="宋体" w:hAnsi="Times New Roman" w:cs="Times New Roman"/>
          <w:sz w:val="24"/>
        </w:rPr>
        <w:t>1—3</w:t>
      </w:r>
      <w:r>
        <w:rPr>
          <w:rFonts w:ascii="Times New Roman" w:eastAsia="宋体" w:hAnsi="Times New Roman" w:cs="Times New Roman"/>
          <w:sz w:val="24"/>
        </w:rPr>
        <w:t>人。</w:t>
      </w:r>
    </w:p>
    <w:p w14:paraId="2623D5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为保证前后测可比，本次仅保留两次问卷共有的</w:t>
      </w:r>
      <w:r>
        <w:rPr>
          <w:rFonts w:ascii="Times New Roman" w:eastAsia="宋体" w:hAnsi="Times New Roman" w:cs="Times New Roman"/>
          <w:sz w:val="24"/>
        </w:rPr>
        <w:t>22</w:t>
      </w:r>
      <w:r>
        <w:rPr>
          <w:rFonts w:ascii="Times New Roman" w:eastAsia="宋体" w:hAnsi="Times New Roman" w:cs="Times New Roman"/>
          <w:sz w:val="24"/>
        </w:rPr>
        <w:t>个题项，分别构成认知与价值认同（</w:t>
      </w:r>
      <w:r>
        <w:rPr>
          <w:rFonts w:ascii="Times New Roman" w:eastAsia="宋体" w:hAnsi="Times New Roman" w:cs="Times New Roman"/>
          <w:sz w:val="24"/>
        </w:rPr>
        <w:t>7</w:t>
      </w:r>
      <w:r>
        <w:rPr>
          <w:rFonts w:ascii="Times New Roman" w:eastAsia="宋体" w:hAnsi="Times New Roman" w:cs="Times New Roman"/>
          <w:sz w:val="24"/>
        </w:rPr>
        <w:t>题）、课堂教学实践（</w:t>
      </w:r>
      <w:r>
        <w:rPr>
          <w:rFonts w:ascii="Times New Roman" w:eastAsia="宋体" w:hAnsi="Times New Roman" w:cs="Times New Roman"/>
          <w:sz w:val="24"/>
        </w:rPr>
        <w:t>6</w:t>
      </w:r>
      <w:r>
        <w:rPr>
          <w:rFonts w:ascii="Times New Roman" w:eastAsia="宋体" w:hAnsi="Times New Roman" w:cs="Times New Roman"/>
          <w:sz w:val="24"/>
        </w:rPr>
        <w:t>题）、教学自我效能（</w:t>
      </w:r>
      <w:r>
        <w:rPr>
          <w:rFonts w:ascii="Times New Roman" w:eastAsia="宋体" w:hAnsi="Times New Roman" w:cs="Times New Roman"/>
          <w:sz w:val="24"/>
        </w:rPr>
        <w:t>3</w:t>
      </w:r>
      <w:r>
        <w:rPr>
          <w:rFonts w:ascii="Times New Roman" w:eastAsia="宋体" w:hAnsi="Times New Roman" w:cs="Times New Roman"/>
          <w:sz w:val="24"/>
        </w:rPr>
        <w:t>题）和现实阻碍（</w:t>
      </w:r>
      <w:r>
        <w:rPr>
          <w:rFonts w:ascii="Times New Roman" w:eastAsia="宋体" w:hAnsi="Times New Roman" w:cs="Times New Roman"/>
          <w:sz w:val="24"/>
        </w:rPr>
        <w:t>6</w:t>
      </w:r>
      <w:r>
        <w:rPr>
          <w:rFonts w:ascii="Times New Roman" w:eastAsia="宋体" w:hAnsi="Times New Roman" w:cs="Times New Roman"/>
          <w:sz w:val="24"/>
        </w:rPr>
        <w:t>题）四个维度。后测新增的理解变化、培训应用与总体能力提升等题项不纳入配对计分，前后问卷原始总分也不直接比较。</w:t>
      </w:r>
    </w:p>
    <w:p w14:paraId="47D03C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各题按照完全不符合至完全符合依次赋值</w:t>
      </w:r>
      <w:r>
        <w:rPr>
          <w:rFonts w:ascii="Times New Roman" w:eastAsia="宋体" w:hAnsi="Times New Roman" w:cs="Times New Roman"/>
          <w:sz w:val="24"/>
        </w:rPr>
        <w:t>1—5</w:t>
      </w:r>
      <w:r>
        <w:rPr>
          <w:rFonts w:ascii="Times New Roman" w:eastAsia="宋体" w:hAnsi="Times New Roman" w:cs="Times New Roman"/>
          <w:sz w:val="24"/>
        </w:rPr>
        <w:t>分，以题项平均分作为维度得分；</w:t>
      </w:r>
      <w:r>
        <w:rPr>
          <w:rFonts w:ascii="Times New Roman" w:eastAsia="宋体" w:hAnsi="Times New Roman" w:cs="Times New Roman"/>
          <w:sz w:val="24"/>
        </w:rPr>
        <w:t>129</w:t>
      </w:r>
      <w:r>
        <w:rPr>
          <w:rFonts w:ascii="Times New Roman" w:eastAsia="宋体" w:hAnsi="Times New Roman" w:cs="Times New Roman"/>
          <w:sz w:val="24"/>
        </w:rPr>
        <w:t>组记录的共同题项均无缺失。前三个维度分数越高表示自评水平越高，现实阻碍分数越高表示困难感受越强，因此该维度下降才是有利方向。课堂实践首题和部分阻碍题的后测措辞有所调整，比较时考虑了这一变化。</w:t>
      </w:r>
    </w:p>
    <w:p w14:paraId="1AA823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统计采用双侧配对</w:t>
      </w:r>
      <w:r>
        <w:rPr>
          <w:rFonts w:ascii="Times New Roman" w:eastAsia="宋体" w:hAnsi="Times New Roman" w:cs="Times New Roman"/>
          <w:sz w:val="24"/>
        </w:rPr>
        <w:t>t</w:t>
      </w:r>
      <w:r>
        <w:rPr>
          <w:rFonts w:ascii="Times New Roman" w:eastAsia="宋体" w:hAnsi="Times New Roman" w:cs="Times New Roman"/>
          <w:sz w:val="24"/>
        </w:rPr>
        <w:t>检验，报告前后测均值、标准差、前测减后测的平均差值及其</w:t>
      </w:r>
      <w:r>
        <w:rPr>
          <w:rFonts w:ascii="Times New Roman" w:eastAsia="宋体" w:hAnsi="Times New Roman" w:cs="Times New Roman"/>
          <w:sz w:val="24"/>
        </w:rPr>
        <w:t>95%</w:t>
      </w:r>
      <w:r>
        <w:rPr>
          <w:rFonts w:ascii="Times New Roman" w:eastAsia="宋体" w:hAnsi="Times New Roman" w:cs="Times New Roman"/>
          <w:sz w:val="24"/>
        </w:rPr>
        <w:t>置信区间，并对四次检验采用</w:t>
      </w:r>
      <w:r>
        <w:rPr>
          <w:rFonts w:ascii="Times New Roman" w:eastAsia="宋体" w:hAnsi="Times New Roman" w:cs="Times New Roman"/>
          <w:sz w:val="24"/>
        </w:rPr>
        <w:t>Holm</w:t>
      </w:r>
      <w:r>
        <w:rPr>
          <w:rFonts w:ascii="Times New Roman" w:eastAsia="宋体" w:hAnsi="Times New Roman" w:cs="Times New Roman"/>
          <w:sz w:val="24"/>
        </w:rPr>
        <w:t>法校正。显著性水平为</w:t>
      </w:r>
      <w:r>
        <w:rPr>
          <w:rFonts w:ascii="Times New Roman" w:eastAsia="宋体" w:hAnsi="Times New Roman" w:cs="Times New Roman"/>
          <w:sz w:val="24"/>
        </w:rPr>
        <w:t>0.05</w:t>
      </w:r>
      <w:r>
        <w:rPr>
          <w:rFonts w:ascii="Times New Roman" w:eastAsia="宋体" w:hAnsi="Times New Roman" w:cs="Times New Roman"/>
          <w:sz w:val="24"/>
        </w:rPr>
        <w:t>。上述检验以前后记录属于同一教师、不同教师差值相互独立为前提；现有匹配身份尚待核实，故统计结果只作条件性解释。</w:t>
      </w:r>
    </w:p>
    <w:p w14:paraId="3F7850F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）四个维度的配对分析</w:t>
      </w:r>
    </w:p>
    <w:p w14:paraId="05C7A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以下每个维度单独列表示出前后测结果。为与样表保持一致，表中差值统一按前测－后测计算；文字说明则直接报告上升或下降的方向。</w:t>
      </w:r>
    </w:p>
    <w:p w14:paraId="5805E42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）认知与价值认同</w:t>
      </w:r>
    </w:p>
    <w:p w14:paraId="750D9B8E"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3-56  </w:t>
      </w:r>
      <w:r>
        <w:rPr>
          <w:rFonts w:ascii="Times New Roman" w:eastAsia="黑体" w:hAnsi="Times New Roman" w:cs="Times New Roman"/>
        </w:rPr>
        <w:t>教师认知与价值认同前后测配对分析（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91"/>
        <w:gridCol w:w="1320"/>
        <w:gridCol w:w="1111"/>
        <w:gridCol w:w="1086"/>
        <w:gridCol w:w="748"/>
        <w:gridCol w:w="877"/>
        <w:gridCol w:w="793"/>
        <w:gridCol w:w="793"/>
      </w:tblGrid>
      <w:tr w:rsidR="000B1CCE" w14:paraId="5590BE6E" w14:textId="77777777">
        <w:trPr>
          <w:tblHeader/>
          <w:jc w:val="center"/>
        </w:trPr>
        <w:tc>
          <w:tcPr>
            <w:tcW w:w="179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6158110"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1</w:t>
            </w:r>
          </w:p>
        </w:tc>
        <w:tc>
          <w:tcPr>
            <w:tcW w:w="132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204FAA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6"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340FFF0E"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8"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4B88CA2" w14:textId="77777777" w:rsidR="000B1CCE" w:rsidRDefault="00000000">
            <w:pPr>
              <w:snapToGrid w:val="0"/>
              <w:spacing w:before="20" w:after="20"/>
              <w:jc w:val="center"/>
              <w:rPr>
                <w:b/>
              </w:rPr>
            </w:pPr>
            <w:r>
              <w:rPr>
                <w:rFonts w:ascii="Times New Roman" w:eastAsia="宋体" w:hAnsi="Times New Roman" w:cs="Times New Roman"/>
                <w:b/>
              </w:rPr>
              <w:t>t</w:t>
            </w:r>
          </w:p>
        </w:tc>
        <w:tc>
          <w:tcPr>
            <w:tcW w:w="877"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6F806CF"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429F284" w14:textId="77777777" w:rsidR="000B1CCE" w:rsidRDefault="00000000">
            <w:pPr>
              <w:snapToGrid w:val="0"/>
              <w:spacing w:before="20" w:after="20"/>
              <w:jc w:val="center"/>
              <w:rPr>
                <w:b/>
              </w:rPr>
            </w:pPr>
            <w:r>
              <w:rPr>
                <w:rFonts w:ascii="Times New Roman" w:eastAsia="宋体" w:hAnsi="Times New Roman" w:cs="Times New Roman"/>
                <w:b/>
              </w:rPr>
              <w:t>M</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8497817"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A46E17B"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2CE66505" w14:textId="77777777" w:rsidR="000B1CCE" w:rsidRDefault="000B1CCE">
            <w:pPr>
              <w:snapToGrid w:val="0"/>
              <w:spacing w:before="20" w:after="2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1DBE293D" w14:textId="77777777" w:rsidR="000B1CCE" w:rsidRDefault="000B1CCE">
            <w:pPr>
              <w:snapToGrid w:val="0"/>
              <w:spacing w:before="20" w:after="2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2340DA62"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6" w:type="dxa"/>
            <w:tcBorders>
              <w:top w:val="nil"/>
              <w:left w:val="nil"/>
              <w:bottom w:val="nil"/>
              <w:right w:val="nil"/>
            </w:tcBorders>
            <w:tcMar>
              <w:top w:w="-1" w:type="dxa"/>
              <w:left w:w="-1" w:type="dxa"/>
              <w:bottom w:w="-1" w:type="dxa"/>
              <w:right w:w="-1" w:type="dxa"/>
            </w:tcMar>
            <w:vAlign w:val="center"/>
          </w:tcPr>
          <w:p w14:paraId="0A06B78C"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8" w:type="dxa"/>
            <w:vMerge/>
            <w:tcBorders>
              <w:top w:val="nil"/>
              <w:left w:val="nil"/>
              <w:bottom w:val="nil"/>
              <w:right w:val="nil"/>
            </w:tcBorders>
            <w:tcMar>
              <w:top w:w="-1" w:type="dxa"/>
              <w:left w:w="-1" w:type="dxa"/>
              <w:bottom w:w="-1" w:type="dxa"/>
              <w:right w:w="-1" w:type="dxa"/>
            </w:tcMar>
            <w:vAlign w:val="center"/>
          </w:tcPr>
          <w:p w14:paraId="3EBC3673" w14:textId="77777777" w:rsidR="000B1CCE" w:rsidRDefault="000B1CCE">
            <w:pPr>
              <w:snapToGrid w:val="0"/>
              <w:spacing w:before="20" w:after="2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5581A348"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6961E243"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6B320DC3" w14:textId="77777777" w:rsidR="000B1CCE" w:rsidRDefault="000B1CCE">
            <w:pPr>
              <w:snapToGrid w:val="0"/>
              <w:spacing w:before="20" w:after="20"/>
              <w:jc w:val="center"/>
              <w:rPr>
                <w:b/>
              </w:rPr>
            </w:pPr>
          </w:p>
        </w:tc>
      </w:tr>
      <w:tr w:rsidR="000B1CCE" w14:paraId="28C89DCC"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C451E41" w14:textId="77777777" w:rsidR="000B1CCE" w:rsidRDefault="00000000">
            <w:pPr>
              <w:snapToGrid w:val="0"/>
              <w:spacing w:before="20" w:after="20"/>
              <w:jc w:val="center"/>
            </w:pPr>
            <w:r>
              <w:rPr>
                <w:rFonts w:ascii="Times New Roman" w:eastAsia="宋体" w:hAnsi="Times New Roman" w:cs="Times New Roman"/>
              </w:rP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52A64CC0" w14:textId="77777777" w:rsidR="000B1CCE" w:rsidRDefault="00000000">
            <w:pPr>
              <w:snapToGrid w:val="0"/>
              <w:spacing w:before="20" w:after="20"/>
              <w:jc w:val="center"/>
            </w:pPr>
            <w:r>
              <w:rPr>
                <w:rFonts w:ascii="Times New Roman" w:eastAsia="宋体" w:hAnsi="Times New Roman" w:cs="Times New Roman"/>
              </w:rP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50DB30E0" w14:textId="77777777" w:rsidR="000B1CCE" w:rsidRDefault="00000000">
            <w:pPr>
              <w:snapToGrid w:val="0"/>
              <w:spacing w:before="20" w:after="20"/>
              <w:jc w:val="center"/>
            </w:pPr>
            <w:r>
              <w:rPr>
                <w:rFonts w:ascii="Times New Roman" w:eastAsia="宋体" w:hAnsi="Times New Roman" w:cs="Times New Roman"/>
              </w:rP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03EED406" w14:textId="77777777" w:rsidR="000B1CCE" w:rsidRDefault="00000000">
            <w:pPr>
              <w:snapToGrid w:val="0"/>
              <w:spacing w:before="20" w:after="20"/>
              <w:jc w:val="center"/>
            </w:pPr>
            <w:r>
              <w:rPr>
                <w:rFonts w:ascii="Times New Roman" w:eastAsia="宋体" w:hAnsi="Times New Roman" w:cs="Times New Roman"/>
              </w:rPr>
              <w:t>0.18</w:t>
            </w:r>
          </w:p>
        </w:tc>
        <w:tc>
          <w:tcPr>
            <w:tcW w:w="748" w:type="dxa"/>
            <w:vMerge w:val="restart"/>
            <w:tcBorders>
              <w:top w:val="nil"/>
              <w:left w:val="nil"/>
              <w:bottom w:val="nil"/>
              <w:right w:val="nil"/>
            </w:tcBorders>
            <w:tcMar>
              <w:top w:w="-1" w:type="dxa"/>
              <w:left w:w="-1" w:type="dxa"/>
              <w:bottom w:w="-1" w:type="dxa"/>
              <w:right w:w="-1" w:type="dxa"/>
            </w:tcMar>
            <w:vAlign w:val="center"/>
          </w:tcPr>
          <w:p w14:paraId="7C48AB10" w14:textId="77777777" w:rsidR="000B1CCE" w:rsidRDefault="00000000">
            <w:pPr>
              <w:snapToGrid w:val="0"/>
              <w:spacing w:before="20" w:after="20"/>
              <w:jc w:val="center"/>
            </w:pPr>
            <w:r>
              <w:rPr>
                <w:rFonts w:ascii="Times New Roman" w:eastAsia="宋体" w:hAnsi="Times New Roman" w:cs="Times New Roman"/>
              </w:rPr>
              <w:t>0.08</w:t>
            </w:r>
          </w:p>
        </w:tc>
        <w:tc>
          <w:tcPr>
            <w:tcW w:w="877" w:type="dxa"/>
            <w:vMerge w:val="restart"/>
            <w:tcBorders>
              <w:top w:val="nil"/>
              <w:left w:val="nil"/>
              <w:bottom w:val="nil"/>
              <w:right w:val="nil"/>
            </w:tcBorders>
            <w:tcMar>
              <w:top w:w="-1" w:type="dxa"/>
              <w:left w:w="-1" w:type="dxa"/>
              <w:bottom w:w="-1" w:type="dxa"/>
              <w:right w:w="-1" w:type="dxa"/>
            </w:tcMar>
            <w:vAlign w:val="center"/>
          </w:tcPr>
          <w:p w14:paraId="0AD7908F" w14:textId="77777777" w:rsidR="000B1CCE" w:rsidRDefault="00000000">
            <w:pPr>
              <w:snapToGrid w:val="0"/>
              <w:spacing w:before="20" w:after="20"/>
              <w:jc w:val="center"/>
            </w:pPr>
            <w:r>
              <w:rPr>
                <w:rFonts w:ascii="Times New Roman" w:eastAsia="宋体" w:hAnsi="Times New Roman" w:cs="Times New Roman"/>
              </w:rPr>
              <w:t>0.940</w:t>
            </w:r>
          </w:p>
        </w:tc>
        <w:tc>
          <w:tcPr>
            <w:tcW w:w="793" w:type="dxa"/>
            <w:tcBorders>
              <w:top w:val="nil"/>
              <w:left w:val="nil"/>
              <w:bottom w:val="nil"/>
              <w:right w:val="nil"/>
            </w:tcBorders>
            <w:tcMar>
              <w:top w:w="-1" w:type="dxa"/>
              <w:left w:w="-1" w:type="dxa"/>
              <w:bottom w:w="-1" w:type="dxa"/>
              <w:right w:w="-1" w:type="dxa"/>
            </w:tcMar>
            <w:vAlign w:val="center"/>
          </w:tcPr>
          <w:p w14:paraId="0AD1684A" w14:textId="77777777" w:rsidR="000B1CCE" w:rsidRDefault="00000000">
            <w:pPr>
              <w:snapToGrid w:val="0"/>
              <w:spacing w:before="20" w:after="20"/>
              <w:jc w:val="center"/>
            </w:pPr>
            <w:r>
              <w:rPr>
                <w:rFonts w:ascii="Times New Roman" w:eastAsia="宋体" w:hAnsi="Times New Roman" w:cs="Times New Roman"/>
              </w:rPr>
              <w:t>4.36</w:t>
            </w:r>
          </w:p>
        </w:tc>
        <w:tc>
          <w:tcPr>
            <w:tcW w:w="793" w:type="dxa"/>
            <w:tcBorders>
              <w:top w:val="nil"/>
              <w:left w:val="nil"/>
              <w:bottom w:val="nil"/>
              <w:right w:val="nil"/>
            </w:tcBorders>
            <w:tcMar>
              <w:top w:w="-1" w:type="dxa"/>
              <w:left w:w="-1" w:type="dxa"/>
              <w:bottom w:w="-1" w:type="dxa"/>
              <w:right w:w="-1" w:type="dxa"/>
            </w:tcMar>
            <w:vAlign w:val="center"/>
          </w:tcPr>
          <w:p w14:paraId="1E9A840D" w14:textId="77777777" w:rsidR="000B1CCE" w:rsidRDefault="00000000">
            <w:pPr>
              <w:snapToGrid w:val="0"/>
              <w:spacing w:before="20" w:after="20"/>
              <w:jc w:val="center"/>
            </w:pPr>
            <w:r>
              <w:rPr>
                <w:rFonts w:ascii="Times New Roman" w:eastAsia="宋体" w:hAnsi="Times New Roman" w:cs="Times New Roman"/>
              </w:rPr>
              <w:t>0.74</w:t>
            </w:r>
          </w:p>
        </w:tc>
      </w:tr>
      <w:tr w:rsidR="000B1CCE" w14:paraId="14EAF5A4" w14:textId="77777777">
        <w:trPr>
          <w:jc w:val="center"/>
        </w:trPr>
        <w:tc>
          <w:tcPr>
            <w:tcW w:w="1791" w:type="dxa"/>
            <w:tcBorders>
              <w:top w:val="nil"/>
              <w:left w:val="nil"/>
              <w:bottom w:val="single" w:sz="12" w:space="0" w:color="000000"/>
              <w:right w:val="nil"/>
            </w:tcBorders>
            <w:tcMar>
              <w:top w:w="-1" w:type="dxa"/>
              <w:left w:w="-1" w:type="dxa"/>
              <w:bottom w:w="-1" w:type="dxa"/>
              <w:right w:w="-1" w:type="dxa"/>
            </w:tcMar>
            <w:vAlign w:val="center"/>
          </w:tcPr>
          <w:p w14:paraId="335A61FE" w14:textId="77777777" w:rsidR="000B1CCE" w:rsidRDefault="00000000">
            <w:pPr>
              <w:snapToGrid w:val="0"/>
              <w:spacing w:before="20" w:after="20"/>
              <w:jc w:val="center"/>
            </w:pPr>
            <w:r>
              <w:rPr>
                <w:rFonts w:ascii="Times New Roman" w:eastAsia="宋体" w:hAnsi="Times New Roman" w:cs="Times New Roman"/>
              </w:rPr>
              <w:t>均分（后测）</w:t>
            </w:r>
          </w:p>
        </w:tc>
        <w:tc>
          <w:tcPr>
            <w:tcW w:w="1320" w:type="dxa"/>
            <w:vMerge/>
            <w:tcBorders>
              <w:top w:val="nil"/>
              <w:left w:val="nil"/>
              <w:bottom w:val="single" w:sz="12" w:space="0" w:color="000000"/>
              <w:right w:val="nil"/>
            </w:tcBorders>
            <w:tcMar>
              <w:top w:w="-1" w:type="dxa"/>
              <w:left w:w="-1" w:type="dxa"/>
              <w:bottom w:w="-1" w:type="dxa"/>
              <w:right w:w="-1" w:type="dxa"/>
            </w:tcMar>
            <w:vAlign w:val="center"/>
          </w:tcPr>
          <w:p w14:paraId="2D6E20AC" w14:textId="77777777" w:rsidR="000B1CCE" w:rsidRDefault="000B1CCE">
            <w:pPr>
              <w:snapToGrid w:val="0"/>
              <w:spacing w:before="20" w:after="20"/>
              <w:jc w:val="center"/>
            </w:pPr>
          </w:p>
        </w:tc>
        <w:tc>
          <w:tcPr>
            <w:tcW w:w="1111" w:type="dxa"/>
            <w:vMerge/>
            <w:tcBorders>
              <w:top w:val="nil"/>
              <w:left w:val="nil"/>
              <w:bottom w:val="single" w:sz="12" w:space="0" w:color="000000"/>
              <w:right w:val="nil"/>
            </w:tcBorders>
            <w:tcMar>
              <w:top w:w="-1" w:type="dxa"/>
              <w:left w:w="-1" w:type="dxa"/>
              <w:bottom w:w="-1" w:type="dxa"/>
              <w:right w:w="-1" w:type="dxa"/>
            </w:tcMar>
            <w:vAlign w:val="center"/>
          </w:tcPr>
          <w:p w14:paraId="74E82053" w14:textId="77777777" w:rsidR="000B1CCE" w:rsidRDefault="000B1CCE">
            <w:pPr>
              <w:snapToGrid w:val="0"/>
              <w:spacing w:before="20" w:after="20"/>
              <w:jc w:val="center"/>
            </w:pPr>
          </w:p>
        </w:tc>
        <w:tc>
          <w:tcPr>
            <w:tcW w:w="1086" w:type="dxa"/>
            <w:vMerge/>
            <w:tcBorders>
              <w:top w:val="nil"/>
              <w:left w:val="nil"/>
              <w:bottom w:val="single" w:sz="12" w:space="0" w:color="000000"/>
              <w:right w:val="nil"/>
            </w:tcBorders>
            <w:tcMar>
              <w:top w:w="-1" w:type="dxa"/>
              <w:left w:w="-1" w:type="dxa"/>
              <w:bottom w:w="-1" w:type="dxa"/>
              <w:right w:w="-1" w:type="dxa"/>
            </w:tcMar>
            <w:vAlign w:val="center"/>
          </w:tcPr>
          <w:p w14:paraId="082D190D" w14:textId="77777777" w:rsidR="000B1CCE" w:rsidRDefault="000B1CCE">
            <w:pPr>
              <w:snapToGrid w:val="0"/>
              <w:spacing w:before="20" w:after="20"/>
              <w:jc w:val="center"/>
            </w:pPr>
          </w:p>
        </w:tc>
        <w:tc>
          <w:tcPr>
            <w:tcW w:w="748" w:type="dxa"/>
            <w:vMerge/>
            <w:tcBorders>
              <w:top w:val="nil"/>
              <w:left w:val="nil"/>
              <w:bottom w:val="single" w:sz="12" w:space="0" w:color="000000"/>
              <w:right w:val="nil"/>
            </w:tcBorders>
            <w:tcMar>
              <w:top w:w="-1" w:type="dxa"/>
              <w:left w:w="-1" w:type="dxa"/>
              <w:bottom w:w="-1" w:type="dxa"/>
              <w:right w:w="-1" w:type="dxa"/>
            </w:tcMar>
            <w:vAlign w:val="center"/>
          </w:tcPr>
          <w:p w14:paraId="4526B5CE" w14:textId="77777777" w:rsidR="000B1CCE" w:rsidRDefault="000B1CCE">
            <w:pPr>
              <w:snapToGrid w:val="0"/>
              <w:spacing w:before="20" w:after="20"/>
              <w:jc w:val="center"/>
            </w:pPr>
          </w:p>
        </w:tc>
        <w:tc>
          <w:tcPr>
            <w:tcW w:w="877" w:type="dxa"/>
            <w:vMerge/>
            <w:tcBorders>
              <w:top w:val="nil"/>
              <w:left w:val="nil"/>
              <w:bottom w:val="single" w:sz="12" w:space="0" w:color="000000"/>
              <w:right w:val="nil"/>
            </w:tcBorders>
            <w:tcMar>
              <w:top w:w="-1" w:type="dxa"/>
              <w:left w:w="-1" w:type="dxa"/>
              <w:bottom w:w="-1" w:type="dxa"/>
              <w:right w:w="-1" w:type="dxa"/>
            </w:tcMar>
            <w:vAlign w:val="center"/>
          </w:tcPr>
          <w:p w14:paraId="79196E82" w14:textId="77777777" w:rsidR="000B1CCE" w:rsidRDefault="000B1CCE">
            <w:pPr>
              <w:snapToGrid w:val="0"/>
              <w:spacing w:before="20" w:after="20"/>
              <w:jc w:val="center"/>
            </w:pPr>
          </w:p>
        </w:tc>
        <w:tc>
          <w:tcPr>
            <w:tcW w:w="793" w:type="dxa"/>
            <w:tcBorders>
              <w:top w:val="nil"/>
              <w:left w:val="nil"/>
              <w:bottom w:val="single" w:sz="12" w:space="0" w:color="000000"/>
              <w:right w:val="nil"/>
            </w:tcBorders>
            <w:tcMar>
              <w:top w:w="-1" w:type="dxa"/>
              <w:left w:w="-1" w:type="dxa"/>
              <w:bottom w:w="-1" w:type="dxa"/>
              <w:right w:w="-1" w:type="dxa"/>
            </w:tcMar>
            <w:vAlign w:val="center"/>
          </w:tcPr>
          <w:p w14:paraId="5FB166CA" w14:textId="77777777" w:rsidR="000B1CCE" w:rsidRDefault="00000000">
            <w:pPr>
              <w:snapToGrid w:val="0"/>
              <w:spacing w:before="20" w:after="20"/>
              <w:jc w:val="center"/>
            </w:pPr>
            <w:r>
              <w:rPr>
                <w:rFonts w:ascii="Times New Roman" w:eastAsia="宋体" w:hAnsi="Times New Roman" w:cs="Times New Roman"/>
              </w:rPr>
              <w:t>4.35</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33C12D13" w14:textId="77777777" w:rsidR="000B1CCE" w:rsidRDefault="00000000">
            <w:pPr>
              <w:snapToGrid w:val="0"/>
              <w:spacing w:before="20" w:after="20"/>
              <w:jc w:val="center"/>
            </w:pPr>
            <w:r>
              <w:rPr>
                <w:rFonts w:ascii="Times New Roman" w:eastAsia="宋体" w:hAnsi="Times New Roman" w:cs="Times New Roman"/>
              </w:rPr>
              <w:t>0.90</w:t>
            </w:r>
          </w:p>
        </w:tc>
      </w:tr>
    </w:tbl>
    <w:p w14:paraId="14DE4FD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，按未四舍五入数计算下降约</w:t>
      </w:r>
      <w:r>
        <w:rPr>
          <w:rFonts w:ascii="Times New Roman" w:eastAsia="宋体" w:hAnsi="Times New Roman" w:cs="Times New Roman"/>
          <w:sz w:val="24"/>
        </w:rPr>
        <w:t>0.007</w:t>
      </w:r>
      <w:r>
        <w:rPr>
          <w:rFonts w:ascii="Times New Roman" w:eastAsia="宋体" w:hAnsi="Times New Roman" w:cs="Times New Roman"/>
          <w:sz w:val="24"/>
        </w:rPr>
        <w:t>分，整体基本稳定。差值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，未显示显著变化。两次测评均值都较高，反映纳入记录的教师总体较为认同高阶能力培养，但现有结果不支持认知与价值认同进一步提升的判断。</w:t>
      </w:r>
    </w:p>
    <w:p w14:paraId="2FAA054F"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）课堂教学实践</w:t>
      </w:r>
    </w:p>
    <w:p w14:paraId="289A7A7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3-57  </w:t>
      </w:r>
      <w:r>
        <w:rPr>
          <w:rFonts w:ascii="Times New Roman" w:eastAsia="黑体" w:hAnsi="Times New Roman" w:cs="Times New Roman"/>
        </w:rPr>
        <w:t>教师课堂教学实践前后测配对分析（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21632B17"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95A28F6"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2</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2E24281"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5D1E203C"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7C781AD"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BC6A88E"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F3D4034"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BD4E508"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04E80090"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7478DA42"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5B5A0C10"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288DA5D8"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5D2015C0"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32EF4F20"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21BB5971"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2B62FD39"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0F993DE4" w14:textId="77777777" w:rsidR="000B1CCE" w:rsidRDefault="000B1CCE">
            <w:pPr>
              <w:snapToGrid w:val="0"/>
              <w:spacing w:before="20" w:after="20"/>
              <w:jc w:val="center"/>
              <w:rPr>
                <w:b/>
              </w:rPr>
            </w:pPr>
          </w:p>
        </w:tc>
      </w:tr>
      <w:tr w:rsidR="000B1CCE" w14:paraId="655452F9"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536A58A5"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31D7A4F5" w14:textId="77777777" w:rsidR="000B1CCE" w:rsidRDefault="00000000">
            <w:pPr>
              <w:snapToGrid w:val="0"/>
              <w:spacing w:before="20" w:after="20"/>
              <w:jc w:val="center"/>
            </w:pPr>
            <w:r>
              <w:rPr>
                <w:rFonts w:ascii="Times New Roman" w:eastAsia="宋体" w:hAnsi="Times New Roman" w:cs="Times New Roman"/>
              </w:rPr>
              <w:t>-0.10</w:t>
            </w:r>
          </w:p>
        </w:tc>
        <w:tc>
          <w:tcPr>
            <w:tcW w:w="1107" w:type="dxa"/>
            <w:vMerge w:val="restart"/>
            <w:tcBorders>
              <w:top w:val="nil"/>
              <w:left w:val="nil"/>
              <w:bottom w:val="nil"/>
              <w:right w:val="nil"/>
            </w:tcBorders>
            <w:tcMar>
              <w:top w:w="-1" w:type="dxa"/>
              <w:left w:w="-1" w:type="dxa"/>
              <w:bottom w:w="-1" w:type="dxa"/>
              <w:right w:w="-1" w:type="dxa"/>
            </w:tcMar>
            <w:vAlign w:val="center"/>
          </w:tcPr>
          <w:p w14:paraId="38E01DE0" w14:textId="77777777" w:rsidR="000B1CCE" w:rsidRDefault="00000000">
            <w:pPr>
              <w:snapToGrid w:val="0"/>
              <w:spacing w:before="20" w:after="20"/>
              <w:jc w:val="center"/>
            </w:pPr>
            <w:r>
              <w:rPr>
                <w:rFonts w:ascii="Times New Roman" w:eastAsia="宋体" w:hAnsi="Times New Roman" w:cs="Times New Roman"/>
              </w:rPr>
              <w:t>-0.25</w:t>
            </w:r>
          </w:p>
        </w:tc>
        <w:tc>
          <w:tcPr>
            <w:tcW w:w="1082" w:type="dxa"/>
            <w:vMerge w:val="restart"/>
            <w:tcBorders>
              <w:top w:val="nil"/>
              <w:left w:val="nil"/>
              <w:bottom w:val="nil"/>
              <w:right w:val="nil"/>
            </w:tcBorders>
            <w:tcMar>
              <w:top w:w="-1" w:type="dxa"/>
              <w:left w:w="-1" w:type="dxa"/>
              <w:bottom w:w="-1" w:type="dxa"/>
              <w:right w:w="-1" w:type="dxa"/>
            </w:tcMar>
            <w:vAlign w:val="center"/>
          </w:tcPr>
          <w:p w14:paraId="08E6F02C" w14:textId="77777777" w:rsidR="000B1CCE" w:rsidRDefault="00000000">
            <w:pPr>
              <w:snapToGrid w:val="0"/>
              <w:spacing w:before="20" w:after="20"/>
              <w:jc w:val="center"/>
            </w:pPr>
            <w:r>
              <w:rPr>
                <w:rFonts w:ascii="Times New Roman" w:eastAsia="宋体" w:hAnsi="Times New Roman" w:cs="Times New Roman"/>
              </w:rPr>
              <w:t>0.06</w:t>
            </w:r>
          </w:p>
        </w:tc>
        <w:tc>
          <w:tcPr>
            <w:tcW w:w="812" w:type="dxa"/>
            <w:vMerge w:val="restart"/>
            <w:tcBorders>
              <w:top w:val="nil"/>
              <w:left w:val="nil"/>
              <w:bottom w:val="nil"/>
              <w:right w:val="nil"/>
            </w:tcBorders>
            <w:tcMar>
              <w:top w:w="-1" w:type="dxa"/>
              <w:left w:w="-1" w:type="dxa"/>
              <w:bottom w:w="-1" w:type="dxa"/>
              <w:right w:w="-1" w:type="dxa"/>
            </w:tcMar>
            <w:vAlign w:val="center"/>
          </w:tcPr>
          <w:p w14:paraId="1E987AA3" w14:textId="77777777" w:rsidR="000B1CCE" w:rsidRDefault="00000000">
            <w:pPr>
              <w:snapToGrid w:val="0"/>
              <w:spacing w:before="20" w:after="20"/>
              <w:jc w:val="center"/>
            </w:pPr>
            <w:r>
              <w:rPr>
                <w:rFonts w:ascii="Times New Roman" w:eastAsia="宋体" w:hAnsi="Times New Roman" w:cs="Times New Roman"/>
              </w:rPr>
              <w:t>-1.25</w:t>
            </w:r>
          </w:p>
        </w:tc>
        <w:tc>
          <w:tcPr>
            <w:tcW w:w="863" w:type="dxa"/>
            <w:vMerge w:val="restart"/>
            <w:tcBorders>
              <w:top w:val="nil"/>
              <w:left w:val="nil"/>
              <w:bottom w:val="nil"/>
              <w:right w:val="nil"/>
            </w:tcBorders>
            <w:tcMar>
              <w:top w:w="-1" w:type="dxa"/>
              <w:left w:w="-1" w:type="dxa"/>
              <w:bottom w:w="-1" w:type="dxa"/>
              <w:right w:w="-1" w:type="dxa"/>
            </w:tcMar>
            <w:vAlign w:val="center"/>
          </w:tcPr>
          <w:p w14:paraId="5AA590F6" w14:textId="77777777" w:rsidR="000B1CCE" w:rsidRDefault="00000000">
            <w:pPr>
              <w:snapToGrid w:val="0"/>
              <w:spacing w:before="20" w:after="20"/>
              <w:jc w:val="center"/>
            </w:pPr>
            <w:r>
              <w:rPr>
                <w:rFonts w:ascii="Times New Roman" w:eastAsia="宋体" w:hAnsi="Times New Roman" w:cs="Times New Roman"/>
              </w:rPr>
              <w:t>0.213</w:t>
            </w:r>
          </w:p>
        </w:tc>
        <w:tc>
          <w:tcPr>
            <w:tcW w:w="799" w:type="dxa"/>
            <w:tcBorders>
              <w:top w:val="nil"/>
              <w:left w:val="nil"/>
              <w:bottom w:val="nil"/>
              <w:right w:val="nil"/>
            </w:tcBorders>
            <w:tcMar>
              <w:top w:w="-1" w:type="dxa"/>
              <w:left w:w="-1" w:type="dxa"/>
              <w:bottom w:w="-1" w:type="dxa"/>
              <w:right w:w="-1" w:type="dxa"/>
            </w:tcMar>
            <w:vAlign w:val="center"/>
          </w:tcPr>
          <w:p w14:paraId="1CB70DBA" w14:textId="77777777" w:rsidR="000B1CCE" w:rsidRDefault="00000000">
            <w:pPr>
              <w:snapToGrid w:val="0"/>
              <w:spacing w:before="20" w:after="20"/>
              <w:jc w:val="center"/>
            </w:pPr>
            <w:r>
              <w:rPr>
                <w:rFonts w:ascii="Times New Roman" w:eastAsia="宋体" w:hAnsi="Times New Roman" w:cs="Times New Roman"/>
              </w:rPr>
              <w:t>4.22</w:t>
            </w:r>
          </w:p>
        </w:tc>
        <w:tc>
          <w:tcPr>
            <w:tcW w:w="799" w:type="dxa"/>
            <w:tcBorders>
              <w:top w:val="nil"/>
              <w:left w:val="nil"/>
              <w:bottom w:val="nil"/>
              <w:right w:val="nil"/>
            </w:tcBorders>
            <w:tcMar>
              <w:top w:w="-1" w:type="dxa"/>
              <w:left w:w="-1" w:type="dxa"/>
              <w:bottom w:w="-1" w:type="dxa"/>
              <w:right w:w="-1" w:type="dxa"/>
            </w:tcMar>
            <w:vAlign w:val="center"/>
          </w:tcPr>
          <w:p w14:paraId="359662AD" w14:textId="77777777" w:rsidR="000B1CCE" w:rsidRDefault="00000000">
            <w:pPr>
              <w:snapToGrid w:val="0"/>
              <w:spacing w:before="20" w:after="20"/>
              <w:jc w:val="center"/>
            </w:pPr>
            <w:r>
              <w:rPr>
                <w:rFonts w:ascii="Times New Roman" w:eastAsia="宋体" w:hAnsi="Times New Roman" w:cs="Times New Roman"/>
              </w:rPr>
              <w:t>0.72</w:t>
            </w:r>
          </w:p>
        </w:tc>
      </w:tr>
      <w:tr w:rsidR="000B1CCE" w14:paraId="43912285"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6F000946" w14:textId="77777777" w:rsidR="000B1CCE" w:rsidRDefault="00000000">
            <w:pPr>
              <w:snapToGrid w:val="0"/>
              <w:spacing w:before="20" w:after="20"/>
              <w:jc w:val="center"/>
            </w:pPr>
            <w:r>
              <w:rPr>
                <w:rFonts w:ascii="Times New Roman" w:eastAsia="宋体" w:hAnsi="Times New Roman" w:cs="Times New Roman"/>
              </w:rPr>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6F70B511"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51DF49EE"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7E2419EE"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A03C3EF"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0D808710"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6CA1F1F" w14:textId="77777777" w:rsidR="000B1CCE" w:rsidRDefault="00000000">
            <w:pPr>
              <w:snapToGrid w:val="0"/>
              <w:spacing w:before="20" w:after="20"/>
              <w:jc w:val="center"/>
            </w:pPr>
            <w:r>
              <w:rPr>
                <w:rFonts w:ascii="Times New Roman" w:eastAsia="宋体" w:hAnsi="Times New Roman" w:cs="Times New Roman"/>
              </w:rPr>
              <w:t>4.32</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6318A57A" w14:textId="77777777" w:rsidR="000B1CCE" w:rsidRDefault="00000000">
            <w:pPr>
              <w:snapToGrid w:val="0"/>
              <w:spacing w:before="20" w:after="20"/>
              <w:jc w:val="center"/>
            </w:pPr>
            <w:r>
              <w:rPr>
                <w:rFonts w:ascii="Times New Roman" w:eastAsia="宋体" w:hAnsi="Times New Roman" w:cs="Times New Roman"/>
              </w:rPr>
              <w:t>0.75</w:t>
            </w:r>
          </w:p>
        </w:tc>
      </w:tr>
    </w:tbl>
    <w:p w14:paraId="31E6230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分。该维度涉及高阶任务设计、项目或问题探究、真实情境、开放提问、数字资源使用以及思考研讨时间。均值方向提示后测记录的课堂实践自评略高，但差值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0.213</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，不能认定课堂教学实践发生了显著改善。</w:t>
      </w:r>
    </w:p>
    <w:p w14:paraId="64DBA8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上述两个维度分别反映教师如何理解高阶能力培养和如何在课堂中实施。本次结果表现为较高认同水平的维持，以及实践自评的小幅上升；二者均未形成统计显著的前后差异。</w:t>
      </w:r>
    </w:p>
    <w:p w14:paraId="59E1DCF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）教学自我效能</w:t>
      </w:r>
    </w:p>
    <w:p w14:paraId="48E6E8D0"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3-58  </w:t>
      </w:r>
      <w:r>
        <w:rPr>
          <w:rFonts w:ascii="Times New Roman" w:eastAsia="黑体" w:hAnsi="Times New Roman" w:cs="Times New Roman"/>
        </w:rPr>
        <w:t>教师教学自我效能前后测配对分析（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609D74D4"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D7E61C8"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3</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47A16EA"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6ACDE001"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7176DC3"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8DAC527"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BCA57FC"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C9E512F"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6F085BB4"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1397D37E"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42994085"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0C4D0D8E"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030DAEE5"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3EFB4469"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487C32F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5FBCB8E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660F2B98" w14:textId="77777777" w:rsidR="000B1CCE" w:rsidRDefault="000B1CCE">
            <w:pPr>
              <w:snapToGrid w:val="0"/>
              <w:spacing w:before="20" w:after="20"/>
              <w:jc w:val="center"/>
              <w:rPr>
                <w:b/>
              </w:rPr>
            </w:pPr>
          </w:p>
        </w:tc>
      </w:tr>
      <w:tr w:rsidR="000B1CCE" w14:paraId="573B563D"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2EB30167"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24498D62" w14:textId="77777777" w:rsidR="000B1CCE" w:rsidRDefault="00000000">
            <w:pPr>
              <w:snapToGrid w:val="0"/>
              <w:spacing w:before="20" w:after="20"/>
              <w:jc w:val="center"/>
            </w:pPr>
            <w:r>
              <w:rPr>
                <w:rFonts w:ascii="Times New Roman" w:eastAsia="宋体" w:hAnsi="Times New Roman" w:cs="Times New Roman"/>
              </w:rPr>
              <w:t>-0.08</w:t>
            </w:r>
          </w:p>
        </w:tc>
        <w:tc>
          <w:tcPr>
            <w:tcW w:w="1107" w:type="dxa"/>
            <w:vMerge w:val="restart"/>
            <w:tcBorders>
              <w:top w:val="nil"/>
              <w:left w:val="nil"/>
              <w:bottom w:val="nil"/>
              <w:right w:val="nil"/>
            </w:tcBorders>
            <w:tcMar>
              <w:top w:w="-1" w:type="dxa"/>
              <w:left w:w="-1" w:type="dxa"/>
              <w:bottom w:w="-1" w:type="dxa"/>
              <w:right w:w="-1" w:type="dxa"/>
            </w:tcMar>
            <w:vAlign w:val="center"/>
          </w:tcPr>
          <w:p w14:paraId="34C1AE96" w14:textId="77777777" w:rsidR="000B1CCE" w:rsidRDefault="00000000">
            <w:pPr>
              <w:snapToGrid w:val="0"/>
              <w:spacing w:before="20" w:after="20"/>
              <w:jc w:val="center"/>
            </w:pPr>
            <w:r>
              <w:rPr>
                <w:rFonts w:ascii="Times New Roman" w:eastAsia="宋体" w:hAnsi="Times New Roman" w:cs="Times New Roman"/>
              </w:rPr>
              <w:t>-0.24</w:t>
            </w:r>
          </w:p>
        </w:tc>
        <w:tc>
          <w:tcPr>
            <w:tcW w:w="1082" w:type="dxa"/>
            <w:vMerge w:val="restart"/>
            <w:tcBorders>
              <w:top w:val="nil"/>
              <w:left w:val="nil"/>
              <w:bottom w:val="nil"/>
              <w:right w:val="nil"/>
            </w:tcBorders>
            <w:tcMar>
              <w:top w:w="-1" w:type="dxa"/>
              <w:left w:w="-1" w:type="dxa"/>
              <w:bottom w:w="-1" w:type="dxa"/>
              <w:right w:w="-1" w:type="dxa"/>
            </w:tcMar>
            <w:vAlign w:val="center"/>
          </w:tcPr>
          <w:p w14:paraId="05537CFF" w14:textId="77777777" w:rsidR="000B1CCE" w:rsidRDefault="00000000">
            <w:pPr>
              <w:snapToGrid w:val="0"/>
              <w:spacing w:before="20" w:after="20"/>
              <w:jc w:val="center"/>
            </w:pPr>
            <w:r>
              <w:rPr>
                <w:rFonts w:ascii="Times New Roman" w:eastAsia="宋体" w:hAnsi="Times New Roman" w:cs="Times New Roman"/>
              </w:rPr>
              <w:t>0.08</w:t>
            </w:r>
          </w:p>
        </w:tc>
        <w:tc>
          <w:tcPr>
            <w:tcW w:w="812" w:type="dxa"/>
            <w:vMerge w:val="restart"/>
            <w:tcBorders>
              <w:top w:val="nil"/>
              <w:left w:val="nil"/>
              <w:bottom w:val="nil"/>
              <w:right w:val="nil"/>
            </w:tcBorders>
            <w:tcMar>
              <w:top w:w="-1" w:type="dxa"/>
              <w:left w:w="-1" w:type="dxa"/>
              <w:bottom w:w="-1" w:type="dxa"/>
              <w:right w:w="-1" w:type="dxa"/>
            </w:tcMar>
            <w:vAlign w:val="center"/>
          </w:tcPr>
          <w:p w14:paraId="6EEF0791" w14:textId="77777777" w:rsidR="000B1CCE" w:rsidRDefault="00000000">
            <w:pPr>
              <w:snapToGrid w:val="0"/>
              <w:spacing w:before="20" w:after="20"/>
              <w:jc w:val="center"/>
            </w:pPr>
            <w:r>
              <w:rPr>
                <w:rFonts w:ascii="Times New Roman" w:eastAsia="宋体" w:hAnsi="Times New Roman" w:cs="Times New Roman"/>
              </w:rPr>
              <w:t>-0.97</w:t>
            </w:r>
          </w:p>
        </w:tc>
        <w:tc>
          <w:tcPr>
            <w:tcW w:w="863" w:type="dxa"/>
            <w:vMerge w:val="restart"/>
            <w:tcBorders>
              <w:top w:val="nil"/>
              <w:left w:val="nil"/>
              <w:bottom w:val="nil"/>
              <w:right w:val="nil"/>
            </w:tcBorders>
            <w:tcMar>
              <w:top w:w="-1" w:type="dxa"/>
              <w:left w:w="-1" w:type="dxa"/>
              <w:bottom w:w="-1" w:type="dxa"/>
              <w:right w:w="-1" w:type="dxa"/>
            </w:tcMar>
            <w:vAlign w:val="center"/>
          </w:tcPr>
          <w:p w14:paraId="63024A12" w14:textId="77777777" w:rsidR="000B1CCE" w:rsidRDefault="00000000">
            <w:pPr>
              <w:snapToGrid w:val="0"/>
              <w:spacing w:before="20" w:after="20"/>
              <w:jc w:val="center"/>
            </w:pPr>
            <w:r>
              <w:rPr>
                <w:rFonts w:ascii="Times New Roman" w:eastAsia="宋体" w:hAnsi="Times New Roman" w:cs="Times New Roman"/>
              </w:rPr>
              <w:t>0.336</w:t>
            </w:r>
          </w:p>
        </w:tc>
        <w:tc>
          <w:tcPr>
            <w:tcW w:w="799" w:type="dxa"/>
            <w:tcBorders>
              <w:top w:val="nil"/>
              <w:left w:val="nil"/>
              <w:bottom w:val="nil"/>
              <w:right w:val="nil"/>
            </w:tcBorders>
            <w:tcMar>
              <w:top w:w="-1" w:type="dxa"/>
              <w:left w:w="-1" w:type="dxa"/>
              <w:bottom w:w="-1" w:type="dxa"/>
              <w:right w:w="-1" w:type="dxa"/>
            </w:tcMar>
            <w:vAlign w:val="center"/>
          </w:tcPr>
          <w:p w14:paraId="69E0933E" w14:textId="77777777" w:rsidR="000B1CCE" w:rsidRDefault="00000000">
            <w:pPr>
              <w:snapToGrid w:val="0"/>
              <w:spacing w:before="20" w:after="20"/>
              <w:jc w:val="center"/>
            </w:pPr>
            <w:r>
              <w:rPr>
                <w:rFonts w:ascii="Times New Roman" w:eastAsia="宋体" w:hAnsi="Times New Roman" w:cs="Times New Roman"/>
              </w:rPr>
              <w:t>4.08</w:t>
            </w:r>
          </w:p>
        </w:tc>
        <w:tc>
          <w:tcPr>
            <w:tcW w:w="799" w:type="dxa"/>
            <w:tcBorders>
              <w:top w:val="nil"/>
              <w:left w:val="nil"/>
              <w:bottom w:val="nil"/>
              <w:right w:val="nil"/>
            </w:tcBorders>
            <w:tcMar>
              <w:top w:w="-1" w:type="dxa"/>
              <w:left w:w="-1" w:type="dxa"/>
              <w:bottom w:w="-1" w:type="dxa"/>
              <w:right w:w="-1" w:type="dxa"/>
            </w:tcMar>
            <w:vAlign w:val="center"/>
          </w:tcPr>
          <w:p w14:paraId="677D9148" w14:textId="77777777" w:rsidR="000B1CCE" w:rsidRDefault="00000000">
            <w:pPr>
              <w:snapToGrid w:val="0"/>
              <w:spacing w:before="20" w:after="20"/>
              <w:jc w:val="center"/>
            </w:pPr>
            <w:r>
              <w:rPr>
                <w:rFonts w:ascii="Times New Roman" w:eastAsia="宋体" w:hAnsi="Times New Roman" w:cs="Times New Roman"/>
              </w:rPr>
              <w:t>0.73</w:t>
            </w:r>
          </w:p>
        </w:tc>
      </w:tr>
      <w:tr w:rsidR="000B1CCE" w14:paraId="541C09D6"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1A684F42" w14:textId="77777777" w:rsidR="000B1CCE" w:rsidRDefault="00000000">
            <w:pPr>
              <w:snapToGrid w:val="0"/>
              <w:spacing w:before="20" w:after="20"/>
              <w:jc w:val="center"/>
            </w:pPr>
            <w:r>
              <w:rPr>
                <w:rFonts w:ascii="Times New Roman" w:eastAsia="宋体" w:hAnsi="Times New Roman" w:cs="Times New Roman"/>
              </w:rPr>
              <w:lastRenderedPageBreak/>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2EB55C70"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7EA7F6C5"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0CB2EBB7"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709809B"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52978BD4"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ADC35D6" w14:textId="77777777" w:rsidR="000B1CCE" w:rsidRDefault="00000000">
            <w:pPr>
              <w:snapToGrid w:val="0"/>
              <w:spacing w:before="20" w:after="20"/>
              <w:jc w:val="center"/>
            </w:pPr>
            <w:r>
              <w:rPr>
                <w:rFonts w:ascii="Times New Roman" w:eastAsia="宋体" w:hAnsi="Times New Roman" w:cs="Times New Roman"/>
              </w:rPr>
              <w:t>4.16</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0D0A02D9" w14:textId="77777777" w:rsidR="000B1CCE" w:rsidRDefault="00000000">
            <w:pPr>
              <w:snapToGrid w:val="0"/>
              <w:spacing w:before="20" w:after="20"/>
              <w:jc w:val="center"/>
            </w:pPr>
            <w:r>
              <w:rPr>
                <w:rFonts w:ascii="Times New Roman" w:eastAsia="宋体" w:hAnsi="Times New Roman" w:cs="Times New Roman"/>
              </w:rPr>
              <w:t>0.77</w:t>
            </w:r>
          </w:p>
        </w:tc>
      </w:tr>
    </w:tbl>
    <w:p w14:paraId="52B229C3"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教学自我效能前测均分为</w:t>
      </w:r>
      <w:r>
        <w:rPr>
          <w:rFonts w:ascii="Times New Roman" w:eastAsia="宋体" w:hAnsi="Times New Roman" w:cs="Times New Roman"/>
          <w:sz w:val="24"/>
        </w:rPr>
        <w:t>4.08</w:t>
      </w:r>
      <w:r>
        <w:rPr>
          <w:rFonts w:ascii="Times New Roman" w:eastAsia="宋体" w:hAnsi="Times New Roman" w:cs="Times New Roman"/>
          <w:sz w:val="24"/>
        </w:rPr>
        <w:t>，后测为</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分。该维度反映教师设计高阶学习任务、通过提问点拨促进思考及识别学生高阶表现的自我把握程度。原始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0.336</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w:t>
      </w:r>
    </w:p>
    <w:p w14:paraId="17F9019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）现实阻碍</w:t>
      </w:r>
    </w:p>
    <w:p w14:paraId="46BE0ED0"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3-59  </w:t>
      </w:r>
      <w:r>
        <w:rPr>
          <w:rFonts w:ascii="Times New Roman" w:eastAsia="黑体" w:hAnsi="Times New Roman" w:cs="Times New Roman"/>
        </w:rPr>
        <w:t>教师现实阻碍前后测配对分析（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2"/>
        <w:gridCol w:w="1313"/>
        <w:gridCol w:w="1123"/>
        <w:gridCol w:w="1098"/>
        <w:gridCol w:w="741"/>
        <w:gridCol w:w="870"/>
        <w:gridCol w:w="801"/>
        <w:gridCol w:w="801"/>
      </w:tblGrid>
      <w:tr w:rsidR="000B1CCE" w14:paraId="580E0364" w14:textId="77777777">
        <w:trPr>
          <w:tblHeader/>
          <w:jc w:val="center"/>
        </w:trPr>
        <w:tc>
          <w:tcPr>
            <w:tcW w:w="177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44B1410"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4</w:t>
            </w:r>
          </w:p>
        </w:tc>
        <w:tc>
          <w:tcPr>
            <w:tcW w:w="131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F4D5CC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98"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65EC9275"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FBB88BE" w14:textId="77777777" w:rsidR="000B1CCE" w:rsidRDefault="00000000">
            <w:pPr>
              <w:snapToGrid w:val="0"/>
              <w:spacing w:before="20" w:after="20"/>
              <w:jc w:val="center"/>
              <w:rPr>
                <w:b/>
              </w:rPr>
            </w:pPr>
            <w:r>
              <w:rPr>
                <w:rFonts w:ascii="Times New Roman" w:eastAsia="宋体" w:hAnsi="Times New Roman" w:cs="Times New Roman"/>
                <w:b/>
              </w:rPr>
              <w:t>t</w:t>
            </w:r>
          </w:p>
        </w:tc>
        <w:tc>
          <w:tcPr>
            <w:tcW w:w="87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879ACA1" w14:textId="77777777" w:rsidR="000B1CCE" w:rsidRDefault="00000000">
            <w:pPr>
              <w:snapToGrid w:val="0"/>
              <w:spacing w:before="20" w:after="20"/>
              <w:jc w:val="center"/>
              <w:rPr>
                <w:b/>
              </w:rPr>
            </w:pPr>
            <w:r>
              <w:rPr>
                <w:rFonts w:ascii="Times New Roman" w:eastAsia="宋体" w:hAnsi="Times New Roman" w:cs="Times New Roman"/>
                <w:b/>
              </w:rPr>
              <w:t>Sig.</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EE05A88" w14:textId="77777777" w:rsidR="000B1CCE" w:rsidRDefault="00000000">
            <w:pPr>
              <w:snapToGrid w:val="0"/>
              <w:spacing w:before="20" w:after="20"/>
              <w:jc w:val="center"/>
              <w:rPr>
                <w:b/>
              </w:rPr>
            </w:pPr>
            <w:r>
              <w:rPr>
                <w:rFonts w:ascii="Times New Roman" w:eastAsia="宋体" w:hAnsi="Times New Roman" w:cs="Times New Roman"/>
                <w:b/>
              </w:rPr>
              <w:t>M</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FFDD62B"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09D50C8"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2CA4F004" w14:textId="77777777" w:rsidR="000B1CCE" w:rsidRDefault="000B1CCE">
            <w:pPr>
              <w:snapToGrid w:val="0"/>
              <w:spacing w:before="20" w:after="2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4E989761" w14:textId="77777777" w:rsidR="000B1CCE" w:rsidRDefault="000B1CCE">
            <w:pPr>
              <w:snapToGrid w:val="0"/>
              <w:spacing w:before="20" w:after="2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4EF43A7B"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98" w:type="dxa"/>
            <w:tcBorders>
              <w:top w:val="nil"/>
              <w:left w:val="nil"/>
              <w:bottom w:val="nil"/>
              <w:right w:val="nil"/>
            </w:tcBorders>
            <w:tcMar>
              <w:top w:w="-1" w:type="dxa"/>
              <w:left w:w="-1" w:type="dxa"/>
              <w:bottom w:w="-1" w:type="dxa"/>
              <w:right w:w="-1" w:type="dxa"/>
            </w:tcMar>
            <w:vAlign w:val="center"/>
          </w:tcPr>
          <w:p w14:paraId="0A745D26"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1" w:type="dxa"/>
            <w:vMerge/>
            <w:tcBorders>
              <w:top w:val="nil"/>
              <w:left w:val="nil"/>
              <w:bottom w:val="nil"/>
              <w:right w:val="nil"/>
            </w:tcBorders>
            <w:tcMar>
              <w:top w:w="-1" w:type="dxa"/>
              <w:left w:w="-1" w:type="dxa"/>
              <w:bottom w:w="-1" w:type="dxa"/>
              <w:right w:w="-1" w:type="dxa"/>
            </w:tcMar>
            <w:vAlign w:val="center"/>
          </w:tcPr>
          <w:p w14:paraId="2D2633D4" w14:textId="77777777" w:rsidR="000B1CCE" w:rsidRDefault="000B1CCE">
            <w:pPr>
              <w:snapToGrid w:val="0"/>
              <w:spacing w:before="20" w:after="2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D9F0842"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90CA750"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057B9204" w14:textId="77777777" w:rsidR="000B1CCE" w:rsidRDefault="000B1CCE">
            <w:pPr>
              <w:snapToGrid w:val="0"/>
              <w:spacing w:before="20" w:after="20"/>
              <w:jc w:val="center"/>
              <w:rPr>
                <w:b/>
              </w:rPr>
            </w:pPr>
          </w:p>
        </w:tc>
      </w:tr>
      <w:tr w:rsidR="000B1CCE" w14:paraId="752801CA"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5E3104BC" w14:textId="77777777" w:rsidR="000B1CCE" w:rsidRDefault="00000000">
            <w:pPr>
              <w:snapToGrid w:val="0"/>
              <w:spacing w:before="20" w:after="20"/>
              <w:jc w:val="center"/>
            </w:pPr>
            <w:r>
              <w:rPr>
                <w:rFonts w:ascii="Times New Roman" w:eastAsia="宋体" w:hAnsi="Times New Roman" w:cs="Times New Roman"/>
              </w:rP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198F98B6" w14:textId="77777777" w:rsidR="000B1CCE" w:rsidRDefault="00000000">
            <w:pPr>
              <w:snapToGrid w:val="0"/>
              <w:spacing w:before="20" w:after="20"/>
              <w:jc w:val="center"/>
            </w:pPr>
            <w:r>
              <w:rPr>
                <w:rFonts w:ascii="Times New Roman" w:eastAsia="宋体" w:hAnsi="Times New Roman" w:cs="Times New Roman"/>
              </w:rP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34E22D9F" w14:textId="77777777" w:rsidR="000B1CCE" w:rsidRDefault="00000000">
            <w:pPr>
              <w:snapToGrid w:val="0"/>
              <w:spacing w:before="20" w:after="20"/>
              <w:jc w:val="center"/>
            </w:pPr>
            <w:r>
              <w:rPr>
                <w:rFonts w:ascii="Times New Roman" w:eastAsia="宋体" w:hAnsi="Times New Roman" w:cs="Times New Roman"/>
              </w:rP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63FD0CBE" w14:textId="77777777" w:rsidR="000B1CCE" w:rsidRDefault="00000000">
            <w:pPr>
              <w:snapToGrid w:val="0"/>
              <w:spacing w:before="20" w:after="20"/>
              <w:jc w:val="center"/>
            </w:pPr>
            <w:r>
              <w:rPr>
                <w:rFonts w:ascii="Times New Roman" w:eastAsia="宋体" w:hAnsi="Times New Roman" w:cs="Times New Roman"/>
              </w:rPr>
              <w:t>0.33</w:t>
            </w:r>
          </w:p>
        </w:tc>
        <w:tc>
          <w:tcPr>
            <w:tcW w:w="741" w:type="dxa"/>
            <w:vMerge w:val="restart"/>
            <w:tcBorders>
              <w:top w:val="nil"/>
              <w:left w:val="nil"/>
              <w:bottom w:val="nil"/>
              <w:right w:val="nil"/>
            </w:tcBorders>
            <w:tcMar>
              <w:top w:w="-1" w:type="dxa"/>
              <w:left w:w="-1" w:type="dxa"/>
              <w:bottom w:w="-1" w:type="dxa"/>
              <w:right w:w="-1" w:type="dxa"/>
            </w:tcMar>
            <w:vAlign w:val="center"/>
          </w:tcPr>
          <w:p w14:paraId="7DDEC902" w14:textId="77777777" w:rsidR="000B1CCE" w:rsidRDefault="00000000">
            <w:pPr>
              <w:snapToGrid w:val="0"/>
              <w:spacing w:before="20" w:after="20"/>
              <w:jc w:val="center"/>
            </w:pPr>
            <w:r>
              <w:rPr>
                <w:rFonts w:ascii="Times New Roman" w:eastAsia="宋体" w:hAnsi="Times New Roman" w:cs="Times New Roman"/>
              </w:rPr>
              <w:t>1.23</w:t>
            </w:r>
          </w:p>
        </w:tc>
        <w:tc>
          <w:tcPr>
            <w:tcW w:w="870" w:type="dxa"/>
            <w:vMerge w:val="restart"/>
            <w:tcBorders>
              <w:top w:val="nil"/>
              <w:left w:val="nil"/>
              <w:bottom w:val="nil"/>
              <w:right w:val="nil"/>
            </w:tcBorders>
            <w:tcMar>
              <w:top w:w="-1" w:type="dxa"/>
              <w:left w:w="-1" w:type="dxa"/>
              <w:bottom w:w="-1" w:type="dxa"/>
              <w:right w:w="-1" w:type="dxa"/>
            </w:tcMar>
            <w:vAlign w:val="center"/>
          </w:tcPr>
          <w:p w14:paraId="66D258D2" w14:textId="77777777" w:rsidR="000B1CCE" w:rsidRDefault="00000000">
            <w:pPr>
              <w:snapToGrid w:val="0"/>
              <w:spacing w:before="20" w:after="20"/>
              <w:jc w:val="center"/>
            </w:pPr>
            <w:r>
              <w:rPr>
                <w:rFonts w:ascii="Times New Roman" w:eastAsia="宋体" w:hAnsi="Times New Roman" w:cs="Times New Roman"/>
              </w:rPr>
              <w:t>0.220</w:t>
            </w:r>
          </w:p>
        </w:tc>
        <w:tc>
          <w:tcPr>
            <w:tcW w:w="801" w:type="dxa"/>
            <w:tcBorders>
              <w:top w:val="nil"/>
              <w:left w:val="nil"/>
              <w:bottom w:val="nil"/>
              <w:right w:val="nil"/>
            </w:tcBorders>
            <w:tcMar>
              <w:top w:w="-1" w:type="dxa"/>
              <w:left w:w="-1" w:type="dxa"/>
              <w:bottom w:w="-1" w:type="dxa"/>
              <w:right w:w="-1" w:type="dxa"/>
            </w:tcMar>
            <w:vAlign w:val="center"/>
          </w:tcPr>
          <w:p w14:paraId="2EA65D50" w14:textId="77777777" w:rsidR="000B1CCE" w:rsidRDefault="00000000">
            <w:pPr>
              <w:snapToGrid w:val="0"/>
              <w:spacing w:before="20" w:after="20"/>
              <w:jc w:val="center"/>
            </w:pPr>
            <w:r>
              <w:rPr>
                <w:rFonts w:ascii="Times New Roman" w:eastAsia="宋体" w:hAnsi="Times New Roman" w:cs="Times New Roman"/>
              </w:rPr>
              <w:t>3.64</w:t>
            </w:r>
          </w:p>
        </w:tc>
        <w:tc>
          <w:tcPr>
            <w:tcW w:w="801" w:type="dxa"/>
            <w:tcBorders>
              <w:top w:val="nil"/>
              <w:left w:val="nil"/>
              <w:bottom w:val="nil"/>
              <w:right w:val="nil"/>
            </w:tcBorders>
            <w:tcMar>
              <w:top w:w="-1" w:type="dxa"/>
              <w:left w:w="-1" w:type="dxa"/>
              <w:bottom w:w="-1" w:type="dxa"/>
              <w:right w:w="-1" w:type="dxa"/>
            </w:tcMar>
            <w:vAlign w:val="center"/>
          </w:tcPr>
          <w:p w14:paraId="3F56848E" w14:textId="77777777" w:rsidR="000B1CCE" w:rsidRDefault="00000000">
            <w:pPr>
              <w:snapToGrid w:val="0"/>
              <w:spacing w:before="20" w:after="20"/>
              <w:jc w:val="center"/>
            </w:pPr>
            <w:r>
              <w:rPr>
                <w:rFonts w:ascii="Times New Roman" w:eastAsia="宋体" w:hAnsi="Times New Roman" w:cs="Times New Roman"/>
              </w:rPr>
              <w:t>0.95</w:t>
            </w:r>
          </w:p>
        </w:tc>
      </w:tr>
      <w:tr w:rsidR="000B1CCE" w14:paraId="3EE53E57" w14:textId="77777777">
        <w:trPr>
          <w:jc w:val="center"/>
        </w:trPr>
        <w:tc>
          <w:tcPr>
            <w:tcW w:w="1773" w:type="dxa"/>
            <w:tcBorders>
              <w:top w:val="nil"/>
              <w:left w:val="nil"/>
              <w:bottom w:val="single" w:sz="12" w:space="0" w:color="000000"/>
              <w:right w:val="nil"/>
            </w:tcBorders>
            <w:tcMar>
              <w:top w:w="-1" w:type="dxa"/>
              <w:left w:w="-1" w:type="dxa"/>
              <w:bottom w:w="-1" w:type="dxa"/>
              <w:right w:w="-1" w:type="dxa"/>
            </w:tcMar>
            <w:vAlign w:val="center"/>
          </w:tcPr>
          <w:p w14:paraId="1AD9AA28" w14:textId="77777777" w:rsidR="000B1CCE" w:rsidRDefault="00000000">
            <w:pPr>
              <w:snapToGrid w:val="0"/>
              <w:spacing w:before="20" w:after="20"/>
              <w:jc w:val="center"/>
            </w:pPr>
            <w:r>
              <w:rPr>
                <w:rFonts w:ascii="Times New Roman" w:eastAsia="宋体" w:hAnsi="Times New Roman" w:cs="Times New Roman"/>
              </w:rPr>
              <w:t>均分（后测）</w:t>
            </w:r>
          </w:p>
        </w:tc>
        <w:tc>
          <w:tcPr>
            <w:tcW w:w="1313" w:type="dxa"/>
            <w:vMerge/>
            <w:tcBorders>
              <w:top w:val="nil"/>
              <w:left w:val="nil"/>
              <w:bottom w:val="single" w:sz="12" w:space="0" w:color="000000"/>
              <w:right w:val="nil"/>
            </w:tcBorders>
            <w:tcMar>
              <w:top w:w="-1" w:type="dxa"/>
              <w:left w:w="-1" w:type="dxa"/>
              <w:bottom w:w="-1" w:type="dxa"/>
              <w:right w:w="-1" w:type="dxa"/>
            </w:tcMar>
            <w:vAlign w:val="center"/>
          </w:tcPr>
          <w:p w14:paraId="2B61791B" w14:textId="77777777" w:rsidR="000B1CCE" w:rsidRDefault="000B1CCE">
            <w:pPr>
              <w:snapToGrid w:val="0"/>
              <w:spacing w:before="20" w:after="20"/>
              <w:jc w:val="center"/>
            </w:pPr>
          </w:p>
        </w:tc>
        <w:tc>
          <w:tcPr>
            <w:tcW w:w="1123" w:type="dxa"/>
            <w:vMerge/>
            <w:tcBorders>
              <w:top w:val="nil"/>
              <w:left w:val="nil"/>
              <w:bottom w:val="single" w:sz="12" w:space="0" w:color="000000"/>
              <w:right w:val="nil"/>
            </w:tcBorders>
            <w:tcMar>
              <w:top w:w="-1" w:type="dxa"/>
              <w:left w:w="-1" w:type="dxa"/>
              <w:bottom w:w="-1" w:type="dxa"/>
              <w:right w:w="-1" w:type="dxa"/>
            </w:tcMar>
            <w:vAlign w:val="center"/>
          </w:tcPr>
          <w:p w14:paraId="556FB99A" w14:textId="77777777" w:rsidR="000B1CCE" w:rsidRDefault="000B1CCE">
            <w:pPr>
              <w:snapToGrid w:val="0"/>
              <w:spacing w:before="20" w:after="20"/>
              <w:jc w:val="center"/>
            </w:pPr>
          </w:p>
        </w:tc>
        <w:tc>
          <w:tcPr>
            <w:tcW w:w="1098" w:type="dxa"/>
            <w:vMerge/>
            <w:tcBorders>
              <w:top w:val="nil"/>
              <w:left w:val="nil"/>
              <w:bottom w:val="single" w:sz="12" w:space="0" w:color="000000"/>
              <w:right w:val="nil"/>
            </w:tcBorders>
            <w:tcMar>
              <w:top w:w="-1" w:type="dxa"/>
              <w:left w:w="-1" w:type="dxa"/>
              <w:bottom w:w="-1" w:type="dxa"/>
              <w:right w:w="-1" w:type="dxa"/>
            </w:tcMar>
            <w:vAlign w:val="center"/>
          </w:tcPr>
          <w:p w14:paraId="3A303D03" w14:textId="77777777" w:rsidR="000B1CCE" w:rsidRDefault="000B1CCE">
            <w:pPr>
              <w:snapToGrid w:val="0"/>
              <w:spacing w:before="20" w:after="20"/>
              <w:jc w:val="center"/>
            </w:pPr>
          </w:p>
        </w:tc>
        <w:tc>
          <w:tcPr>
            <w:tcW w:w="741" w:type="dxa"/>
            <w:vMerge/>
            <w:tcBorders>
              <w:top w:val="nil"/>
              <w:left w:val="nil"/>
              <w:bottom w:val="single" w:sz="12" w:space="0" w:color="000000"/>
              <w:right w:val="nil"/>
            </w:tcBorders>
            <w:tcMar>
              <w:top w:w="-1" w:type="dxa"/>
              <w:left w:w="-1" w:type="dxa"/>
              <w:bottom w:w="-1" w:type="dxa"/>
              <w:right w:w="-1" w:type="dxa"/>
            </w:tcMar>
            <w:vAlign w:val="center"/>
          </w:tcPr>
          <w:p w14:paraId="67A15D6D" w14:textId="77777777" w:rsidR="000B1CCE" w:rsidRDefault="000B1CCE">
            <w:pPr>
              <w:snapToGrid w:val="0"/>
              <w:spacing w:before="20" w:after="20"/>
              <w:jc w:val="center"/>
            </w:pPr>
          </w:p>
        </w:tc>
        <w:tc>
          <w:tcPr>
            <w:tcW w:w="870" w:type="dxa"/>
            <w:vMerge/>
            <w:tcBorders>
              <w:top w:val="nil"/>
              <w:left w:val="nil"/>
              <w:bottom w:val="single" w:sz="12" w:space="0" w:color="000000"/>
              <w:right w:val="nil"/>
            </w:tcBorders>
            <w:tcMar>
              <w:top w:w="-1" w:type="dxa"/>
              <w:left w:w="-1" w:type="dxa"/>
              <w:bottom w:w="-1" w:type="dxa"/>
              <w:right w:w="-1" w:type="dxa"/>
            </w:tcMar>
            <w:vAlign w:val="center"/>
          </w:tcPr>
          <w:p w14:paraId="348A076C" w14:textId="77777777" w:rsidR="000B1CCE" w:rsidRDefault="000B1CCE">
            <w:pPr>
              <w:snapToGrid w:val="0"/>
              <w:spacing w:before="20" w:after="20"/>
              <w:jc w:val="center"/>
            </w:pPr>
          </w:p>
        </w:tc>
        <w:tc>
          <w:tcPr>
            <w:tcW w:w="801" w:type="dxa"/>
            <w:tcBorders>
              <w:top w:val="nil"/>
              <w:left w:val="nil"/>
              <w:bottom w:val="single" w:sz="12" w:space="0" w:color="000000"/>
              <w:right w:val="nil"/>
            </w:tcBorders>
            <w:tcMar>
              <w:top w:w="-1" w:type="dxa"/>
              <w:left w:w="-1" w:type="dxa"/>
              <w:bottom w:w="-1" w:type="dxa"/>
              <w:right w:w="-1" w:type="dxa"/>
            </w:tcMar>
            <w:vAlign w:val="center"/>
          </w:tcPr>
          <w:p w14:paraId="2E4B987F" w14:textId="77777777" w:rsidR="000B1CCE" w:rsidRDefault="00000000">
            <w:pPr>
              <w:snapToGrid w:val="0"/>
              <w:spacing w:before="20" w:after="20"/>
              <w:jc w:val="center"/>
            </w:pPr>
            <w:r>
              <w:rPr>
                <w:rFonts w:ascii="Times New Roman" w:eastAsia="宋体" w:hAnsi="Times New Roman" w:cs="Times New Roman"/>
              </w:rPr>
              <w:t>3.51</w:t>
            </w:r>
          </w:p>
        </w:tc>
        <w:tc>
          <w:tcPr>
            <w:tcW w:w="801" w:type="dxa"/>
            <w:tcBorders>
              <w:top w:val="nil"/>
              <w:left w:val="nil"/>
              <w:bottom w:val="single" w:sz="12" w:space="0" w:color="000000"/>
              <w:right w:val="nil"/>
            </w:tcBorders>
            <w:tcMar>
              <w:top w:w="-1" w:type="dxa"/>
              <w:left w:w="-1" w:type="dxa"/>
              <w:bottom w:w="-1" w:type="dxa"/>
              <w:right w:w="-1" w:type="dxa"/>
            </w:tcMar>
            <w:vAlign w:val="center"/>
          </w:tcPr>
          <w:p w14:paraId="252606F2" w14:textId="77777777" w:rsidR="000B1CCE" w:rsidRDefault="00000000">
            <w:pPr>
              <w:snapToGrid w:val="0"/>
              <w:spacing w:before="20" w:after="20"/>
              <w:jc w:val="center"/>
            </w:pPr>
            <w:r>
              <w:rPr>
                <w:rFonts w:ascii="Times New Roman" w:eastAsia="宋体" w:hAnsi="Times New Roman" w:cs="Times New Roman"/>
              </w:rPr>
              <w:t>0.95</w:t>
            </w:r>
          </w:p>
        </w:tc>
      </w:tr>
    </w:tbl>
    <w:p w14:paraId="7B9573E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现实阻碍前测均分为</w:t>
      </w:r>
      <w:r>
        <w:rPr>
          <w:rFonts w:ascii="Times New Roman" w:eastAsia="宋体" w:hAnsi="Times New Roman" w:cs="Times New Roman"/>
          <w:sz w:val="24"/>
        </w:rPr>
        <w:t>3.64</w:t>
      </w:r>
      <w:r>
        <w:rPr>
          <w:rFonts w:ascii="Times New Roman" w:eastAsia="宋体" w:hAnsi="Times New Roman" w:cs="Times New Roman"/>
          <w:sz w:val="24"/>
        </w:rPr>
        <w:t>，后测为</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分，方向上表现为困难感受有所减轻。但原始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0.220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，未达到统计显著。后测均值仍高于量表中点</w:t>
      </w:r>
      <w:r>
        <w:rPr>
          <w:rFonts w:ascii="Times New Roman" w:eastAsia="宋体" w:hAnsi="Times New Roman" w:cs="Times New Roman"/>
          <w:sz w:val="24"/>
        </w:rPr>
        <w:t>3</w:t>
      </w:r>
      <w:r>
        <w:rPr>
          <w:rFonts w:ascii="Times New Roman" w:eastAsia="宋体" w:hAnsi="Times New Roman" w:cs="Times New Roman"/>
          <w:sz w:val="24"/>
        </w:rPr>
        <w:t>分，说明时间、考试导向、资源、学生差异、实操指导与课堂管理等困难仍值得持续关注。</w:t>
      </w:r>
    </w:p>
    <w:p w14:paraId="2F8D79F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教师开放性回答的质性分析</w:t>
      </w:r>
    </w:p>
    <w:p w14:paraId="618D6A1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）编码对象与方法</w:t>
      </w:r>
    </w:p>
    <w:p w14:paraId="092B37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前测分析对象为第</w:t>
      </w:r>
      <w:r>
        <w:rPr>
          <w:rFonts w:ascii="Times New Roman" w:eastAsia="宋体" w:hAnsi="Times New Roman" w:cs="Times New Roman"/>
          <w:sz w:val="24"/>
        </w:rPr>
        <w:t>15</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对于在中学课堂开展学生高阶能力培育，您有什么想法、顾虑或者建议？</w:t>
      </w:r>
      <w:r>
        <w:rPr>
          <w:rFonts w:ascii="Times New Roman" w:eastAsia="宋体" w:hAnsi="Times New Roman" w:cs="Times New Roman"/>
          <w:sz w:val="24"/>
        </w:rPr>
        <w:t>”</w:t>
      </w:r>
      <w:r>
        <w:rPr>
          <w:rFonts w:ascii="Times New Roman" w:eastAsia="宋体" w:hAnsi="Times New Roman" w:cs="Times New Roman"/>
          <w:sz w:val="24"/>
        </w:rPr>
        <w:t>，后测分析对象为第</w:t>
      </w:r>
      <w:r>
        <w:rPr>
          <w:rFonts w:ascii="Times New Roman" w:eastAsia="宋体" w:hAnsi="Times New Roman" w:cs="Times New Roman"/>
          <w:sz w:val="24"/>
        </w:rPr>
        <w:t>16</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经过本阶段培训与实践，您在课堂开展高阶能力培育上有了哪些变化？还存在哪些困难？对后续研究有何建议？</w:t>
      </w:r>
      <w:r>
        <w:rPr>
          <w:rFonts w:ascii="Times New Roman" w:eastAsia="宋体" w:hAnsi="Times New Roman" w:cs="Times New Roman"/>
          <w:sz w:val="24"/>
        </w:rPr>
        <w:t>”</w:t>
      </w:r>
      <w:r>
        <w:rPr>
          <w:rFonts w:ascii="Times New Roman" w:eastAsia="宋体" w:hAnsi="Times New Roman" w:cs="Times New Roman"/>
          <w:sz w:val="24"/>
        </w:rPr>
        <w:t>。对无、暂无、谢谢等不包含可分析信息的回答予以剔除，最终前测形成</w:t>
      </w:r>
      <w:r>
        <w:rPr>
          <w:rFonts w:ascii="Times New Roman" w:eastAsia="宋体" w:hAnsi="Times New Roman" w:cs="Times New Roman"/>
          <w:sz w:val="24"/>
        </w:rPr>
        <w:t>56</w:t>
      </w:r>
      <w:r>
        <w:rPr>
          <w:rFonts w:ascii="Times New Roman" w:eastAsia="宋体" w:hAnsi="Times New Roman" w:cs="Times New Roman"/>
          <w:sz w:val="24"/>
        </w:rPr>
        <w:t>份、后测形成</w:t>
      </w:r>
      <w:r>
        <w:rPr>
          <w:rFonts w:ascii="Times New Roman" w:eastAsia="宋体" w:hAnsi="Times New Roman" w:cs="Times New Roman"/>
          <w:sz w:val="24"/>
        </w:rPr>
        <w:t>53</w:t>
      </w:r>
      <w:r>
        <w:rPr>
          <w:rFonts w:ascii="Times New Roman" w:eastAsia="宋体" w:hAnsi="Times New Roman" w:cs="Times New Roman"/>
          <w:sz w:val="24"/>
        </w:rPr>
        <w:t>份具有实质内容的开放性文本。</w:t>
      </w:r>
    </w:p>
    <w:p w14:paraId="59F20A6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3586E2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前后测开放题的提问结构不完全相同，前测主要询问想法、顾虑和建议，后</w:t>
      </w:r>
      <w:r>
        <w:rPr>
          <w:rFonts w:ascii="Times New Roman" w:eastAsia="宋体" w:hAnsi="Times New Roman" w:cs="Times New Roman"/>
          <w:sz w:val="24"/>
        </w:rPr>
        <w:lastRenderedPageBreak/>
        <w:t>测同时包含实践感受、困难与建议。因此，本研究只对前后文本进行主题对应和内容归纳，不直接用主题频次的增减解释教师发生了何种程度的变化，以避免将题目结构差异误判为研究成效。</w:t>
      </w:r>
    </w:p>
    <w:p w14:paraId="12AA0A0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）前测文本编码</w:t>
      </w:r>
    </w:p>
    <w:p w14:paraId="204E92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前测文本呈现出较强的现实情境色彩。教师很少停留在抽象地讨论高阶能力重要不重要，更多是把这一议题放回到课时、考试、学情、课堂组织、评价方式和专业支持等真实教学条件中。基于</w:t>
      </w:r>
      <w:r>
        <w:rPr>
          <w:rFonts w:ascii="Times New Roman" w:eastAsia="宋体" w:hAnsi="Times New Roman" w:cs="Times New Roman"/>
          <w:sz w:val="24"/>
        </w:rPr>
        <w:t>56</w:t>
      </w:r>
      <w:r>
        <w:rPr>
          <w:rFonts w:ascii="Times New Roman" w:eastAsia="宋体" w:hAnsi="Times New Roman" w:cs="Times New Roman"/>
          <w:sz w:val="24"/>
        </w:rPr>
        <w:t>份有效文本，形成如下三级编码结构。</w:t>
      </w:r>
    </w:p>
    <w:p w14:paraId="0169F0D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3-60  </w:t>
      </w:r>
      <w:r>
        <w:rPr>
          <w:rFonts w:ascii="Times New Roman" w:eastAsia="黑体" w:hAnsi="Times New Roman" w:cs="Times New Roman"/>
        </w:rPr>
        <w:t>教师前测开放性回答三级编码表</w:t>
      </w:r>
    </w:p>
    <w:tbl>
      <w:tblPr>
        <w:tblW w:w="1069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6CE5259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4853E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76D7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20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BEEAB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3F0D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3AF0093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F57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0B45BA9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DE1403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有必要；思辨能力；终身学习；中考改革；核心素养；教师转变观念</w:t>
            </w:r>
          </w:p>
        </w:tc>
        <w:tc>
          <w:tcPr>
            <w:tcW w:w="0" w:type="auto"/>
            <w:tcBorders>
              <w:top w:val="nil"/>
              <w:left w:val="nil"/>
              <w:bottom w:val="nil"/>
              <w:right w:val="nil"/>
            </w:tcBorders>
            <w:tcMar>
              <w:top w:w="-1" w:type="dxa"/>
              <w:left w:w="-1" w:type="dxa"/>
              <w:bottom w:w="-1" w:type="dxa"/>
              <w:right w:w="-1" w:type="dxa"/>
            </w:tcMar>
            <w:vAlign w:val="center"/>
          </w:tcPr>
          <w:p w14:paraId="356A71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育人价值认同；发展价值认同；教师观念转变</w:t>
            </w:r>
          </w:p>
        </w:tc>
        <w:tc>
          <w:tcPr>
            <w:tcW w:w="2010" w:type="dxa"/>
            <w:tcBorders>
              <w:top w:val="nil"/>
              <w:left w:val="nil"/>
              <w:bottom w:val="nil"/>
              <w:right w:val="nil"/>
            </w:tcBorders>
            <w:tcMar>
              <w:top w:w="-1" w:type="dxa"/>
              <w:left w:w="-1" w:type="dxa"/>
              <w:bottom w:w="-1" w:type="dxa"/>
              <w:right w:w="-1" w:type="dxa"/>
            </w:tcMar>
            <w:vAlign w:val="center"/>
          </w:tcPr>
          <w:p w14:paraId="4F92FE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高阶能力培育的价值认同与理念</w:t>
            </w:r>
          </w:p>
        </w:tc>
        <w:tc>
          <w:tcPr>
            <w:tcW w:w="706" w:type="dxa"/>
            <w:tcBorders>
              <w:top w:val="nil"/>
              <w:left w:val="nil"/>
              <w:bottom w:val="nil"/>
              <w:right w:val="nil"/>
            </w:tcBorders>
            <w:tcMar>
              <w:top w:w="-1" w:type="dxa"/>
              <w:left w:w="-1" w:type="dxa"/>
              <w:bottom w:w="-1" w:type="dxa"/>
              <w:right w:w="-1" w:type="dxa"/>
            </w:tcMar>
            <w:vAlign w:val="center"/>
          </w:tcPr>
          <w:p w14:paraId="5541CF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58C7FD1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很有必要</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培养学生思辩能力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希望每位教师转变观念接受高阶思维教育</w:t>
            </w:r>
            <w:r>
              <w:rPr>
                <w:rFonts w:ascii="Times New Roman" w:eastAsia="宋体" w:hAnsi="Times New Roman" w:cs="Times New Roman"/>
                <w:szCs w:val="21"/>
              </w:rPr>
              <w:t>”</w:t>
            </w:r>
          </w:p>
        </w:tc>
      </w:tr>
      <w:tr w:rsidR="000B1CCE" w14:paraId="480FED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132AA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设计相关问题；探究活动；项目式学习；真实情境；多学科融合；大思政</w:t>
            </w:r>
          </w:p>
        </w:tc>
        <w:tc>
          <w:tcPr>
            <w:tcW w:w="0" w:type="auto"/>
            <w:tcBorders>
              <w:top w:val="nil"/>
              <w:left w:val="nil"/>
              <w:bottom w:val="nil"/>
              <w:right w:val="nil"/>
            </w:tcBorders>
            <w:tcMar>
              <w:top w:w="-1" w:type="dxa"/>
              <w:left w:w="-1" w:type="dxa"/>
              <w:bottom w:w="-1" w:type="dxa"/>
              <w:right w:w="-1" w:type="dxa"/>
            </w:tcMar>
            <w:vAlign w:val="center"/>
          </w:tcPr>
          <w:p w14:paraId="3357808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问题设计；探究活动；项目学习；真实任务；课程融合</w:t>
            </w:r>
          </w:p>
        </w:tc>
        <w:tc>
          <w:tcPr>
            <w:tcW w:w="2010" w:type="dxa"/>
            <w:tcBorders>
              <w:top w:val="nil"/>
              <w:left w:val="nil"/>
              <w:bottom w:val="nil"/>
              <w:right w:val="nil"/>
            </w:tcBorders>
            <w:tcMar>
              <w:top w:w="-1" w:type="dxa"/>
              <w:left w:w="-1" w:type="dxa"/>
              <w:bottom w:w="-1" w:type="dxa"/>
              <w:right w:w="-1" w:type="dxa"/>
            </w:tcMar>
            <w:vAlign w:val="center"/>
          </w:tcPr>
          <w:p w14:paraId="3EE9FE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高阶课堂设计与真实任务</w:t>
            </w:r>
          </w:p>
        </w:tc>
        <w:tc>
          <w:tcPr>
            <w:tcW w:w="706" w:type="dxa"/>
            <w:tcBorders>
              <w:top w:val="nil"/>
              <w:left w:val="nil"/>
              <w:bottom w:val="nil"/>
              <w:right w:val="nil"/>
            </w:tcBorders>
            <w:tcMar>
              <w:top w:w="-1" w:type="dxa"/>
              <w:left w:w="-1" w:type="dxa"/>
              <w:bottom w:w="-1" w:type="dxa"/>
              <w:right w:w="-1" w:type="dxa"/>
            </w:tcMar>
            <w:vAlign w:val="center"/>
          </w:tcPr>
          <w:p w14:paraId="31D557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608421C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在日常教学中就要注重设计相关问题培养高阶能力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需搭建探究、思辨类的学习活动</w:t>
            </w:r>
            <w:r>
              <w:rPr>
                <w:rFonts w:ascii="Times New Roman" w:eastAsia="宋体" w:hAnsi="Times New Roman" w:cs="Times New Roman"/>
                <w:szCs w:val="21"/>
              </w:rPr>
              <w:t>”</w:t>
            </w:r>
          </w:p>
        </w:tc>
      </w:tr>
      <w:tr w:rsidR="000B1CCE" w14:paraId="701808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0653A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学情差异大；基础薄弱学生跟不上；梯度问题；分层教学；小班化</w:t>
            </w:r>
          </w:p>
        </w:tc>
        <w:tc>
          <w:tcPr>
            <w:tcW w:w="0" w:type="auto"/>
            <w:tcBorders>
              <w:top w:val="nil"/>
              <w:left w:val="nil"/>
              <w:bottom w:val="nil"/>
              <w:right w:val="nil"/>
            </w:tcBorders>
            <w:tcMar>
              <w:top w:w="-1" w:type="dxa"/>
              <w:left w:w="-1" w:type="dxa"/>
              <w:bottom w:w="-1" w:type="dxa"/>
              <w:right w:w="-1" w:type="dxa"/>
            </w:tcMar>
            <w:vAlign w:val="center"/>
          </w:tcPr>
          <w:p w14:paraId="5BC339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学情差异；任务分层；参与差异；教学适切性</w:t>
            </w:r>
          </w:p>
        </w:tc>
        <w:tc>
          <w:tcPr>
            <w:tcW w:w="2010" w:type="dxa"/>
            <w:tcBorders>
              <w:top w:val="nil"/>
              <w:left w:val="nil"/>
              <w:bottom w:val="nil"/>
              <w:right w:val="nil"/>
            </w:tcBorders>
            <w:tcMar>
              <w:top w:w="-1" w:type="dxa"/>
              <w:left w:w="-1" w:type="dxa"/>
              <w:bottom w:w="-1" w:type="dxa"/>
              <w:right w:w="-1" w:type="dxa"/>
            </w:tcMar>
            <w:vAlign w:val="center"/>
          </w:tcPr>
          <w:p w14:paraId="6B6EBC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学生差异与分层支持</w:t>
            </w:r>
          </w:p>
        </w:tc>
        <w:tc>
          <w:tcPr>
            <w:tcW w:w="706" w:type="dxa"/>
            <w:tcBorders>
              <w:top w:val="nil"/>
              <w:left w:val="nil"/>
              <w:bottom w:val="nil"/>
              <w:right w:val="nil"/>
            </w:tcBorders>
            <w:tcMar>
              <w:top w:w="-1" w:type="dxa"/>
              <w:left w:w="-1" w:type="dxa"/>
              <w:bottom w:w="-1" w:type="dxa"/>
              <w:right w:w="-1" w:type="dxa"/>
            </w:tcMar>
            <w:vAlign w:val="center"/>
          </w:tcPr>
          <w:p w14:paraId="123B71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p>
        </w:tc>
        <w:tc>
          <w:tcPr>
            <w:tcW w:w="3000" w:type="dxa"/>
            <w:tcBorders>
              <w:top w:val="nil"/>
              <w:left w:val="nil"/>
              <w:bottom w:val="nil"/>
              <w:right w:val="nil"/>
            </w:tcBorders>
            <w:tcMar>
              <w:top w:w="-1" w:type="dxa"/>
              <w:left w:w="-1" w:type="dxa"/>
              <w:bottom w:w="-1" w:type="dxa"/>
              <w:right w:w="-1" w:type="dxa"/>
            </w:tcMar>
            <w:vAlign w:val="center"/>
          </w:tcPr>
          <w:p w14:paraId="0D75826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学生学情差异大，高阶能力培养可能无法兼顾全体学生</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如何能分不同层级开展高阶能力培育</w:t>
            </w:r>
            <w:r>
              <w:rPr>
                <w:rFonts w:ascii="Times New Roman" w:eastAsia="宋体" w:hAnsi="Times New Roman" w:cs="Times New Roman"/>
                <w:szCs w:val="21"/>
              </w:rPr>
              <w:t>”</w:t>
            </w:r>
          </w:p>
        </w:tc>
      </w:tr>
      <w:tr w:rsidR="000B1CCE" w14:paraId="434114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14801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课时紧；教学进度；成绩压力；高考压力；应试安排；纸笔考试</w:t>
            </w:r>
          </w:p>
        </w:tc>
        <w:tc>
          <w:tcPr>
            <w:tcW w:w="0" w:type="auto"/>
            <w:tcBorders>
              <w:top w:val="nil"/>
              <w:left w:val="nil"/>
              <w:bottom w:val="nil"/>
              <w:right w:val="nil"/>
            </w:tcBorders>
            <w:tcMar>
              <w:top w:w="-1" w:type="dxa"/>
              <w:left w:w="-1" w:type="dxa"/>
              <w:bottom w:w="-1" w:type="dxa"/>
              <w:right w:w="-1" w:type="dxa"/>
            </w:tcMar>
            <w:vAlign w:val="center"/>
          </w:tcPr>
          <w:p w14:paraId="5E830A8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课时压力；进度压力；升学压力；基础教学与高阶活动平衡</w:t>
            </w:r>
          </w:p>
        </w:tc>
        <w:tc>
          <w:tcPr>
            <w:tcW w:w="2010" w:type="dxa"/>
            <w:tcBorders>
              <w:top w:val="nil"/>
              <w:left w:val="nil"/>
              <w:bottom w:val="nil"/>
              <w:right w:val="nil"/>
            </w:tcBorders>
            <w:tcMar>
              <w:top w:w="-1" w:type="dxa"/>
              <w:left w:w="-1" w:type="dxa"/>
              <w:bottom w:w="-1" w:type="dxa"/>
              <w:right w:w="-1" w:type="dxa"/>
            </w:tcMar>
            <w:vAlign w:val="center"/>
          </w:tcPr>
          <w:p w14:paraId="6438003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课时与考试压力</w:t>
            </w:r>
          </w:p>
        </w:tc>
        <w:tc>
          <w:tcPr>
            <w:tcW w:w="706" w:type="dxa"/>
            <w:tcBorders>
              <w:top w:val="nil"/>
              <w:left w:val="nil"/>
              <w:bottom w:val="nil"/>
              <w:right w:val="nil"/>
            </w:tcBorders>
            <w:tcMar>
              <w:top w:w="-1" w:type="dxa"/>
              <w:left w:w="-1" w:type="dxa"/>
              <w:bottom w:w="-1" w:type="dxa"/>
              <w:right w:w="-1" w:type="dxa"/>
            </w:tcMar>
            <w:vAlign w:val="center"/>
          </w:tcPr>
          <w:p w14:paraId="536DEF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c>
          <w:tcPr>
            <w:tcW w:w="3000" w:type="dxa"/>
            <w:tcBorders>
              <w:top w:val="nil"/>
              <w:left w:val="nil"/>
              <w:bottom w:val="nil"/>
              <w:right w:val="nil"/>
            </w:tcBorders>
            <w:tcMar>
              <w:top w:w="-1" w:type="dxa"/>
              <w:left w:w="-1" w:type="dxa"/>
              <w:bottom w:w="-1" w:type="dxa"/>
              <w:right w:w="-1" w:type="dxa"/>
            </w:tcMar>
            <w:vAlign w:val="center"/>
          </w:tcPr>
          <w:p w14:paraId="3B7CF14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课堂时间紧任务重</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高考数据压力会让老师不舍得利用课堂时间细化和慢慢培养高阶能力</w:t>
            </w:r>
            <w:r>
              <w:rPr>
                <w:rFonts w:ascii="Times New Roman" w:eastAsia="宋体" w:hAnsi="Times New Roman" w:cs="Times New Roman"/>
                <w:szCs w:val="21"/>
              </w:rPr>
              <w:t>”</w:t>
            </w:r>
          </w:p>
        </w:tc>
      </w:tr>
      <w:tr w:rsidR="000B1CCE" w14:paraId="2AADC6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D297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高阶能力难测量；评价方式主观；调整考核方式；标准答案局限</w:t>
            </w:r>
          </w:p>
        </w:tc>
        <w:tc>
          <w:tcPr>
            <w:tcW w:w="0" w:type="auto"/>
            <w:tcBorders>
              <w:top w:val="nil"/>
              <w:left w:val="nil"/>
              <w:bottom w:val="nil"/>
              <w:right w:val="nil"/>
            </w:tcBorders>
            <w:tcMar>
              <w:top w:w="-1" w:type="dxa"/>
              <w:left w:w="-1" w:type="dxa"/>
              <w:bottom w:w="-1" w:type="dxa"/>
              <w:right w:w="-1" w:type="dxa"/>
            </w:tcMar>
            <w:vAlign w:val="center"/>
          </w:tcPr>
          <w:p w14:paraId="1DEC19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评价方式局限；能力测量困难；考核方式适配</w:t>
            </w:r>
          </w:p>
        </w:tc>
        <w:tc>
          <w:tcPr>
            <w:tcW w:w="2010" w:type="dxa"/>
            <w:tcBorders>
              <w:top w:val="nil"/>
              <w:left w:val="nil"/>
              <w:bottom w:val="nil"/>
              <w:right w:val="nil"/>
            </w:tcBorders>
            <w:tcMar>
              <w:top w:w="-1" w:type="dxa"/>
              <w:left w:w="-1" w:type="dxa"/>
              <w:bottom w:w="-1" w:type="dxa"/>
              <w:right w:w="-1" w:type="dxa"/>
            </w:tcMar>
            <w:vAlign w:val="center"/>
          </w:tcPr>
          <w:p w14:paraId="05A05B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评价测量与考核机制</w:t>
            </w:r>
          </w:p>
        </w:tc>
        <w:tc>
          <w:tcPr>
            <w:tcW w:w="706" w:type="dxa"/>
            <w:tcBorders>
              <w:top w:val="nil"/>
              <w:left w:val="nil"/>
              <w:bottom w:val="nil"/>
              <w:right w:val="nil"/>
            </w:tcBorders>
            <w:tcMar>
              <w:top w:w="-1" w:type="dxa"/>
              <w:left w:w="-1" w:type="dxa"/>
              <w:bottom w:w="-1" w:type="dxa"/>
              <w:right w:w="-1" w:type="dxa"/>
            </w:tcMar>
            <w:vAlign w:val="center"/>
          </w:tcPr>
          <w:p w14:paraId="73E43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153844A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时间不够，很难测量</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如何客观评价一节课是否有培养学生的高阶能力</w:t>
            </w:r>
            <w:r>
              <w:rPr>
                <w:rFonts w:ascii="Times New Roman" w:eastAsia="宋体" w:hAnsi="Times New Roman" w:cs="Times New Roman"/>
                <w:szCs w:val="21"/>
              </w:rPr>
              <w:t>”</w:t>
            </w:r>
          </w:p>
        </w:tc>
      </w:tr>
      <w:tr w:rsidR="000B1CCE" w14:paraId="462B00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A334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课堂把控难；纪律管理；具体实践需摸索；落地困难</w:t>
            </w:r>
          </w:p>
        </w:tc>
        <w:tc>
          <w:tcPr>
            <w:tcW w:w="0" w:type="auto"/>
            <w:tcBorders>
              <w:top w:val="nil"/>
              <w:left w:val="nil"/>
              <w:bottom w:val="nil"/>
              <w:right w:val="nil"/>
            </w:tcBorders>
            <w:tcMar>
              <w:top w:w="-1" w:type="dxa"/>
              <w:left w:w="-1" w:type="dxa"/>
              <w:bottom w:w="-1" w:type="dxa"/>
              <w:right w:w="-1" w:type="dxa"/>
            </w:tcMar>
            <w:vAlign w:val="center"/>
          </w:tcPr>
          <w:p w14:paraId="7B23A1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课堂组织；实施把控；理念向实践转化</w:t>
            </w:r>
          </w:p>
        </w:tc>
        <w:tc>
          <w:tcPr>
            <w:tcW w:w="2010" w:type="dxa"/>
            <w:tcBorders>
              <w:top w:val="nil"/>
              <w:left w:val="nil"/>
              <w:bottom w:val="nil"/>
              <w:right w:val="nil"/>
            </w:tcBorders>
            <w:tcMar>
              <w:top w:w="-1" w:type="dxa"/>
              <w:left w:w="-1" w:type="dxa"/>
              <w:bottom w:w="-1" w:type="dxa"/>
              <w:right w:w="-1" w:type="dxa"/>
            </w:tcMar>
            <w:vAlign w:val="center"/>
          </w:tcPr>
          <w:p w14:paraId="20FC24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课堂组织与实施难度</w:t>
            </w:r>
          </w:p>
        </w:tc>
        <w:tc>
          <w:tcPr>
            <w:tcW w:w="706" w:type="dxa"/>
            <w:tcBorders>
              <w:top w:val="nil"/>
              <w:left w:val="nil"/>
              <w:bottom w:val="nil"/>
              <w:right w:val="nil"/>
            </w:tcBorders>
            <w:tcMar>
              <w:top w:w="-1" w:type="dxa"/>
              <w:left w:w="-1" w:type="dxa"/>
              <w:bottom w:w="-1" w:type="dxa"/>
              <w:right w:w="-1" w:type="dxa"/>
            </w:tcMar>
            <w:vAlign w:val="center"/>
          </w:tcPr>
          <w:p w14:paraId="041252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4DE430A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担心高阶任务脱离学情，课堂把控难度大</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具体实践上还需要不断摸索</w:t>
            </w:r>
            <w:r>
              <w:rPr>
                <w:rFonts w:ascii="Times New Roman" w:eastAsia="宋体" w:hAnsi="Times New Roman" w:cs="Times New Roman"/>
                <w:szCs w:val="21"/>
              </w:rPr>
              <w:t>”</w:t>
            </w:r>
          </w:p>
        </w:tc>
      </w:tr>
      <w:tr w:rsidR="000B1CCE" w14:paraId="3F692F9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B2E78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系统学习；专题培训；专家指导；学科团队；优秀案例；成熟教案；实训</w:t>
            </w:r>
          </w:p>
        </w:tc>
        <w:tc>
          <w:tcPr>
            <w:tcW w:w="0" w:type="auto"/>
            <w:tcBorders>
              <w:top w:val="nil"/>
              <w:left w:val="nil"/>
              <w:bottom w:val="nil"/>
              <w:right w:val="nil"/>
            </w:tcBorders>
            <w:tcMar>
              <w:top w:w="-1" w:type="dxa"/>
              <w:left w:w="-1" w:type="dxa"/>
              <w:bottom w:w="-1" w:type="dxa"/>
              <w:right w:w="-1" w:type="dxa"/>
            </w:tcMar>
            <w:vAlign w:val="center"/>
          </w:tcPr>
          <w:p w14:paraId="3C6952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专业学习；课例资源；专家支持；团队研修</w:t>
            </w:r>
          </w:p>
        </w:tc>
        <w:tc>
          <w:tcPr>
            <w:tcW w:w="2010" w:type="dxa"/>
            <w:tcBorders>
              <w:top w:val="nil"/>
              <w:left w:val="nil"/>
              <w:bottom w:val="nil"/>
              <w:right w:val="nil"/>
            </w:tcBorders>
            <w:tcMar>
              <w:top w:w="-1" w:type="dxa"/>
              <w:left w:w="-1" w:type="dxa"/>
              <w:bottom w:w="-1" w:type="dxa"/>
              <w:right w:w="-1" w:type="dxa"/>
            </w:tcMar>
            <w:vAlign w:val="center"/>
          </w:tcPr>
          <w:p w14:paraId="2F8184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教师专业学习与资源支持</w:t>
            </w:r>
          </w:p>
        </w:tc>
        <w:tc>
          <w:tcPr>
            <w:tcW w:w="706" w:type="dxa"/>
            <w:tcBorders>
              <w:top w:val="nil"/>
              <w:left w:val="nil"/>
              <w:bottom w:val="nil"/>
              <w:right w:val="nil"/>
            </w:tcBorders>
            <w:tcMar>
              <w:top w:w="-1" w:type="dxa"/>
              <w:left w:w="-1" w:type="dxa"/>
              <w:bottom w:w="-1" w:type="dxa"/>
              <w:right w:w="-1" w:type="dxa"/>
            </w:tcMar>
            <w:vAlign w:val="center"/>
          </w:tcPr>
          <w:p w14:paraId="16D25B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p>
        </w:tc>
        <w:tc>
          <w:tcPr>
            <w:tcW w:w="3000" w:type="dxa"/>
            <w:tcBorders>
              <w:top w:val="nil"/>
              <w:left w:val="nil"/>
              <w:bottom w:val="nil"/>
              <w:right w:val="nil"/>
            </w:tcBorders>
            <w:tcMar>
              <w:top w:w="-1" w:type="dxa"/>
              <w:left w:w="-1" w:type="dxa"/>
              <w:bottom w:w="-1" w:type="dxa"/>
              <w:right w:w="-1" w:type="dxa"/>
            </w:tcMar>
            <w:vAlign w:val="center"/>
          </w:tcPr>
          <w:p w14:paraId="1EFF33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除了理念灌输，更重要的是通过实训、具体指导提升教师相关教学设计能力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需要优秀案例学习</w:t>
            </w:r>
            <w:r>
              <w:rPr>
                <w:rFonts w:ascii="Times New Roman" w:eastAsia="宋体" w:hAnsi="Times New Roman" w:cs="Times New Roman"/>
                <w:szCs w:val="21"/>
              </w:rPr>
              <w:t>”</w:t>
            </w:r>
          </w:p>
        </w:tc>
      </w:tr>
      <w:tr w:rsidR="000B1CCE" w14:paraId="10DF51C1" w14:textId="77777777">
        <w:trPr>
          <w:jc w:val="center"/>
        </w:trPr>
        <w:tc>
          <w:tcPr>
            <w:tcW w:w="2483" w:type="dxa"/>
            <w:tcBorders>
              <w:top w:val="nil"/>
              <w:left w:val="nil"/>
              <w:bottom w:val="single" w:sz="12" w:space="0" w:color="000000"/>
              <w:right w:val="nil"/>
            </w:tcBorders>
            <w:tcMar>
              <w:top w:w="-1" w:type="dxa"/>
              <w:left w:w="-1" w:type="dxa"/>
              <w:bottom w:w="-1" w:type="dxa"/>
              <w:right w:w="-1" w:type="dxa"/>
            </w:tcMar>
            <w:vAlign w:val="center"/>
          </w:tcPr>
          <w:p w14:paraId="41529FD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逐步推进；部分课例先行；拓展课、社团课；制度保障；合理规划时间</w:t>
            </w:r>
          </w:p>
        </w:tc>
        <w:tc>
          <w:tcPr>
            <w:tcW w:w="2495" w:type="dxa"/>
            <w:tcBorders>
              <w:top w:val="nil"/>
              <w:left w:val="nil"/>
              <w:bottom w:val="single" w:sz="12" w:space="0" w:color="000000"/>
              <w:right w:val="nil"/>
            </w:tcBorders>
            <w:tcMar>
              <w:top w:w="-1" w:type="dxa"/>
              <w:left w:w="-1" w:type="dxa"/>
              <w:bottom w:w="-1" w:type="dxa"/>
              <w:right w:w="-1" w:type="dxa"/>
            </w:tcMar>
            <w:vAlign w:val="center"/>
          </w:tcPr>
          <w:p w14:paraId="19CC11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渐进实施；试点推进；课程空间；制度保障</w:t>
            </w:r>
          </w:p>
        </w:tc>
        <w:tc>
          <w:tcPr>
            <w:tcW w:w="2010" w:type="dxa"/>
            <w:tcBorders>
              <w:top w:val="nil"/>
              <w:left w:val="nil"/>
              <w:bottom w:val="single" w:sz="12" w:space="0" w:color="000000"/>
              <w:right w:val="nil"/>
            </w:tcBorders>
            <w:tcMar>
              <w:top w:w="-1" w:type="dxa"/>
              <w:left w:w="-1" w:type="dxa"/>
              <w:bottom w:w="-1" w:type="dxa"/>
              <w:right w:w="-1" w:type="dxa"/>
            </w:tcMar>
            <w:vAlign w:val="center"/>
          </w:tcPr>
          <w:p w14:paraId="44D456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校本推进与保障机制</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210DAC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249F5DD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可以先在部分课例中开展高阶能力的培育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希望能在拓展课社团课多开展</w:t>
            </w:r>
            <w:r>
              <w:rPr>
                <w:rFonts w:ascii="Times New Roman" w:eastAsia="宋体" w:hAnsi="Times New Roman" w:cs="Times New Roman"/>
                <w:szCs w:val="21"/>
              </w:rPr>
              <w:t>”</w:t>
            </w:r>
          </w:p>
        </w:tc>
      </w:tr>
    </w:tbl>
    <w:p w14:paraId="6250146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编码关系看，前测中课时与考试压力、教师专业学习与资源支持、学生差异与分层支持覆盖的文本较多，这些是教师在开放表达中较容易主动提及的议题。尤其值得保留的是，教师对高阶能力的讨论往往同时伴随具体条件判断，既谈价值，也谈课时；既谈探究，也谈学情；既谈改革，也谈评价。这种复合表达使前</w:t>
      </w:r>
      <w:r>
        <w:rPr>
          <w:rFonts w:ascii="Times New Roman" w:eastAsia="宋体" w:hAnsi="Times New Roman" w:cs="Times New Roman"/>
          <w:sz w:val="24"/>
        </w:rPr>
        <w:lastRenderedPageBreak/>
        <w:t>测文本具有较强的实践指向。</w:t>
      </w:r>
    </w:p>
    <w:p w14:paraId="352AC11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）后测文本编码</w:t>
      </w:r>
    </w:p>
    <w:p w14:paraId="443DEF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后测</w:t>
      </w:r>
      <w:r>
        <w:rPr>
          <w:rFonts w:ascii="Times New Roman" w:eastAsia="宋体" w:hAnsi="Times New Roman" w:cs="Times New Roman"/>
          <w:sz w:val="24"/>
        </w:rPr>
        <w:t>53</w:t>
      </w:r>
      <w:r>
        <w:rPr>
          <w:rFonts w:ascii="Times New Roman" w:eastAsia="宋体" w:hAnsi="Times New Roman" w:cs="Times New Roman"/>
          <w:sz w:val="24"/>
        </w:rPr>
        <w:t>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170907A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3-61  </w:t>
      </w:r>
      <w:r>
        <w:rPr>
          <w:rFonts w:ascii="Times New Roman" w:eastAsia="黑体" w:hAnsi="Times New Roman" w:cs="Times New Roman"/>
        </w:rPr>
        <w:t>教师后测开放性回答三级编码表</w:t>
      </w:r>
    </w:p>
    <w:tbl>
      <w:tblPr>
        <w:tblW w:w="9807"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063C429E" w14:textId="77777777">
        <w:trPr>
          <w:tblHeader/>
          <w:jc w:val="center"/>
        </w:trPr>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76D55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9E3AF1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0030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420ED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5C41523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FC9DB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102206AB"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0D44A8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理论知识；有意识指向高阶能力；目标更清晰；更加重视思维；专业自觉</w:t>
            </w:r>
          </w:p>
        </w:tc>
        <w:tc>
          <w:tcPr>
            <w:tcW w:w="0" w:type="auto"/>
            <w:tcBorders>
              <w:top w:val="nil"/>
              <w:left w:val="nil"/>
              <w:bottom w:val="nil"/>
              <w:right w:val="nil"/>
            </w:tcBorders>
            <w:tcMar>
              <w:top w:w="-1" w:type="dxa"/>
              <w:left w:w="-1" w:type="dxa"/>
              <w:bottom w:w="-1" w:type="dxa"/>
              <w:right w:w="-1" w:type="dxa"/>
            </w:tcMar>
            <w:vAlign w:val="center"/>
          </w:tcPr>
          <w:p w14:paraId="7B3C71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理念理解；目标意识；专业自觉</w:t>
            </w:r>
          </w:p>
        </w:tc>
        <w:tc>
          <w:tcPr>
            <w:tcW w:w="0" w:type="auto"/>
            <w:tcBorders>
              <w:top w:val="nil"/>
              <w:left w:val="nil"/>
              <w:bottom w:val="nil"/>
              <w:right w:val="nil"/>
            </w:tcBorders>
            <w:tcMar>
              <w:top w:w="-1" w:type="dxa"/>
              <w:left w:w="-1" w:type="dxa"/>
              <w:bottom w:w="-1" w:type="dxa"/>
              <w:right w:w="-1" w:type="dxa"/>
            </w:tcMar>
            <w:vAlign w:val="center"/>
          </w:tcPr>
          <w:p w14:paraId="58D11A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高阶能力培育的认知与目标意识</w:t>
            </w:r>
          </w:p>
        </w:tc>
        <w:tc>
          <w:tcPr>
            <w:tcW w:w="706" w:type="dxa"/>
            <w:tcBorders>
              <w:top w:val="nil"/>
              <w:left w:val="nil"/>
              <w:bottom w:val="nil"/>
              <w:right w:val="nil"/>
            </w:tcBorders>
            <w:tcMar>
              <w:top w:w="-1" w:type="dxa"/>
              <w:left w:w="-1" w:type="dxa"/>
              <w:bottom w:w="-1" w:type="dxa"/>
              <w:right w:w="-1" w:type="dxa"/>
            </w:tcMar>
            <w:vAlign w:val="center"/>
          </w:tcPr>
          <w:p w14:paraId="68F5B5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p>
        </w:tc>
        <w:tc>
          <w:tcPr>
            <w:tcW w:w="3000" w:type="dxa"/>
            <w:tcBorders>
              <w:top w:val="nil"/>
              <w:left w:val="nil"/>
              <w:bottom w:val="nil"/>
              <w:right w:val="nil"/>
            </w:tcBorders>
            <w:tcMar>
              <w:top w:w="-1" w:type="dxa"/>
              <w:left w:w="-1" w:type="dxa"/>
              <w:bottom w:w="-1" w:type="dxa"/>
              <w:right w:w="-1" w:type="dxa"/>
            </w:tcMar>
            <w:vAlign w:val="center"/>
          </w:tcPr>
          <w:p w14:paraId="354E190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会有意识地在教学设计中指向学生的高阶能力培育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更加了解高阶能力培养的方向和价值</w:t>
            </w:r>
            <w:r>
              <w:rPr>
                <w:rFonts w:ascii="Times New Roman" w:eastAsia="宋体" w:hAnsi="Times New Roman" w:cs="Times New Roman"/>
                <w:szCs w:val="21"/>
              </w:rPr>
              <w:t>”</w:t>
            </w:r>
          </w:p>
        </w:tc>
      </w:tr>
      <w:tr w:rsidR="000B1CCE" w14:paraId="1EABBC5D"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046696A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问题链；开放性问题；分析评价创造任务；高阶思维问题；作业设计；引导话术</w:t>
            </w:r>
          </w:p>
        </w:tc>
        <w:tc>
          <w:tcPr>
            <w:tcW w:w="0" w:type="auto"/>
            <w:tcBorders>
              <w:top w:val="nil"/>
              <w:left w:val="nil"/>
              <w:bottom w:val="nil"/>
              <w:right w:val="nil"/>
            </w:tcBorders>
            <w:tcMar>
              <w:top w:w="-1" w:type="dxa"/>
              <w:left w:w="-1" w:type="dxa"/>
              <w:bottom w:w="-1" w:type="dxa"/>
              <w:right w:w="-1" w:type="dxa"/>
            </w:tcMar>
            <w:vAlign w:val="center"/>
          </w:tcPr>
          <w:p w14:paraId="6EAE57E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问题链设计；开放任务；认知层级设计；作业任务设计</w:t>
            </w:r>
          </w:p>
        </w:tc>
        <w:tc>
          <w:tcPr>
            <w:tcW w:w="0" w:type="auto"/>
            <w:tcBorders>
              <w:top w:val="nil"/>
              <w:left w:val="nil"/>
              <w:bottom w:val="nil"/>
              <w:right w:val="nil"/>
            </w:tcBorders>
            <w:tcMar>
              <w:top w:w="-1" w:type="dxa"/>
              <w:left w:w="-1" w:type="dxa"/>
              <w:bottom w:w="-1" w:type="dxa"/>
              <w:right w:w="-1" w:type="dxa"/>
            </w:tcMar>
            <w:vAlign w:val="center"/>
          </w:tcPr>
          <w:p w14:paraId="316F7E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高阶认知任务设计</w:t>
            </w:r>
          </w:p>
        </w:tc>
        <w:tc>
          <w:tcPr>
            <w:tcW w:w="706" w:type="dxa"/>
            <w:tcBorders>
              <w:top w:val="nil"/>
              <w:left w:val="nil"/>
              <w:bottom w:val="nil"/>
              <w:right w:val="nil"/>
            </w:tcBorders>
            <w:tcMar>
              <w:top w:w="-1" w:type="dxa"/>
              <w:left w:w="-1" w:type="dxa"/>
              <w:bottom w:w="-1" w:type="dxa"/>
              <w:right w:w="-1" w:type="dxa"/>
            </w:tcMar>
            <w:vAlign w:val="center"/>
          </w:tcPr>
          <w:p w14:paraId="1D4C54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1455124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对于开放性问题及课堂问题链设计更熟悉</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更注重问题链的思维梯度设计</w:t>
            </w:r>
            <w:r>
              <w:rPr>
                <w:rFonts w:ascii="Times New Roman" w:eastAsia="宋体" w:hAnsi="Times New Roman" w:cs="Times New Roman"/>
                <w:szCs w:val="21"/>
              </w:rPr>
              <w:t>”</w:t>
            </w:r>
          </w:p>
        </w:tc>
      </w:tr>
      <w:tr w:rsidR="000B1CCE" w14:paraId="5766F29E"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3D65EB9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问题探究；项目式任务；自主探究；合作探究；真实问题；实验探究；小组研讨</w:t>
            </w:r>
          </w:p>
        </w:tc>
        <w:tc>
          <w:tcPr>
            <w:tcW w:w="0" w:type="auto"/>
            <w:tcBorders>
              <w:top w:val="nil"/>
              <w:left w:val="nil"/>
              <w:bottom w:val="nil"/>
              <w:right w:val="nil"/>
            </w:tcBorders>
            <w:tcMar>
              <w:top w:w="-1" w:type="dxa"/>
              <w:left w:w="-1" w:type="dxa"/>
              <w:bottom w:w="-1" w:type="dxa"/>
              <w:right w:w="-1" w:type="dxa"/>
            </w:tcMar>
            <w:vAlign w:val="center"/>
          </w:tcPr>
          <w:p w14:paraId="0A0BD5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探究学习；项目学习；合作学习；真实任务</w:t>
            </w:r>
          </w:p>
        </w:tc>
        <w:tc>
          <w:tcPr>
            <w:tcW w:w="0" w:type="auto"/>
            <w:tcBorders>
              <w:top w:val="nil"/>
              <w:left w:val="nil"/>
              <w:bottom w:val="nil"/>
              <w:right w:val="nil"/>
            </w:tcBorders>
            <w:tcMar>
              <w:top w:w="-1" w:type="dxa"/>
              <w:left w:w="-1" w:type="dxa"/>
              <w:bottom w:w="-1" w:type="dxa"/>
              <w:right w:w="-1" w:type="dxa"/>
            </w:tcMar>
            <w:vAlign w:val="center"/>
          </w:tcPr>
          <w:p w14:paraId="03049A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探究合作与真实学习</w:t>
            </w:r>
          </w:p>
        </w:tc>
        <w:tc>
          <w:tcPr>
            <w:tcW w:w="706" w:type="dxa"/>
            <w:tcBorders>
              <w:top w:val="nil"/>
              <w:left w:val="nil"/>
              <w:bottom w:val="nil"/>
              <w:right w:val="nil"/>
            </w:tcBorders>
            <w:tcMar>
              <w:top w:w="-1" w:type="dxa"/>
              <w:left w:w="-1" w:type="dxa"/>
              <w:bottom w:w="-1" w:type="dxa"/>
              <w:right w:w="-1" w:type="dxa"/>
            </w:tcMar>
            <w:vAlign w:val="center"/>
          </w:tcPr>
          <w:p w14:paraId="62B4E5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50E7605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开展项目式任务</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把部分知识点的讲授过程转化为学生的探索场</w:t>
            </w:r>
            <w:r>
              <w:rPr>
                <w:rFonts w:ascii="Times New Roman" w:eastAsia="宋体" w:hAnsi="Times New Roman" w:cs="Times New Roman"/>
                <w:szCs w:val="21"/>
              </w:rPr>
              <w:t>”</w:t>
            </w:r>
          </w:p>
        </w:tc>
      </w:tr>
      <w:tr w:rsidR="000B1CCE" w14:paraId="7313CFE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376868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学生质疑；提问质量；思维活跃；表达；发现问题；合作解决问题；参与深度</w:t>
            </w:r>
          </w:p>
        </w:tc>
        <w:tc>
          <w:tcPr>
            <w:tcW w:w="0" w:type="auto"/>
            <w:tcBorders>
              <w:top w:val="nil"/>
              <w:left w:val="nil"/>
              <w:bottom w:val="nil"/>
              <w:right w:val="nil"/>
            </w:tcBorders>
            <w:tcMar>
              <w:top w:w="-1" w:type="dxa"/>
              <w:left w:w="-1" w:type="dxa"/>
              <w:bottom w:w="-1" w:type="dxa"/>
              <w:right w:w="-1" w:type="dxa"/>
            </w:tcMar>
            <w:vAlign w:val="center"/>
          </w:tcPr>
          <w:p w14:paraId="15135E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质疑提问；思维表达；合作解决问题；学习参与</w:t>
            </w:r>
          </w:p>
        </w:tc>
        <w:tc>
          <w:tcPr>
            <w:tcW w:w="0" w:type="auto"/>
            <w:tcBorders>
              <w:top w:val="nil"/>
              <w:left w:val="nil"/>
              <w:bottom w:val="nil"/>
              <w:right w:val="nil"/>
            </w:tcBorders>
            <w:tcMar>
              <w:top w:w="-1" w:type="dxa"/>
              <w:left w:w="-1" w:type="dxa"/>
              <w:bottom w:w="-1" w:type="dxa"/>
              <w:right w:w="-1" w:type="dxa"/>
            </w:tcMar>
            <w:vAlign w:val="center"/>
          </w:tcPr>
          <w:p w14:paraId="230DF7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学生学习行为观察</w:t>
            </w:r>
          </w:p>
        </w:tc>
        <w:tc>
          <w:tcPr>
            <w:tcW w:w="706" w:type="dxa"/>
            <w:tcBorders>
              <w:top w:val="nil"/>
              <w:left w:val="nil"/>
              <w:bottom w:val="nil"/>
              <w:right w:val="nil"/>
            </w:tcBorders>
            <w:tcMar>
              <w:top w:w="-1" w:type="dxa"/>
              <w:left w:w="-1" w:type="dxa"/>
              <w:bottom w:w="-1" w:type="dxa"/>
              <w:right w:w="-1" w:type="dxa"/>
            </w:tcMar>
            <w:vAlign w:val="center"/>
          </w:tcPr>
          <w:p w14:paraId="69E513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1425394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学生更加大胆地敢于质疑</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学生的提问质量有明显提升，且学生会发现问题并彼此互相帮助解决问题</w:t>
            </w:r>
            <w:r>
              <w:rPr>
                <w:rFonts w:ascii="Times New Roman" w:eastAsia="宋体" w:hAnsi="Times New Roman" w:cs="Times New Roman"/>
                <w:szCs w:val="21"/>
              </w:rPr>
              <w:t>”</w:t>
            </w:r>
          </w:p>
        </w:tc>
      </w:tr>
      <w:tr w:rsidR="000B1CCE" w14:paraId="19C7D583"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A1BD31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过程性反馈；多元评价；生成性问题；高阶能力评价工具；量化方法</w:t>
            </w:r>
          </w:p>
        </w:tc>
        <w:tc>
          <w:tcPr>
            <w:tcW w:w="0" w:type="auto"/>
            <w:tcBorders>
              <w:top w:val="nil"/>
              <w:left w:val="nil"/>
              <w:bottom w:val="nil"/>
              <w:right w:val="nil"/>
            </w:tcBorders>
            <w:tcMar>
              <w:top w:w="-1" w:type="dxa"/>
              <w:left w:w="-1" w:type="dxa"/>
              <w:bottom w:w="-1" w:type="dxa"/>
              <w:right w:w="-1" w:type="dxa"/>
            </w:tcMar>
            <w:vAlign w:val="center"/>
          </w:tcPr>
          <w:p w14:paraId="787D20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形成性评价；学习证据；评价工具；反馈调节</w:t>
            </w:r>
          </w:p>
        </w:tc>
        <w:tc>
          <w:tcPr>
            <w:tcW w:w="0" w:type="auto"/>
            <w:tcBorders>
              <w:top w:val="nil"/>
              <w:left w:val="nil"/>
              <w:bottom w:val="nil"/>
              <w:right w:val="nil"/>
            </w:tcBorders>
            <w:tcMar>
              <w:top w:w="-1" w:type="dxa"/>
              <w:left w:w="-1" w:type="dxa"/>
              <w:bottom w:w="-1" w:type="dxa"/>
              <w:right w:w="-1" w:type="dxa"/>
            </w:tcMar>
            <w:vAlign w:val="center"/>
          </w:tcPr>
          <w:p w14:paraId="735A4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形成性评价与学习证据</w:t>
            </w:r>
          </w:p>
        </w:tc>
        <w:tc>
          <w:tcPr>
            <w:tcW w:w="706" w:type="dxa"/>
            <w:tcBorders>
              <w:top w:val="nil"/>
              <w:left w:val="nil"/>
              <w:bottom w:val="nil"/>
              <w:right w:val="nil"/>
            </w:tcBorders>
            <w:tcMar>
              <w:top w:w="-1" w:type="dxa"/>
              <w:left w:w="-1" w:type="dxa"/>
              <w:bottom w:w="-1" w:type="dxa"/>
              <w:right w:w="-1" w:type="dxa"/>
            </w:tcMar>
            <w:vAlign w:val="center"/>
          </w:tcPr>
          <w:p w14:paraId="68AC18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2D2FB1E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课堂会更注重学生的生成性问题，过程性问题的设计和反馈</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提供更多学科化的高阶思维评价工具</w:t>
            </w:r>
            <w:r>
              <w:rPr>
                <w:rFonts w:ascii="Times New Roman" w:eastAsia="宋体" w:hAnsi="Times New Roman" w:cs="Times New Roman"/>
                <w:szCs w:val="21"/>
              </w:rPr>
              <w:t>”</w:t>
            </w:r>
          </w:p>
        </w:tc>
      </w:tr>
      <w:tr w:rsidR="000B1CCE" w14:paraId="698B9BE6"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256D51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课时紧；高三任务重；基础落实与高阶活动平衡；升学压力；刷题倾向</w:t>
            </w:r>
          </w:p>
        </w:tc>
        <w:tc>
          <w:tcPr>
            <w:tcW w:w="0" w:type="auto"/>
            <w:tcBorders>
              <w:top w:val="nil"/>
              <w:left w:val="nil"/>
              <w:bottom w:val="nil"/>
              <w:right w:val="nil"/>
            </w:tcBorders>
            <w:tcMar>
              <w:top w:w="-1" w:type="dxa"/>
              <w:left w:w="-1" w:type="dxa"/>
              <w:bottom w:w="-1" w:type="dxa"/>
              <w:right w:w="-1" w:type="dxa"/>
            </w:tcMar>
            <w:vAlign w:val="center"/>
          </w:tcPr>
          <w:p w14:paraId="783986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课时压力；升学压力；基础与高阶平衡</w:t>
            </w:r>
          </w:p>
        </w:tc>
        <w:tc>
          <w:tcPr>
            <w:tcW w:w="0" w:type="auto"/>
            <w:tcBorders>
              <w:top w:val="nil"/>
              <w:left w:val="nil"/>
              <w:bottom w:val="nil"/>
              <w:right w:val="nil"/>
            </w:tcBorders>
            <w:tcMar>
              <w:top w:w="-1" w:type="dxa"/>
              <w:left w:w="-1" w:type="dxa"/>
              <w:bottom w:w="-1" w:type="dxa"/>
              <w:right w:w="-1" w:type="dxa"/>
            </w:tcMar>
            <w:vAlign w:val="center"/>
          </w:tcPr>
          <w:p w14:paraId="51E24B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教学时间与升学压力</w:t>
            </w:r>
          </w:p>
        </w:tc>
        <w:tc>
          <w:tcPr>
            <w:tcW w:w="706" w:type="dxa"/>
            <w:tcBorders>
              <w:top w:val="nil"/>
              <w:left w:val="nil"/>
              <w:bottom w:val="nil"/>
              <w:right w:val="nil"/>
            </w:tcBorders>
            <w:tcMar>
              <w:top w:w="-1" w:type="dxa"/>
              <w:left w:w="-1" w:type="dxa"/>
              <w:bottom w:w="-1" w:type="dxa"/>
              <w:right w:w="-1" w:type="dxa"/>
            </w:tcMar>
            <w:vAlign w:val="center"/>
          </w:tcPr>
          <w:p w14:paraId="7188C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3000" w:type="dxa"/>
            <w:tcBorders>
              <w:top w:val="nil"/>
              <w:left w:val="nil"/>
              <w:bottom w:val="nil"/>
              <w:right w:val="nil"/>
            </w:tcBorders>
            <w:tcMar>
              <w:top w:w="-1" w:type="dxa"/>
              <w:left w:w="-1" w:type="dxa"/>
              <w:bottom w:w="-1" w:type="dxa"/>
              <w:right w:w="-1" w:type="dxa"/>
            </w:tcMar>
            <w:vAlign w:val="center"/>
          </w:tcPr>
          <w:p w14:paraId="271EF43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课时比较紧张</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升学压力会向刷题和填鸭课堂倾斜，高阶思维培养渗透不够</w:t>
            </w:r>
            <w:r>
              <w:rPr>
                <w:rFonts w:ascii="Times New Roman" w:eastAsia="宋体" w:hAnsi="Times New Roman" w:cs="Times New Roman"/>
                <w:szCs w:val="21"/>
              </w:rPr>
              <w:t>”</w:t>
            </w:r>
          </w:p>
        </w:tc>
      </w:tr>
      <w:tr w:rsidR="000B1CCE" w14:paraId="1EA53DF5"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BE8B00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学生水平差异；分层实施；少数学生主导；部分学生参与不足</w:t>
            </w:r>
          </w:p>
        </w:tc>
        <w:tc>
          <w:tcPr>
            <w:tcW w:w="0" w:type="auto"/>
            <w:tcBorders>
              <w:top w:val="nil"/>
              <w:left w:val="nil"/>
              <w:bottom w:val="nil"/>
              <w:right w:val="nil"/>
            </w:tcBorders>
            <w:tcMar>
              <w:top w:w="-1" w:type="dxa"/>
              <w:left w:w="-1" w:type="dxa"/>
              <w:bottom w:w="-1" w:type="dxa"/>
              <w:right w:w="-1" w:type="dxa"/>
            </w:tcMar>
            <w:vAlign w:val="center"/>
          </w:tcPr>
          <w:p w14:paraId="18B6D9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学情差异；分层任务；参与差异；适切性</w:t>
            </w:r>
          </w:p>
        </w:tc>
        <w:tc>
          <w:tcPr>
            <w:tcW w:w="0" w:type="auto"/>
            <w:tcBorders>
              <w:top w:val="nil"/>
              <w:left w:val="nil"/>
              <w:bottom w:val="nil"/>
              <w:right w:val="nil"/>
            </w:tcBorders>
            <w:tcMar>
              <w:top w:w="-1" w:type="dxa"/>
              <w:left w:w="-1" w:type="dxa"/>
              <w:bottom w:w="-1" w:type="dxa"/>
              <w:right w:w="-1" w:type="dxa"/>
            </w:tcMar>
            <w:vAlign w:val="center"/>
          </w:tcPr>
          <w:p w14:paraId="39BC80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学生差异与分层实施</w:t>
            </w:r>
          </w:p>
        </w:tc>
        <w:tc>
          <w:tcPr>
            <w:tcW w:w="706" w:type="dxa"/>
            <w:tcBorders>
              <w:top w:val="nil"/>
              <w:left w:val="nil"/>
              <w:bottom w:val="nil"/>
              <w:right w:val="nil"/>
            </w:tcBorders>
            <w:tcMar>
              <w:top w:w="-1" w:type="dxa"/>
              <w:left w:w="-1" w:type="dxa"/>
              <w:bottom w:w="-1" w:type="dxa"/>
              <w:right w:w="-1" w:type="dxa"/>
            </w:tcMar>
            <w:vAlign w:val="center"/>
          </w:tcPr>
          <w:p w14:paraId="0F93BF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3237B84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如何避免变成少部分同学的对话</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面对不同程度的学生无法量化培养方法</w:t>
            </w:r>
            <w:r>
              <w:rPr>
                <w:rFonts w:ascii="Times New Roman" w:eastAsia="宋体" w:hAnsi="Times New Roman" w:cs="Times New Roman"/>
                <w:szCs w:val="21"/>
              </w:rPr>
              <w:t>”</w:t>
            </w:r>
          </w:p>
        </w:tc>
      </w:tr>
      <w:tr w:rsidR="000B1CCE" w14:paraId="2718D442"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4446A26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课堂把控；实践尚不成熟；落地尺度；效果不理想；教师能力不足；难坚持</w:t>
            </w:r>
          </w:p>
        </w:tc>
        <w:tc>
          <w:tcPr>
            <w:tcW w:w="0" w:type="auto"/>
            <w:tcBorders>
              <w:top w:val="nil"/>
              <w:left w:val="nil"/>
              <w:bottom w:val="nil"/>
              <w:right w:val="nil"/>
            </w:tcBorders>
            <w:tcMar>
              <w:top w:w="-1" w:type="dxa"/>
              <w:left w:w="-1" w:type="dxa"/>
              <w:bottom w:w="-1" w:type="dxa"/>
              <w:right w:w="-1" w:type="dxa"/>
            </w:tcMar>
            <w:vAlign w:val="center"/>
          </w:tcPr>
          <w:p w14:paraId="64D0AD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教学实施能力；课堂调控；方法转化；教师能力</w:t>
            </w:r>
          </w:p>
        </w:tc>
        <w:tc>
          <w:tcPr>
            <w:tcW w:w="0" w:type="auto"/>
            <w:tcBorders>
              <w:top w:val="nil"/>
              <w:left w:val="nil"/>
              <w:bottom w:val="nil"/>
              <w:right w:val="nil"/>
            </w:tcBorders>
            <w:tcMar>
              <w:top w:w="-1" w:type="dxa"/>
              <w:left w:w="-1" w:type="dxa"/>
              <w:bottom w:w="-1" w:type="dxa"/>
              <w:right w:w="-1" w:type="dxa"/>
            </w:tcMar>
            <w:vAlign w:val="center"/>
          </w:tcPr>
          <w:p w14:paraId="34A177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教师实践能力与课堂把控</w:t>
            </w:r>
          </w:p>
        </w:tc>
        <w:tc>
          <w:tcPr>
            <w:tcW w:w="706" w:type="dxa"/>
            <w:tcBorders>
              <w:top w:val="nil"/>
              <w:left w:val="nil"/>
              <w:bottom w:val="nil"/>
              <w:right w:val="nil"/>
            </w:tcBorders>
            <w:tcMar>
              <w:top w:w="-1" w:type="dxa"/>
              <w:left w:w="-1" w:type="dxa"/>
              <w:bottom w:w="-1" w:type="dxa"/>
              <w:right w:w="-1" w:type="dxa"/>
            </w:tcMar>
            <w:vAlign w:val="center"/>
          </w:tcPr>
          <w:p w14:paraId="31798D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3000" w:type="dxa"/>
            <w:tcBorders>
              <w:top w:val="nil"/>
              <w:left w:val="nil"/>
              <w:bottom w:val="nil"/>
              <w:right w:val="nil"/>
            </w:tcBorders>
            <w:tcMar>
              <w:top w:w="-1" w:type="dxa"/>
              <w:left w:w="-1" w:type="dxa"/>
              <w:bottom w:w="-1" w:type="dxa"/>
              <w:right w:w="-1" w:type="dxa"/>
            </w:tcMar>
            <w:vAlign w:val="center"/>
          </w:tcPr>
          <w:p w14:paraId="1F309D8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高阶思维落地、分层实施仍有挑战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实践尚不成熟</w:t>
            </w:r>
            <w:r>
              <w:rPr>
                <w:rFonts w:ascii="Times New Roman" w:eastAsia="宋体" w:hAnsi="Times New Roman" w:cs="Times New Roman"/>
                <w:szCs w:val="21"/>
              </w:rPr>
              <w:t>”</w:t>
            </w:r>
          </w:p>
        </w:tc>
      </w:tr>
      <w:tr w:rsidR="000B1CCE" w14:paraId="7276DB7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E93BDF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实操课例；学科化案例；示范课；专家进课堂；观摩课；课堂实录；磨课</w:t>
            </w:r>
          </w:p>
        </w:tc>
        <w:tc>
          <w:tcPr>
            <w:tcW w:w="0" w:type="auto"/>
            <w:tcBorders>
              <w:top w:val="nil"/>
              <w:left w:val="nil"/>
              <w:bottom w:val="nil"/>
              <w:right w:val="nil"/>
            </w:tcBorders>
            <w:tcMar>
              <w:top w:w="-1" w:type="dxa"/>
              <w:left w:w="-1" w:type="dxa"/>
              <w:bottom w:w="-1" w:type="dxa"/>
              <w:right w:w="-1" w:type="dxa"/>
            </w:tcMar>
            <w:vAlign w:val="center"/>
          </w:tcPr>
          <w:p w14:paraId="04ECA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课例资源；专家支持；同伴研修；学科化指导</w:t>
            </w:r>
          </w:p>
        </w:tc>
        <w:tc>
          <w:tcPr>
            <w:tcW w:w="0" w:type="auto"/>
            <w:tcBorders>
              <w:top w:val="nil"/>
              <w:left w:val="nil"/>
              <w:bottom w:val="nil"/>
              <w:right w:val="nil"/>
            </w:tcBorders>
            <w:tcMar>
              <w:top w:w="-1" w:type="dxa"/>
              <w:left w:w="-1" w:type="dxa"/>
              <w:bottom w:w="-1" w:type="dxa"/>
              <w:right w:w="-1" w:type="dxa"/>
            </w:tcMar>
            <w:vAlign w:val="center"/>
          </w:tcPr>
          <w:p w14:paraId="05D6EE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学科化课例与专业支持</w:t>
            </w:r>
          </w:p>
        </w:tc>
        <w:tc>
          <w:tcPr>
            <w:tcW w:w="706" w:type="dxa"/>
            <w:tcBorders>
              <w:top w:val="nil"/>
              <w:left w:val="nil"/>
              <w:bottom w:val="nil"/>
              <w:right w:val="nil"/>
            </w:tcBorders>
            <w:tcMar>
              <w:top w:w="-1" w:type="dxa"/>
              <w:left w:w="-1" w:type="dxa"/>
              <w:bottom w:w="-1" w:type="dxa"/>
              <w:right w:w="-1" w:type="dxa"/>
            </w:tcMar>
            <w:vAlign w:val="center"/>
          </w:tcPr>
          <w:p w14:paraId="218D32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40CC236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建议多提供实操课例</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校内组织观摩示范课，邀请专家进课堂进行专业指导</w:t>
            </w:r>
            <w:r>
              <w:rPr>
                <w:rFonts w:ascii="Times New Roman" w:eastAsia="宋体" w:hAnsi="Times New Roman" w:cs="Times New Roman"/>
                <w:szCs w:val="21"/>
              </w:rPr>
              <w:t>”</w:t>
            </w:r>
          </w:p>
        </w:tc>
      </w:tr>
      <w:tr w:rsidR="000B1CCE" w14:paraId="39C5FA39"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4CE55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数字技术；数字化工具；</w:t>
            </w:r>
            <w:r>
              <w:rPr>
                <w:rFonts w:ascii="Times New Roman" w:eastAsia="宋体" w:hAnsi="Times New Roman" w:cs="Times New Roman"/>
                <w:szCs w:val="21"/>
              </w:rPr>
              <w:t>AI</w:t>
            </w:r>
            <w:r>
              <w:rPr>
                <w:rFonts w:ascii="Times New Roman" w:eastAsia="宋体" w:hAnsi="Times New Roman" w:cs="Times New Roman"/>
                <w:szCs w:val="21"/>
              </w:rPr>
              <w:t>赋能；工具付费</w:t>
            </w:r>
          </w:p>
        </w:tc>
        <w:tc>
          <w:tcPr>
            <w:tcW w:w="0" w:type="auto"/>
            <w:tcBorders>
              <w:top w:val="nil"/>
              <w:left w:val="nil"/>
              <w:bottom w:val="nil"/>
              <w:right w:val="nil"/>
            </w:tcBorders>
            <w:tcMar>
              <w:top w:w="-1" w:type="dxa"/>
              <w:left w:w="-1" w:type="dxa"/>
              <w:bottom w:w="-1" w:type="dxa"/>
              <w:right w:w="-1" w:type="dxa"/>
            </w:tcMar>
            <w:vAlign w:val="center"/>
          </w:tcPr>
          <w:p w14:paraId="0AA562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数字工具应用；</w:t>
            </w:r>
            <w:r>
              <w:rPr>
                <w:rFonts w:ascii="Times New Roman" w:eastAsia="宋体" w:hAnsi="Times New Roman" w:cs="Times New Roman"/>
                <w:szCs w:val="21"/>
              </w:rPr>
              <w:t>AI</w:t>
            </w:r>
            <w:r>
              <w:rPr>
                <w:rFonts w:ascii="Times New Roman" w:eastAsia="宋体" w:hAnsi="Times New Roman" w:cs="Times New Roman"/>
                <w:szCs w:val="21"/>
              </w:rPr>
              <w:t>支持；技术条件</w:t>
            </w:r>
          </w:p>
        </w:tc>
        <w:tc>
          <w:tcPr>
            <w:tcW w:w="0" w:type="auto"/>
            <w:tcBorders>
              <w:top w:val="nil"/>
              <w:left w:val="nil"/>
              <w:bottom w:val="nil"/>
              <w:right w:val="nil"/>
            </w:tcBorders>
            <w:tcMar>
              <w:top w:w="-1" w:type="dxa"/>
              <w:left w:w="-1" w:type="dxa"/>
              <w:bottom w:w="-1" w:type="dxa"/>
              <w:right w:w="-1" w:type="dxa"/>
            </w:tcMar>
            <w:vAlign w:val="center"/>
          </w:tcPr>
          <w:p w14:paraId="05BED9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数字化与</w:t>
            </w:r>
            <w:r>
              <w:rPr>
                <w:rFonts w:ascii="Times New Roman" w:eastAsia="宋体" w:hAnsi="Times New Roman" w:cs="Times New Roman"/>
                <w:szCs w:val="21"/>
              </w:rPr>
              <w:t>AI</w:t>
            </w:r>
            <w:r>
              <w:rPr>
                <w:rFonts w:ascii="Times New Roman" w:eastAsia="宋体" w:hAnsi="Times New Roman" w:cs="Times New Roman"/>
                <w:szCs w:val="21"/>
              </w:rPr>
              <w:t>支持</w:t>
            </w:r>
          </w:p>
        </w:tc>
        <w:tc>
          <w:tcPr>
            <w:tcW w:w="706" w:type="dxa"/>
            <w:tcBorders>
              <w:top w:val="nil"/>
              <w:left w:val="nil"/>
              <w:bottom w:val="nil"/>
              <w:right w:val="nil"/>
            </w:tcBorders>
            <w:tcMar>
              <w:top w:w="-1" w:type="dxa"/>
              <w:left w:w="-1" w:type="dxa"/>
              <w:bottom w:w="-1" w:type="dxa"/>
              <w:right w:w="-1" w:type="dxa"/>
            </w:tcMar>
            <w:vAlign w:val="center"/>
          </w:tcPr>
          <w:p w14:paraId="059F6A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3000" w:type="dxa"/>
            <w:tcBorders>
              <w:top w:val="nil"/>
              <w:left w:val="nil"/>
              <w:bottom w:val="nil"/>
              <w:right w:val="nil"/>
            </w:tcBorders>
            <w:tcMar>
              <w:top w:w="-1" w:type="dxa"/>
              <w:left w:w="-1" w:type="dxa"/>
              <w:bottom w:w="-1" w:type="dxa"/>
              <w:right w:w="-1" w:type="dxa"/>
            </w:tcMar>
            <w:vAlign w:val="center"/>
          </w:tcPr>
          <w:p w14:paraId="4FBDA73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后续数字技术还需提高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问题链设计更指向高阶思维，</w:t>
            </w:r>
            <w:r>
              <w:rPr>
                <w:rFonts w:ascii="Times New Roman" w:eastAsia="宋体" w:hAnsi="Times New Roman" w:cs="Times New Roman"/>
                <w:szCs w:val="21"/>
              </w:rPr>
              <w:t>AI</w:t>
            </w:r>
            <w:r>
              <w:rPr>
                <w:rFonts w:ascii="Times New Roman" w:eastAsia="宋体" w:hAnsi="Times New Roman" w:cs="Times New Roman"/>
                <w:szCs w:val="21"/>
              </w:rPr>
              <w:t>赋能不足</w:t>
            </w:r>
            <w:r>
              <w:rPr>
                <w:rFonts w:ascii="Times New Roman" w:eastAsia="宋体" w:hAnsi="Times New Roman" w:cs="Times New Roman"/>
                <w:szCs w:val="21"/>
              </w:rPr>
              <w:t>”</w:t>
            </w:r>
          </w:p>
        </w:tc>
      </w:tr>
      <w:tr w:rsidR="000B1CCE" w14:paraId="659A80E1" w14:textId="77777777">
        <w:trPr>
          <w:jc w:val="center"/>
        </w:trPr>
        <w:tc>
          <w:tcPr>
            <w:tcW w:w="3000" w:type="dxa"/>
            <w:tcBorders>
              <w:top w:val="nil"/>
              <w:left w:val="nil"/>
              <w:bottom w:val="single" w:sz="12" w:space="0" w:color="000000"/>
              <w:right w:val="nil"/>
            </w:tcBorders>
            <w:tcMar>
              <w:top w:w="-1" w:type="dxa"/>
              <w:left w:w="-1" w:type="dxa"/>
              <w:bottom w:w="-1" w:type="dxa"/>
              <w:right w:w="-1" w:type="dxa"/>
            </w:tcMar>
            <w:vAlign w:val="center"/>
          </w:tcPr>
          <w:p w14:paraId="7B1D2A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教研共建；同主题磨课；持续实</w:t>
            </w:r>
            <w:r>
              <w:rPr>
                <w:rFonts w:ascii="Times New Roman" w:eastAsia="宋体" w:hAnsi="Times New Roman" w:cs="Times New Roman"/>
                <w:szCs w:val="21"/>
              </w:rPr>
              <w:lastRenderedPageBreak/>
              <w:t>践；日常课堂落实</w:t>
            </w:r>
          </w:p>
        </w:tc>
        <w:tc>
          <w:tcPr>
            <w:tcW w:w="1597" w:type="dxa"/>
            <w:tcBorders>
              <w:top w:val="nil"/>
              <w:left w:val="nil"/>
              <w:bottom w:val="single" w:sz="12" w:space="0" w:color="000000"/>
              <w:right w:val="nil"/>
            </w:tcBorders>
            <w:tcMar>
              <w:top w:w="-1" w:type="dxa"/>
              <w:left w:w="-1" w:type="dxa"/>
              <w:bottom w:w="-1" w:type="dxa"/>
              <w:right w:w="-1" w:type="dxa"/>
            </w:tcMar>
            <w:vAlign w:val="center"/>
          </w:tcPr>
          <w:p w14:paraId="28F39F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校本研修；资源</w:t>
            </w:r>
            <w:r>
              <w:rPr>
                <w:rFonts w:ascii="Times New Roman" w:eastAsia="宋体" w:hAnsi="Times New Roman" w:cs="Times New Roman"/>
                <w:szCs w:val="21"/>
              </w:rPr>
              <w:lastRenderedPageBreak/>
              <w:t>共建；持续实践</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253524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校本研修与持续</w:t>
            </w:r>
            <w:r>
              <w:rPr>
                <w:rFonts w:ascii="Times New Roman" w:eastAsia="宋体" w:hAnsi="Times New Roman" w:cs="Times New Roman"/>
                <w:szCs w:val="21"/>
              </w:rPr>
              <w:lastRenderedPageBreak/>
              <w:t>实践</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02C51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4</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5EBF227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可尝试分层探究，实现教研共</w:t>
            </w:r>
            <w:r>
              <w:rPr>
                <w:rFonts w:ascii="Times New Roman" w:eastAsia="宋体" w:hAnsi="Times New Roman" w:cs="Times New Roman"/>
                <w:szCs w:val="21"/>
              </w:rPr>
              <w:lastRenderedPageBreak/>
              <w:t>建资源</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学习的理论还要进一步联系实际，开展更多实践</w:t>
            </w:r>
            <w:r>
              <w:rPr>
                <w:rFonts w:ascii="Times New Roman" w:eastAsia="宋体" w:hAnsi="Times New Roman" w:cs="Times New Roman"/>
                <w:szCs w:val="21"/>
              </w:rPr>
              <w:t>”</w:t>
            </w:r>
          </w:p>
        </w:tc>
      </w:tr>
    </w:tbl>
    <w:p w14:paraId="734F316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后测文本中同一回答往往同时包含做法、困难和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4027D57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sz w:val="24"/>
        </w:rPr>
      </w:pPr>
      <w:r>
        <w:rPr>
          <w:rFonts w:ascii="Times New Roman" w:eastAsia="黑体" w:hAnsi="Times New Roman" w:cs="Times New Roman"/>
          <w:b/>
          <w:bCs/>
          <w:sz w:val="24"/>
          <w:szCs w:val="28"/>
        </w:rPr>
        <w:t>4.</w:t>
      </w:r>
      <w:r>
        <w:rPr>
          <w:rFonts w:ascii="Times New Roman" w:eastAsia="黑体" w:hAnsi="Times New Roman" w:cs="Times New Roman"/>
          <w:b/>
          <w:bCs/>
          <w:sz w:val="24"/>
          <w:szCs w:val="28"/>
        </w:rPr>
        <w:t>教师五维评课结果</w:t>
      </w:r>
    </w:p>
    <w:p w14:paraId="533569A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）评课工具的质量检验</w:t>
      </w:r>
    </w:p>
    <w:p w14:paraId="432439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可见的学习</w:t>
      </w:r>
      <w:r>
        <w:rPr>
          <w:rFonts w:ascii="Times New Roman" w:eastAsia="宋体" w:hAnsi="Times New Roman" w:cs="Times New Roman"/>
          <w:sz w:val="24"/>
        </w:rPr>
        <w:t>”</w:t>
      </w:r>
      <w:r>
        <w:rPr>
          <w:rFonts w:ascii="Times New Roman" w:eastAsia="宋体" w:hAnsi="Times New Roman" w:cs="Times New Roman"/>
          <w:sz w:val="24"/>
        </w:rPr>
        <w:t>高质量教学核心实践</w:t>
      </w:r>
      <w:r>
        <w:rPr>
          <w:rFonts w:ascii="Times New Roman" w:eastAsia="宋体" w:hAnsi="Times New Roman" w:cs="Times New Roman"/>
          <w:sz w:val="24"/>
        </w:rPr>
        <w:t>——</w:t>
      </w:r>
      <w:r>
        <w:rPr>
          <w:rFonts w:ascii="Times New Roman" w:eastAsia="宋体" w:hAnsi="Times New Roman" w:cs="Times New Roman"/>
          <w:sz w:val="24"/>
        </w:rPr>
        <w:t>教研课评课表》由</w:t>
      </w:r>
      <w:r>
        <w:rPr>
          <w:rFonts w:ascii="Times New Roman" w:eastAsia="宋体" w:hAnsi="Times New Roman" w:cs="Times New Roman"/>
          <w:sz w:val="24"/>
        </w:rPr>
        <w:t>5</w:t>
      </w:r>
      <w:r>
        <w:rPr>
          <w:rFonts w:ascii="Times New Roman" w:eastAsia="宋体" w:hAnsi="Times New Roman" w:cs="Times New Roman"/>
          <w:sz w:val="24"/>
        </w:rPr>
        <w:t>个一级维度构成，每个维度设置</w:t>
      </w:r>
      <w:r>
        <w:rPr>
          <w:rFonts w:ascii="Times New Roman" w:eastAsia="宋体" w:hAnsi="Times New Roman" w:cs="Times New Roman"/>
          <w:sz w:val="24"/>
        </w:rPr>
        <w:t>4</w:t>
      </w:r>
      <w:r>
        <w:rPr>
          <w:rFonts w:ascii="Times New Roman" w:eastAsia="宋体" w:hAnsi="Times New Roman" w:cs="Times New Roman"/>
          <w:sz w:val="24"/>
        </w:rPr>
        <w:t>个观察条目，共</w:t>
      </w:r>
      <w:r>
        <w:rPr>
          <w:rFonts w:ascii="Times New Roman" w:eastAsia="宋体" w:hAnsi="Times New Roman" w:cs="Times New Roman"/>
          <w:sz w:val="24"/>
        </w:rPr>
        <w:t>20</w:t>
      </w:r>
      <w:r>
        <w:rPr>
          <w:rFonts w:ascii="Times New Roman" w:eastAsia="宋体" w:hAnsi="Times New Roman" w:cs="Times New Roman"/>
          <w:sz w:val="24"/>
        </w:rPr>
        <w:t>个条目；五个维度各</w:t>
      </w:r>
      <w:r>
        <w:rPr>
          <w:rFonts w:ascii="Times New Roman" w:eastAsia="宋体" w:hAnsi="Times New Roman" w:cs="Times New Roman"/>
          <w:sz w:val="24"/>
        </w:rPr>
        <w:t>20</w:t>
      </w:r>
      <w:r>
        <w:rPr>
          <w:rFonts w:ascii="Times New Roman" w:eastAsia="宋体" w:hAnsi="Times New Roman" w:cs="Times New Roman"/>
          <w:sz w:val="24"/>
        </w:rPr>
        <w:t>分，总分</w:t>
      </w:r>
      <w:r>
        <w:rPr>
          <w:rFonts w:ascii="Times New Roman" w:eastAsia="宋体" w:hAnsi="Times New Roman" w:cs="Times New Roman"/>
          <w:sz w:val="24"/>
        </w:rPr>
        <w:t>100</w:t>
      </w:r>
      <w:r>
        <w:rPr>
          <w:rFonts w:ascii="Times New Roman" w:eastAsia="宋体" w:hAnsi="Times New Roman" w:cs="Times New Roman"/>
          <w:sz w:val="24"/>
        </w:rPr>
        <w:t>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5FC02A3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3-62  </w:t>
      </w:r>
      <w:r>
        <w:rPr>
          <w:rFonts w:ascii="Times New Roman" w:eastAsia="黑体" w:hAnsi="Times New Roman" w:cs="Times New Roman"/>
        </w:rPr>
        <w:t>课堂评价工具内部一致性检验结果</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57BECE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14E7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CBD8B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题项数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45A1C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Cronbach'sα</w:t>
            </w:r>
          </w:p>
        </w:tc>
        <w:tc>
          <w:tcPr>
            <w:tcW w:w="15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F5BF2B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统计判断</w:t>
            </w:r>
          </w:p>
        </w:tc>
      </w:tr>
      <w:tr w:rsidR="000B1CCE" w14:paraId="070FBC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3CA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17B726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683BC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0.760</w:t>
            </w:r>
          </w:p>
        </w:tc>
        <w:tc>
          <w:tcPr>
            <w:tcW w:w="1583" w:type="dxa"/>
            <w:tcBorders>
              <w:top w:val="nil"/>
              <w:left w:val="nil"/>
              <w:bottom w:val="nil"/>
              <w:right w:val="nil"/>
            </w:tcBorders>
            <w:tcMar>
              <w:top w:w="-1" w:type="dxa"/>
              <w:left w:w="-1" w:type="dxa"/>
              <w:bottom w:w="-1" w:type="dxa"/>
              <w:right w:w="-1" w:type="dxa"/>
            </w:tcMar>
            <w:vAlign w:val="center"/>
          </w:tcPr>
          <w:p w14:paraId="58FD43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6904873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BCA5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3D13A1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52AB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0.812</w:t>
            </w:r>
          </w:p>
        </w:tc>
        <w:tc>
          <w:tcPr>
            <w:tcW w:w="1583" w:type="dxa"/>
            <w:tcBorders>
              <w:top w:val="nil"/>
              <w:left w:val="nil"/>
              <w:bottom w:val="nil"/>
              <w:right w:val="nil"/>
            </w:tcBorders>
            <w:tcMar>
              <w:top w:w="-1" w:type="dxa"/>
              <w:left w:w="-1" w:type="dxa"/>
              <w:bottom w:w="-1" w:type="dxa"/>
              <w:right w:w="-1" w:type="dxa"/>
            </w:tcMar>
            <w:vAlign w:val="center"/>
          </w:tcPr>
          <w:p w14:paraId="430D1C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07EE3F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485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736DA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7E5C08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0.790</w:t>
            </w:r>
          </w:p>
        </w:tc>
        <w:tc>
          <w:tcPr>
            <w:tcW w:w="1583" w:type="dxa"/>
            <w:tcBorders>
              <w:top w:val="nil"/>
              <w:left w:val="nil"/>
              <w:bottom w:val="nil"/>
              <w:right w:val="nil"/>
            </w:tcBorders>
            <w:tcMar>
              <w:top w:w="-1" w:type="dxa"/>
              <w:left w:w="-1" w:type="dxa"/>
              <w:bottom w:w="-1" w:type="dxa"/>
              <w:right w:w="-1" w:type="dxa"/>
            </w:tcMar>
            <w:vAlign w:val="center"/>
          </w:tcPr>
          <w:p w14:paraId="2BB633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4F796E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07E1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B6D70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092019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0.778</w:t>
            </w:r>
          </w:p>
        </w:tc>
        <w:tc>
          <w:tcPr>
            <w:tcW w:w="1583" w:type="dxa"/>
            <w:tcBorders>
              <w:top w:val="nil"/>
              <w:left w:val="nil"/>
              <w:bottom w:val="nil"/>
              <w:right w:val="nil"/>
            </w:tcBorders>
            <w:tcMar>
              <w:top w:w="-1" w:type="dxa"/>
              <w:left w:w="-1" w:type="dxa"/>
              <w:bottom w:w="-1" w:type="dxa"/>
              <w:right w:w="-1" w:type="dxa"/>
            </w:tcMar>
            <w:vAlign w:val="center"/>
          </w:tcPr>
          <w:p w14:paraId="6C533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70D5B9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08B4F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0" w:type="auto"/>
            <w:tcBorders>
              <w:top w:val="nil"/>
              <w:left w:val="nil"/>
              <w:bottom w:val="nil"/>
              <w:right w:val="nil"/>
            </w:tcBorders>
            <w:tcMar>
              <w:top w:w="-1" w:type="dxa"/>
              <w:left w:w="-1" w:type="dxa"/>
              <w:bottom w:w="-1" w:type="dxa"/>
              <w:right w:w="-1" w:type="dxa"/>
            </w:tcMar>
            <w:vAlign w:val="center"/>
          </w:tcPr>
          <w:p w14:paraId="7B826F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5605FC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0.801</w:t>
            </w:r>
          </w:p>
        </w:tc>
        <w:tc>
          <w:tcPr>
            <w:tcW w:w="1583" w:type="dxa"/>
            <w:tcBorders>
              <w:top w:val="nil"/>
              <w:left w:val="nil"/>
              <w:bottom w:val="nil"/>
              <w:right w:val="nil"/>
            </w:tcBorders>
            <w:tcMar>
              <w:top w:w="-1" w:type="dxa"/>
              <w:left w:w="-1" w:type="dxa"/>
              <w:bottom w:w="-1" w:type="dxa"/>
              <w:right w:w="-1" w:type="dxa"/>
            </w:tcMar>
            <w:vAlign w:val="center"/>
          </w:tcPr>
          <w:p w14:paraId="3EB996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15B15867" w14:textId="77777777">
        <w:trPr>
          <w:jc w:val="center"/>
        </w:trPr>
        <w:tc>
          <w:tcPr>
            <w:tcW w:w="3162" w:type="dxa"/>
            <w:tcBorders>
              <w:top w:val="nil"/>
              <w:left w:val="nil"/>
              <w:bottom w:val="single" w:sz="12" w:space="0" w:color="000000"/>
              <w:right w:val="nil"/>
            </w:tcBorders>
            <w:tcMar>
              <w:top w:w="-1" w:type="dxa"/>
              <w:left w:w="-1" w:type="dxa"/>
              <w:bottom w:w="-1" w:type="dxa"/>
              <w:right w:w="-1" w:type="dxa"/>
            </w:tcMar>
            <w:vAlign w:val="center"/>
          </w:tcPr>
          <w:p w14:paraId="524D34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总体量表</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76F6C7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p>
        </w:tc>
        <w:tc>
          <w:tcPr>
            <w:tcW w:w="2372" w:type="dxa"/>
            <w:tcBorders>
              <w:top w:val="nil"/>
              <w:left w:val="nil"/>
              <w:bottom w:val="single" w:sz="12" w:space="0" w:color="000000"/>
              <w:right w:val="nil"/>
            </w:tcBorders>
            <w:tcMar>
              <w:top w:w="-1" w:type="dxa"/>
              <w:left w:w="-1" w:type="dxa"/>
              <w:bottom w:w="-1" w:type="dxa"/>
              <w:right w:w="-1" w:type="dxa"/>
            </w:tcMar>
            <w:vAlign w:val="center"/>
          </w:tcPr>
          <w:p w14:paraId="74510B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0.782</w:t>
            </w:r>
          </w:p>
        </w:tc>
        <w:tc>
          <w:tcPr>
            <w:tcW w:w="1583" w:type="dxa"/>
            <w:tcBorders>
              <w:top w:val="nil"/>
              <w:left w:val="nil"/>
              <w:bottom w:val="single" w:sz="12" w:space="0" w:color="000000"/>
              <w:right w:val="nil"/>
            </w:tcBorders>
            <w:tcMar>
              <w:top w:w="-1" w:type="dxa"/>
              <w:left w:w="-1" w:type="dxa"/>
              <w:bottom w:w="-1" w:type="dxa"/>
              <w:right w:w="-1" w:type="dxa"/>
            </w:tcMar>
            <w:vAlign w:val="center"/>
          </w:tcPr>
          <w:p w14:paraId="643664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bl>
    <w:p w14:paraId="4F9916C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总体量表</w:t>
      </w:r>
      <w:r>
        <w:rPr>
          <w:rFonts w:ascii="Times New Roman" w:eastAsia="宋体" w:hAnsi="Times New Roman" w:cs="Times New Roman"/>
          <w:sz w:val="24"/>
        </w:rPr>
        <w:t>Cronbach's α</w:t>
      </w:r>
      <w:r>
        <w:rPr>
          <w:rFonts w:ascii="Times New Roman" w:eastAsia="宋体" w:hAnsi="Times New Roman" w:cs="Times New Roman"/>
          <w:sz w:val="24"/>
        </w:rPr>
        <w:t>为</w:t>
      </w:r>
      <w:r>
        <w:rPr>
          <w:rFonts w:ascii="Times New Roman" w:eastAsia="宋体" w:hAnsi="Times New Roman" w:cs="Times New Roman"/>
          <w:sz w:val="24"/>
        </w:rPr>
        <w:t>0.782</w:t>
      </w:r>
      <w:r>
        <w:rPr>
          <w:rFonts w:ascii="Times New Roman" w:eastAsia="宋体" w:hAnsi="Times New Roman" w:cs="Times New Roman"/>
          <w:sz w:val="24"/>
        </w:rPr>
        <w:t>，五个一级维度的</w:t>
      </w:r>
      <w:r>
        <w:rPr>
          <w:rFonts w:ascii="Times New Roman" w:eastAsia="宋体" w:hAnsi="Times New Roman" w:cs="Times New Roman"/>
          <w:sz w:val="24"/>
        </w:rPr>
        <w:t>α</w:t>
      </w:r>
      <w:r>
        <w:rPr>
          <w:rFonts w:ascii="Times New Roman" w:eastAsia="宋体" w:hAnsi="Times New Roman" w:cs="Times New Roman"/>
          <w:sz w:val="24"/>
        </w:rPr>
        <w:t>系数介于</w:t>
      </w:r>
      <w:r>
        <w:rPr>
          <w:rFonts w:ascii="Times New Roman" w:eastAsia="宋体" w:hAnsi="Times New Roman" w:cs="Times New Roman"/>
          <w:sz w:val="24"/>
        </w:rPr>
        <w:t>0.760—0.812</w:t>
      </w:r>
      <w:r>
        <w:rPr>
          <w:rFonts w:ascii="Times New Roman" w:eastAsia="宋体" w:hAnsi="Times New Roman" w:cs="Times New Roman"/>
          <w:sz w:val="24"/>
        </w:rPr>
        <w:t>之间，均达到教育研究中可接受的内部一致性水平。其中，学科内容建构和形成性评价与反馈两个维度分别达到</w:t>
      </w:r>
      <w:r>
        <w:rPr>
          <w:rFonts w:ascii="Times New Roman" w:eastAsia="宋体" w:hAnsi="Times New Roman" w:cs="Times New Roman"/>
          <w:sz w:val="24"/>
        </w:rPr>
        <w:t>0.812</w:t>
      </w:r>
      <w:r>
        <w:rPr>
          <w:rFonts w:ascii="Times New Roman" w:eastAsia="宋体" w:hAnsi="Times New Roman" w:cs="Times New Roman"/>
          <w:sz w:val="24"/>
        </w:rPr>
        <w:t>和</w:t>
      </w:r>
      <w:r>
        <w:rPr>
          <w:rFonts w:ascii="Times New Roman" w:eastAsia="宋体" w:hAnsi="Times New Roman" w:cs="Times New Roman"/>
          <w:sz w:val="24"/>
        </w:rPr>
        <w:t>0.801</w:t>
      </w:r>
      <w:r>
        <w:rPr>
          <w:rFonts w:ascii="Times New Roman" w:eastAsia="宋体" w:hAnsi="Times New Roman" w:cs="Times New Roman"/>
          <w:sz w:val="24"/>
        </w:rPr>
        <w:t>，表现出较好的内部一致性。更重要的是，五个维度虽然围绕同一课堂质量框架展开，但并未表现为高度重复，而保留了对课堂不同侧面的区分。对于本研究而言，这意味着后续对五维结构进行比较具有基本的测量前提。</w:t>
      </w:r>
    </w:p>
    <w:p w14:paraId="3F0B7BF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3-63  </w:t>
      </w:r>
      <w:r>
        <w:rPr>
          <w:rFonts w:ascii="Times New Roman" w:eastAsia="黑体" w:hAnsi="Times New Roman" w:cs="Times New Roman"/>
        </w:rPr>
        <w:t>删除一级维度后的内部一致性检验</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5C87A72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9FFBB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876EE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删除后</w:t>
            </w:r>
            <w:r>
              <w:rPr>
                <w:rFonts w:ascii="Times New Roman" w:eastAsia="宋体" w:hAnsi="Times New Roman" w:cs="Times New Roman"/>
                <w:b/>
                <w:szCs w:val="21"/>
              </w:rPr>
              <w:t>α</w:t>
            </w:r>
          </w:p>
        </w:tc>
        <w:tc>
          <w:tcPr>
            <w:tcW w:w="3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B7215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相对总体</w:t>
            </w:r>
            <w:r>
              <w:rPr>
                <w:rFonts w:ascii="Times New Roman" w:eastAsia="宋体" w:hAnsi="Times New Roman" w:cs="Times New Roman"/>
                <w:b/>
                <w:szCs w:val="21"/>
              </w:rPr>
              <w:t>α</w:t>
            </w:r>
            <w:r>
              <w:rPr>
                <w:rFonts w:ascii="Times New Roman" w:eastAsia="宋体" w:hAnsi="Times New Roman" w:cs="Times New Roman"/>
                <w:b/>
                <w:szCs w:val="21"/>
              </w:rPr>
              <w:t>变化</w:t>
            </w:r>
          </w:p>
        </w:tc>
      </w:tr>
      <w:tr w:rsidR="000B1CCE" w14:paraId="1036805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2470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1FEDE6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0.774</w:t>
            </w:r>
          </w:p>
        </w:tc>
        <w:tc>
          <w:tcPr>
            <w:tcW w:w="3060" w:type="dxa"/>
            <w:tcBorders>
              <w:top w:val="nil"/>
              <w:left w:val="nil"/>
              <w:bottom w:val="nil"/>
              <w:right w:val="nil"/>
            </w:tcBorders>
            <w:tcMar>
              <w:top w:w="-1" w:type="dxa"/>
              <w:left w:w="-1" w:type="dxa"/>
              <w:bottom w:w="-1" w:type="dxa"/>
              <w:right w:w="-1" w:type="dxa"/>
            </w:tcMar>
            <w:vAlign w:val="center"/>
          </w:tcPr>
          <w:p w14:paraId="04AD87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−0.008</w:t>
            </w:r>
          </w:p>
        </w:tc>
      </w:tr>
      <w:tr w:rsidR="000B1CCE" w14:paraId="243CAB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E692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498C2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0.768</w:t>
            </w:r>
          </w:p>
        </w:tc>
        <w:tc>
          <w:tcPr>
            <w:tcW w:w="3060" w:type="dxa"/>
            <w:tcBorders>
              <w:top w:val="nil"/>
              <w:left w:val="nil"/>
              <w:bottom w:val="nil"/>
              <w:right w:val="nil"/>
            </w:tcBorders>
            <w:tcMar>
              <w:top w:w="-1" w:type="dxa"/>
              <w:left w:w="-1" w:type="dxa"/>
              <w:bottom w:w="-1" w:type="dxa"/>
              <w:right w:w="-1" w:type="dxa"/>
            </w:tcMar>
            <w:vAlign w:val="center"/>
          </w:tcPr>
          <w:p w14:paraId="21A724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−0.014</w:t>
            </w:r>
          </w:p>
        </w:tc>
      </w:tr>
      <w:tr w:rsidR="000B1CCE" w14:paraId="10EB0A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9DD9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309F9B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0.771</w:t>
            </w:r>
          </w:p>
        </w:tc>
        <w:tc>
          <w:tcPr>
            <w:tcW w:w="3060" w:type="dxa"/>
            <w:tcBorders>
              <w:top w:val="nil"/>
              <w:left w:val="nil"/>
              <w:bottom w:val="nil"/>
              <w:right w:val="nil"/>
            </w:tcBorders>
            <w:tcMar>
              <w:top w:w="-1" w:type="dxa"/>
              <w:left w:w="-1" w:type="dxa"/>
              <w:bottom w:w="-1" w:type="dxa"/>
              <w:right w:w="-1" w:type="dxa"/>
            </w:tcMar>
            <w:vAlign w:val="center"/>
          </w:tcPr>
          <w:p w14:paraId="762BFF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−0.011</w:t>
            </w:r>
          </w:p>
        </w:tc>
      </w:tr>
      <w:tr w:rsidR="000B1CCE" w14:paraId="642CC2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0052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3B6741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0.769</w:t>
            </w:r>
          </w:p>
        </w:tc>
        <w:tc>
          <w:tcPr>
            <w:tcW w:w="3060" w:type="dxa"/>
            <w:tcBorders>
              <w:top w:val="nil"/>
              <w:left w:val="nil"/>
              <w:bottom w:val="nil"/>
              <w:right w:val="nil"/>
            </w:tcBorders>
            <w:tcMar>
              <w:top w:w="-1" w:type="dxa"/>
              <w:left w:w="-1" w:type="dxa"/>
              <w:bottom w:w="-1" w:type="dxa"/>
              <w:right w:w="-1" w:type="dxa"/>
            </w:tcMar>
            <w:vAlign w:val="center"/>
          </w:tcPr>
          <w:p w14:paraId="0340B3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−0.013</w:t>
            </w:r>
          </w:p>
        </w:tc>
      </w:tr>
      <w:tr w:rsidR="000B1CCE" w14:paraId="4BE934BE" w14:textId="77777777">
        <w:trPr>
          <w:jc w:val="center"/>
        </w:trPr>
        <w:tc>
          <w:tcPr>
            <w:tcW w:w="3496" w:type="dxa"/>
            <w:tcBorders>
              <w:top w:val="nil"/>
              <w:left w:val="nil"/>
              <w:bottom w:val="single" w:sz="12" w:space="0" w:color="000000"/>
              <w:right w:val="nil"/>
            </w:tcBorders>
            <w:tcMar>
              <w:top w:w="-1" w:type="dxa"/>
              <w:left w:w="-1" w:type="dxa"/>
              <w:bottom w:w="-1" w:type="dxa"/>
              <w:right w:w="-1" w:type="dxa"/>
            </w:tcMar>
            <w:vAlign w:val="center"/>
          </w:tcPr>
          <w:p w14:paraId="24400D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747" w:type="dxa"/>
            <w:tcBorders>
              <w:top w:val="nil"/>
              <w:left w:val="nil"/>
              <w:bottom w:val="single" w:sz="12" w:space="0" w:color="000000"/>
              <w:right w:val="nil"/>
            </w:tcBorders>
            <w:tcMar>
              <w:top w:w="-1" w:type="dxa"/>
              <w:left w:w="-1" w:type="dxa"/>
              <w:bottom w:w="-1" w:type="dxa"/>
              <w:right w:w="-1" w:type="dxa"/>
            </w:tcMar>
            <w:vAlign w:val="center"/>
          </w:tcPr>
          <w:p w14:paraId="4848E5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0.763</w:t>
            </w:r>
          </w:p>
        </w:tc>
        <w:tc>
          <w:tcPr>
            <w:tcW w:w="3060" w:type="dxa"/>
            <w:tcBorders>
              <w:top w:val="nil"/>
              <w:left w:val="nil"/>
              <w:bottom w:val="single" w:sz="12" w:space="0" w:color="000000"/>
              <w:right w:val="nil"/>
            </w:tcBorders>
            <w:tcMar>
              <w:top w:w="-1" w:type="dxa"/>
              <w:left w:w="-1" w:type="dxa"/>
              <w:bottom w:w="-1" w:type="dxa"/>
              <w:right w:w="-1" w:type="dxa"/>
            </w:tcMar>
            <w:vAlign w:val="center"/>
          </w:tcPr>
          <w:p w14:paraId="2F863D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−0.019</w:t>
            </w:r>
          </w:p>
        </w:tc>
      </w:tr>
    </w:tbl>
    <w:p w14:paraId="4C992B1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进一步删除任一一级维度后，总体</w:t>
      </w:r>
      <w:r>
        <w:rPr>
          <w:rFonts w:ascii="Times New Roman" w:eastAsia="宋体" w:hAnsi="Times New Roman" w:cs="Times New Roman"/>
          <w:sz w:val="24"/>
        </w:rPr>
        <w:t>α</w:t>
      </w:r>
      <w:r>
        <w:rPr>
          <w:rFonts w:ascii="Times New Roman" w:eastAsia="宋体" w:hAnsi="Times New Roman" w:cs="Times New Roman"/>
          <w:sz w:val="24"/>
        </w:rPr>
        <w:t>均未上升，反而出现不同程度下降；其中删除形成性评价与反馈后，</w:t>
      </w:r>
      <w:r>
        <w:rPr>
          <w:rFonts w:ascii="Times New Roman" w:eastAsia="宋体" w:hAnsi="Times New Roman" w:cs="Times New Roman"/>
          <w:sz w:val="24"/>
        </w:rPr>
        <w:t>α</w:t>
      </w:r>
      <w:r>
        <w:rPr>
          <w:rFonts w:ascii="Times New Roman" w:eastAsia="宋体" w:hAnsi="Times New Roman" w:cs="Times New Roman"/>
          <w:sz w:val="24"/>
        </w:rPr>
        <w:t>由</w:t>
      </w:r>
      <w:r>
        <w:rPr>
          <w:rFonts w:ascii="Times New Roman" w:eastAsia="宋体" w:hAnsi="Times New Roman" w:cs="Times New Roman"/>
          <w:sz w:val="24"/>
        </w:rPr>
        <w:t>0.782</w:t>
      </w:r>
      <w:r>
        <w:rPr>
          <w:rFonts w:ascii="Times New Roman" w:eastAsia="宋体" w:hAnsi="Times New Roman" w:cs="Times New Roman"/>
          <w:sz w:val="24"/>
        </w:rPr>
        <w:t>降至</w:t>
      </w:r>
      <w:r>
        <w:rPr>
          <w:rFonts w:ascii="Times New Roman" w:eastAsia="宋体" w:hAnsi="Times New Roman" w:cs="Times New Roman"/>
          <w:sz w:val="24"/>
        </w:rPr>
        <w:t>0.763</w:t>
      </w:r>
      <w:r>
        <w:rPr>
          <w:rFonts w:ascii="Times New Roman" w:eastAsia="宋体" w:hAnsi="Times New Roman" w:cs="Times New Roman"/>
          <w:sz w:val="24"/>
        </w:rPr>
        <w:t>，降幅最大。换言之，五个维度都在为整体评价提供独立信息，没有哪个维度只是重复测量。这也提示我们，后续分析不能只盯住某一个高分维度，而应把五个维度放在同一课堂生态中理解。</w:t>
      </w:r>
    </w:p>
    <w:p w14:paraId="2B17424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3-64  </w:t>
      </w:r>
      <w:r>
        <w:rPr>
          <w:rFonts w:ascii="Times New Roman" w:eastAsia="黑体" w:hAnsi="Times New Roman" w:cs="Times New Roman"/>
        </w:rPr>
        <w:t>各维度与其余四维总分的相关度</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44741B9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55D88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61C616"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Pearsonr</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F8EF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FD034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解释</w:t>
            </w:r>
          </w:p>
        </w:tc>
      </w:tr>
      <w:tr w:rsidR="000B1CCE" w14:paraId="1D0C397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52D3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458CCF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0.516</w:t>
            </w:r>
          </w:p>
        </w:tc>
        <w:tc>
          <w:tcPr>
            <w:tcW w:w="0" w:type="auto"/>
            <w:tcBorders>
              <w:top w:val="nil"/>
              <w:left w:val="nil"/>
              <w:bottom w:val="nil"/>
              <w:right w:val="nil"/>
            </w:tcBorders>
            <w:tcMar>
              <w:top w:w="-1" w:type="dxa"/>
              <w:left w:w="-1" w:type="dxa"/>
              <w:bottom w:w="-1" w:type="dxa"/>
              <w:right w:w="-1" w:type="dxa"/>
            </w:tcMar>
            <w:vAlign w:val="center"/>
          </w:tcPr>
          <w:p w14:paraId="45F3EF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3A48F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6AD77D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060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7690E7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0.603</w:t>
            </w:r>
          </w:p>
        </w:tc>
        <w:tc>
          <w:tcPr>
            <w:tcW w:w="0" w:type="auto"/>
            <w:tcBorders>
              <w:top w:val="nil"/>
              <w:left w:val="nil"/>
              <w:bottom w:val="nil"/>
              <w:right w:val="nil"/>
            </w:tcBorders>
            <w:tcMar>
              <w:top w:w="-1" w:type="dxa"/>
              <w:left w:w="-1" w:type="dxa"/>
              <w:bottom w:w="-1" w:type="dxa"/>
              <w:right w:w="-1" w:type="dxa"/>
            </w:tcMar>
            <w:vAlign w:val="center"/>
          </w:tcPr>
          <w:p w14:paraId="300298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6E987B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505CBE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743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E0C1B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0.616</w:t>
            </w:r>
          </w:p>
        </w:tc>
        <w:tc>
          <w:tcPr>
            <w:tcW w:w="0" w:type="auto"/>
            <w:tcBorders>
              <w:top w:val="nil"/>
              <w:left w:val="nil"/>
              <w:bottom w:val="nil"/>
              <w:right w:val="nil"/>
            </w:tcBorders>
            <w:tcMar>
              <w:top w:w="-1" w:type="dxa"/>
              <w:left w:w="-1" w:type="dxa"/>
              <w:bottom w:w="-1" w:type="dxa"/>
              <w:right w:w="-1" w:type="dxa"/>
            </w:tcMar>
            <w:vAlign w:val="center"/>
          </w:tcPr>
          <w:p w14:paraId="218FDB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26EC3F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623FC9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ECA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19A2C1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0.408</w:t>
            </w:r>
          </w:p>
        </w:tc>
        <w:tc>
          <w:tcPr>
            <w:tcW w:w="0" w:type="auto"/>
            <w:tcBorders>
              <w:top w:val="nil"/>
              <w:left w:val="nil"/>
              <w:bottom w:val="nil"/>
              <w:right w:val="nil"/>
            </w:tcBorders>
            <w:tcMar>
              <w:top w:w="-1" w:type="dxa"/>
              <w:left w:w="-1" w:type="dxa"/>
              <w:bottom w:w="-1" w:type="dxa"/>
              <w:right w:w="-1" w:type="dxa"/>
            </w:tcMar>
            <w:vAlign w:val="center"/>
          </w:tcPr>
          <w:p w14:paraId="13F4EE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2373" w:type="dxa"/>
            <w:tcBorders>
              <w:top w:val="nil"/>
              <w:left w:val="nil"/>
              <w:bottom w:val="nil"/>
              <w:right w:val="nil"/>
            </w:tcBorders>
            <w:tcMar>
              <w:top w:w="-1" w:type="dxa"/>
              <w:left w:w="-1" w:type="dxa"/>
              <w:bottom w:w="-1" w:type="dxa"/>
              <w:right w:w="-1" w:type="dxa"/>
            </w:tcMar>
            <w:vAlign w:val="center"/>
          </w:tcPr>
          <w:p w14:paraId="367C86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0F6BBB93" w14:textId="77777777">
        <w:trPr>
          <w:jc w:val="center"/>
        </w:trPr>
        <w:tc>
          <w:tcPr>
            <w:tcW w:w="3163" w:type="dxa"/>
            <w:tcBorders>
              <w:top w:val="nil"/>
              <w:left w:val="nil"/>
              <w:bottom w:val="single" w:sz="12" w:space="0" w:color="000000"/>
              <w:right w:val="nil"/>
            </w:tcBorders>
            <w:tcMar>
              <w:top w:w="-1" w:type="dxa"/>
              <w:left w:w="-1" w:type="dxa"/>
              <w:bottom w:w="-1" w:type="dxa"/>
              <w:right w:w="-1" w:type="dxa"/>
            </w:tcMar>
            <w:vAlign w:val="center"/>
          </w:tcPr>
          <w:p w14:paraId="441912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581" w:type="dxa"/>
            <w:tcBorders>
              <w:top w:val="nil"/>
              <w:left w:val="nil"/>
              <w:bottom w:val="single" w:sz="12" w:space="0" w:color="000000"/>
              <w:right w:val="nil"/>
            </w:tcBorders>
            <w:tcMar>
              <w:top w:w="-1" w:type="dxa"/>
              <w:left w:w="-1" w:type="dxa"/>
              <w:bottom w:w="-1" w:type="dxa"/>
              <w:right w:w="-1" w:type="dxa"/>
            </w:tcMar>
            <w:vAlign w:val="center"/>
          </w:tcPr>
          <w:p w14:paraId="10E634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0.647</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6A6A81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single" w:sz="12" w:space="0" w:color="000000"/>
              <w:right w:val="nil"/>
            </w:tcBorders>
            <w:tcMar>
              <w:top w:w="-1" w:type="dxa"/>
              <w:left w:w="-1" w:type="dxa"/>
              <w:bottom w:w="-1" w:type="dxa"/>
              <w:right w:w="-1" w:type="dxa"/>
            </w:tcMar>
            <w:vAlign w:val="center"/>
          </w:tcPr>
          <w:p w14:paraId="130059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较强相关</w:t>
            </w:r>
          </w:p>
        </w:tc>
      </w:tr>
    </w:tbl>
    <w:p w14:paraId="33079E0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w:t>
      </w:r>
      <w:r>
        <w:rPr>
          <w:rFonts w:ascii="Times New Roman" w:eastAsia="宋体" w:hAnsi="Times New Roman" w:cs="Times New Roman"/>
          <w:sz w:val="24"/>
        </w:rPr>
        <w:t>r=0.647</w:t>
      </w:r>
      <w:r>
        <w:rPr>
          <w:rFonts w:ascii="Times New Roman" w:eastAsia="宋体" w:hAnsi="Times New Roman" w:cs="Times New Roman"/>
          <w:sz w:val="24"/>
        </w:rPr>
        <w:t>），社会情感支持（</w:t>
      </w:r>
      <w:r>
        <w:rPr>
          <w:rFonts w:ascii="Times New Roman" w:eastAsia="宋体" w:hAnsi="Times New Roman" w:cs="Times New Roman"/>
          <w:sz w:val="24"/>
        </w:rPr>
        <w:t>r=0.616</w:t>
      </w:r>
      <w:r>
        <w:rPr>
          <w:rFonts w:ascii="Times New Roman" w:eastAsia="宋体" w:hAnsi="Times New Roman" w:cs="Times New Roman"/>
          <w:sz w:val="24"/>
        </w:rPr>
        <w:t>）和学科内容建构（</w:t>
      </w:r>
      <w:r>
        <w:rPr>
          <w:rFonts w:ascii="Times New Roman" w:eastAsia="宋体" w:hAnsi="Times New Roman" w:cs="Times New Roman"/>
          <w:sz w:val="24"/>
        </w:rPr>
        <w:t>r=0.603</w:t>
      </w:r>
      <w:r>
        <w:rPr>
          <w:rFonts w:ascii="Times New Roman" w:eastAsia="宋体" w:hAnsi="Times New Roman" w:cs="Times New Roman"/>
          <w:sz w:val="24"/>
        </w:rPr>
        <w:t>）次之，课堂互动相对较低（</w:t>
      </w:r>
      <w:r>
        <w:rPr>
          <w:rFonts w:ascii="Times New Roman" w:eastAsia="宋体" w:hAnsi="Times New Roman" w:cs="Times New Roman"/>
          <w:sz w:val="24"/>
        </w:rPr>
        <w:t>r=0.408</w:t>
      </w:r>
      <w:r>
        <w:rPr>
          <w:rFonts w:ascii="Times New Roman" w:eastAsia="宋体" w:hAnsi="Times New Roman" w:cs="Times New Roman"/>
          <w:sz w:val="24"/>
        </w:rPr>
        <w:t>），但仍达到统计显著。这一结果说明，五个维度既共同指向课堂整体质量，又并非彼此替代。形成性评价在均值比较中并不占优势，但与整体课堂结构的联系最为紧密，提示反馈与改进在课堂中的作用。</w:t>
      </w:r>
    </w:p>
    <w:p w14:paraId="4646C2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23ADB0D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）课堂评价的总体分布</w:t>
      </w:r>
    </w:p>
    <w:p w14:paraId="5964D4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本轮共纳入</w:t>
      </w:r>
      <w:r>
        <w:rPr>
          <w:rFonts w:ascii="Times New Roman" w:eastAsia="宋体" w:hAnsi="Times New Roman" w:cs="Times New Roman"/>
          <w:sz w:val="24"/>
        </w:rPr>
        <w:t>46</w:t>
      </w:r>
      <w:r>
        <w:rPr>
          <w:rFonts w:ascii="Times New Roman" w:eastAsia="宋体" w:hAnsi="Times New Roman" w:cs="Times New Roman"/>
          <w:sz w:val="24"/>
        </w:rPr>
        <w:t>份清晰可辨的有效评课记录。总体分析不只报告均值，还同时呈现标准差、中位数、四分位距和</w:t>
      </w:r>
      <w:r>
        <w:rPr>
          <w:rFonts w:ascii="Times New Roman" w:eastAsia="宋体" w:hAnsi="Times New Roman" w:cs="Times New Roman"/>
          <w:sz w:val="24"/>
        </w:rPr>
        <w:t>95%</w:t>
      </w:r>
      <w:r>
        <w:rPr>
          <w:rFonts w:ascii="Times New Roman" w:eastAsia="宋体" w:hAnsi="Times New Roman" w:cs="Times New Roman"/>
          <w:sz w:val="24"/>
        </w:rPr>
        <w:t>置信区间。之所以采用这样的统计口径，</w:t>
      </w:r>
      <w:r>
        <w:rPr>
          <w:rFonts w:ascii="Times New Roman" w:eastAsia="宋体" w:hAnsi="Times New Roman" w:cs="Times New Roman"/>
          <w:sz w:val="24"/>
        </w:rPr>
        <w:lastRenderedPageBreak/>
        <w:t>是因为课堂评价往往存在少量极高或极低记录，单一均值容易掩盖分布特征。多种统计量可以更完整地呈现这组课堂评价的分布。</w:t>
      </w:r>
    </w:p>
    <w:p w14:paraId="0C4A9A1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3-65  </w:t>
      </w:r>
      <w:r>
        <w:rPr>
          <w:rFonts w:ascii="Times New Roman" w:eastAsia="黑体" w:hAnsi="Times New Roman" w:cs="Times New Roman"/>
        </w:rPr>
        <w:t>课堂评价总分总体描述统计</w:t>
      </w:r>
    </w:p>
    <w:tbl>
      <w:tblPr>
        <w:tblW w:w="830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0CD0D20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062B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指标</w:t>
            </w:r>
          </w:p>
        </w:tc>
        <w:tc>
          <w:tcPr>
            <w:tcW w:w="3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8AFD6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统计结果</w:t>
            </w:r>
          </w:p>
        </w:tc>
      </w:tr>
      <w:tr w:rsidR="000B1CCE" w14:paraId="13EF9C28"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2159E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样本量（</w:t>
            </w:r>
            <w:r>
              <w:rPr>
                <w:rFonts w:ascii="Times New Roman" w:eastAsia="宋体" w:hAnsi="Times New Roman" w:cs="Times New Roman"/>
                <w:szCs w:val="21"/>
              </w:rPr>
              <w:t>n</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527CAC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46</w:t>
            </w:r>
          </w:p>
        </w:tc>
      </w:tr>
      <w:tr w:rsidR="000B1CCE" w14:paraId="644B2B6C"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6A4653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平均分（</w:t>
            </w:r>
            <w:r>
              <w:rPr>
                <w:rFonts w:ascii="Times New Roman" w:eastAsia="宋体" w:hAnsi="Times New Roman" w:cs="Times New Roman"/>
                <w:szCs w:val="21"/>
              </w:rPr>
              <w:t>M</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270776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90.83</w:t>
            </w:r>
          </w:p>
        </w:tc>
      </w:tr>
      <w:tr w:rsidR="000B1CCE" w14:paraId="162CA6A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32CDB5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标准差（</w:t>
            </w:r>
            <w:r>
              <w:rPr>
                <w:rFonts w:ascii="Times New Roman" w:eastAsia="宋体" w:hAnsi="Times New Roman" w:cs="Times New Roman"/>
                <w:szCs w:val="21"/>
              </w:rPr>
              <w:t>SD</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18C69A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4.85</w:t>
            </w:r>
          </w:p>
        </w:tc>
      </w:tr>
      <w:tr w:rsidR="000B1CCE" w14:paraId="06989962"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A0301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中位数（</w:t>
            </w:r>
            <w:proofErr w:type="spellStart"/>
            <w:r>
              <w:rPr>
                <w:rFonts w:ascii="Times New Roman" w:eastAsia="宋体" w:hAnsi="Times New Roman" w:cs="Times New Roman"/>
                <w:szCs w:val="21"/>
              </w:rPr>
              <w:t>Mdn</w:t>
            </w:r>
            <w:proofErr w:type="spellEnd"/>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7054F7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r>
      <w:tr w:rsidR="000B1CCE" w14:paraId="2591AB2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2740FE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四分位区间（</w:t>
            </w:r>
            <w:r>
              <w:rPr>
                <w:rFonts w:ascii="Times New Roman" w:eastAsia="宋体" w:hAnsi="Times New Roman" w:cs="Times New Roman"/>
                <w:szCs w:val="21"/>
              </w:rPr>
              <w:t>Q1—Q3</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03711D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90.00—93.00</w:t>
            </w:r>
          </w:p>
        </w:tc>
      </w:tr>
      <w:tr w:rsidR="000B1CCE" w14:paraId="6EA2C979"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6060A5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最低</w:t>
            </w:r>
            <w:r>
              <w:rPr>
                <w:rFonts w:ascii="Times New Roman" w:eastAsia="宋体" w:hAnsi="Times New Roman" w:cs="Times New Roman"/>
                <w:szCs w:val="21"/>
              </w:rPr>
              <w:t>—</w:t>
            </w:r>
            <w:r>
              <w:rPr>
                <w:rFonts w:ascii="Times New Roman" w:eastAsia="宋体" w:hAnsi="Times New Roman" w:cs="Times New Roman"/>
                <w:szCs w:val="21"/>
              </w:rPr>
              <w:t>最高</w:t>
            </w:r>
          </w:p>
        </w:tc>
        <w:tc>
          <w:tcPr>
            <w:tcW w:w="3322" w:type="dxa"/>
            <w:tcBorders>
              <w:top w:val="nil"/>
              <w:left w:val="nil"/>
              <w:bottom w:val="nil"/>
              <w:right w:val="nil"/>
            </w:tcBorders>
            <w:tcMar>
              <w:top w:w="-1" w:type="dxa"/>
              <w:left w:w="-1" w:type="dxa"/>
              <w:bottom w:w="-1" w:type="dxa"/>
              <w:right w:w="-1" w:type="dxa"/>
            </w:tcMar>
            <w:vAlign w:val="center"/>
          </w:tcPr>
          <w:p w14:paraId="76B73C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68—97</w:t>
            </w:r>
          </w:p>
        </w:tc>
      </w:tr>
      <w:tr w:rsidR="000B1CCE" w14:paraId="4963BB90"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76180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极差</w:t>
            </w:r>
          </w:p>
        </w:tc>
        <w:tc>
          <w:tcPr>
            <w:tcW w:w="3322" w:type="dxa"/>
            <w:tcBorders>
              <w:top w:val="nil"/>
              <w:left w:val="nil"/>
              <w:bottom w:val="nil"/>
              <w:right w:val="nil"/>
            </w:tcBorders>
            <w:tcMar>
              <w:top w:w="-1" w:type="dxa"/>
              <w:left w:w="-1" w:type="dxa"/>
              <w:bottom w:w="-1" w:type="dxa"/>
              <w:right w:w="-1" w:type="dxa"/>
            </w:tcMar>
            <w:vAlign w:val="center"/>
          </w:tcPr>
          <w:p w14:paraId="1416CA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210AE31A" w14:textId="77777777">
        <w:trPr>
          <w:tblHeader/>
          <w:jc w:val="center"/>
        </w:trPr>
        <w:tc>
          <w:tcPr>
            <w:tcW w:w="4984" w:type="dxa"/>
            <w:tcBorders>
              <w:top w:val="nil"/>
              <w:left w:val="nil"/>
              <w:bottom w:val="single" w:sz="12" w:space="0" w:color="000000"/>
              <w:right w:val="nil"/>
            </w:tcBorders>
            <w:tcMar>
              <w:top w:w="-1" w:type="dxa"/>
              <w:left w:w="-1" w:type="dxa"/>
              <w:bottom w:w="-1" w:type="dxa"/>
              <w:right w:w="-1" w:type="dxa"/>
            </w:tcMar>
            <w:vAlign w:val="center"/>
          </w:tcPr>
          <w:p w14:paraId="121F51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w:t>
            </w:r>
            <w:r>
              <w:rPr>
                <w:rFonts w:ascii="Times New Roman" w:eastAsia="宋体" w:hAnsi="Times New Roman" w:cs="Times New Roman"/>
                <w:szCs w:val="21"/>
              </w:rPr>
              <w:t>95%CI</w:t>
            </w:r>
          </w:p>
        </w:tc>
        <w:tc>
          <w:tcPr>
            <w:tcW w:w="3322" w:type="dxa"/>
            <w:tcBorders>
              <w:top w:val="nil"/>
              <w:left w:val="nil"/>
              <w:bottom w:val="single" w:sz="12" w:space="0" w:color="000000"/>
              <w:right w:val="nil"/>
            </w:tcBorders>
            <w:tcMar>
              <w:top w:w="-1" w:type="dxa"/>
              <w:left w:w="-1" w:type="dxa"/>
              <w:bottom w:w="-1" w:type="dxa"/>
              <w:right w:w="-1" w:type="dxa"/>
            </w:tcMar>
            <w:vAlign w:val="center"/>
          </w:tcPr>
          <w:p w14:paraId="5676A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89.39—92.27</w:t>
            </w:r>
          </w:p>
        </w:tc>
      </w:tr>
    </w:tbl>
    <w:p w14:paraId="39B714B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从总体分布看，平均分为</w:t>
      </w:r>
      <w:r>
        <w:rPr>
          <w:rFonts w:ascii="Times New Roman" w:eastAsia="宋体" w:hAnsi="Times New Roman" w:cs="Times New Roman"/>
          <w:sz w:val="24"/>
        </w:rPr>
        <w:t>90.83</w:t>
      </w:r>
      <w:r>
        <w:rPr>
          <w:rFonts w:ascii="Times New Roman" w:eastAsia="宋体" w:hAnsi="Times New Roman" w:cs="Times New Roman"/>
          <w:sz w:val="24"/>
        </w:rPr>
        <w:t>分，中位数为</w:t>
      </w:r>
      <w:r>
        <w:rPr>
          <w:rFonts w:ascii="Times New Roman" w:eastAsia="宋体" w:hAnsi="Times New Roman" w:cs="Times New Roman"/>
          <w:sz w:val="24"/>
        </w:rPr>
        <w:t>92.00</w:t>
      </w:r>
      <w:r>
        <w:rPr>
          <w:rFonts w:ascii="Times New Roman" w:eastAsia="宋体" w:hAnsi="Times New Roman" w:cs="Times New Roman"/>
          <w:sz w:val="24"/>
        </w:rPr>
        <w:t>分，四分位区间集中在</w:t>
      </w:r>
      <w:r>
        <w:rPr>
          <w:rFonts w:ascii="Times New Roman" w:eastAsia="宋体" w:hAnsi="Times New Roman" w:cs="Times New Roman"/>
          <w:sz w:val="24"/>
        </w:rPr>
        <w:t>90—93</w:t>
      </w:r>
      <w:r>
        <w:rPr>
          <w:rFonts w:ascii="Times New Roman" w:eastAsia="宋体" w:hAnsi="Times New Roman" w:cs="Times New Roman"/>
          <w:sz w:val="24"/>
        </w:rPr>
        <w:t>分。也就是说，半数以上的评价聚集在一个相对狭窄的高分区间。与此同时，最低分为</w:t>
      </w:r>
      <w:r>
        <w:rPr>
          <w:rFonts w:ascii="Times New Roman" w:eastAsia="宋体" w:hAnsi="Times New Roman" w:cs="Times New Roman"/>
          <w:sz w:val="24"/>
        </w:rPr>
        <w:t>68</w:t>
      </w:r>
      <w:r>
        <w:rPr>
          <w:rFonts w:ascii="Times New Roman" w:eastAsia="宋体" w:hAnsi="Times New Roman" w:cs="Times New Roman"/>
          <w:sz w:val="24"/>
        </w:rPr>
        <w:t>分，使均值低于中位数约</w:t>
      </w:r>
      <w:r>
        <w:rPr>
          <w:rFonts w:ascii="Times New Roman" w:eastAsia="宋体" w:hAnsi="Times New Roman" w:cs="Times New Roman"/>
          <w:sz w:val="24"/>
        </w:rPr>
        <w:t>1.17</w:t>
      </w:r>
      <w:r>
        <w:rPr>
          <w:rFonts w:ascii="Times New Roman" w:eastAsia="宋体" w:hAnsi="Times New Roman" w:cs="Times New Roman"/>
          <w:sz w:val="24"/>
        </w:rPr>
        <w:t>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3FA29A2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3-66  </w:t>
      </w:r>
      <w:r>
        <w:rPr>
          <w:rFonts w:ascii="Times New Roman" w:eastAsia="黑体" w:hAnsi="Times New Roman" w:cs="Times New Roman"/>
        </w:rPr>
        <w:t>课堂评价总分区间分布</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2672400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FFC22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分数区间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C8F82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频数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1E619F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c>
          <w:tcPr>
            <w:tcW w:w="29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7FBC9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8B0F8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0FF4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w:t>
            </w:r>
            <w:r>
              <w:rPr>
                <w:rFonts w:ascii="Times New Roman" w:eastAsia="宋体" w:hAnsi="Times New Roman" w:cs="Times New Roman"/>
                <w:szCs w:val="21"/>
              </w:rPr>
              <w:t>分及以上</w:t>
            </w:r>
          </w:p>
        </w:tc>
        <w:tc>
          <w:tcPr>
            <w:tcW w:w="0" w:type="auto"/>
            <w:tcBorders>
              <w:top w:val="nil"/>
              <w:left w:val="nil"/>
              <w:bottom w:val="nil"/>
              <w:right w:val="nil"/>
            </w:tcBorders>
            <w:tcMar>
              <w:top w:w="-1" w:type="dxa"/>
              <w:left w:w="-1" w:type="dxa"/>
              <w:bottom w:w="-1" w:type="dxa"/>
              <w:right w:w="-1" w:type="dxa"/>
            </w:tcMar>
            <w:vAlign w:val="center"/>
          </w:tcPr>
          <w:p w14:paraId="672CAB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37AD30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c>
          <w:tcPr>
            <w:tcW w:w="2958" w:type="dxa"/>
            <w:tcBorders>
              <w:top w:val="nil"/>
              <w:left w:val="nil"/>
              <w:bottom w:val="nil"/>
              <w:right w:val="nil"/>
            </w:tcBorders>
            <w:tcMar>
              <w:top w:w="-1" w:type="dxa"/>
              <w:left w:w="-1" w:type="dxa"/>
              <w:bottom w:w="-1" w:type="dxa"/>
              <w:right w:w="-1" w:type="dxa"/>
            </w:tcMar>
            <w:vAlign w:val="center"/>
          </w:tcPr>
          <w:p w14:paraId="0A3259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r>
      <w:tr w:rsidR="000B1CCE" w14:paraId="2091F7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4A3A1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80—89</w:t>
            </w:r>
            <w:r>
              <w:rPr>
                <w:rFonts w:ascii="Times New Roman" w:eastAsia="宋体" w:hAnsi="Times New Roman" w:cs="Times New Roman"/>
                <w:szCs w:val="21"/>
              </w:rPr>
              <w:t>分</w:t>
            </w:r>
          </w:p>
        </w:tc>
        <w:tc>
          <w:tcPr>
            <w:tcW w:w="0" w:type="auto"/>
            <w:tcBorders>
              <w:top w:val="nil"/>
              <w:left w:val="nil"/>
              <w:bottom w:val="nil"/>
              <w:right w:val="nil"/>
            </w:tcBorders>
            <w:tcMar>
              <w:top w:w="-1" w:type="dxa"/>
              <w:left w:w="-1" w:type="dxa"/>
              <w:bottom w:w="-1" w:type="dxa"/>
              <w:right w:w="-1" w:type="dxa"/>
            </w:tcMar>
            <w:vAlign w:val="center"/>
          </w:tcPr>
          <w:p w14:paraId="62A291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0" w:type="auto"/>
            <w:tcBorders>
              <w:top w:val="nil"/>
              <w:left w:val="nil"/>
              <w:bottom w:val="nil"/>
              <w:right w:val="nil"/>
            </w:tcBorders>
            <w:tcMar>
              <w:top w:w="-1" w:type="dxa"/>
              <w:left w:w="-1" w:type="dxa"/>
              <w:bottom w:w="-1" w:type="dxa"/>
              <w:right w:w="-1" w:type="dxa"/>
            </w:tcMar>
            <w:vAlign w:val="center"/>
          </w:tcPr>
          <w:p w14:paraId="11A8D7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21.74</w:t>
            </w:r>
          </w:p>
        </w:tc>
        <w:tc>
          <w:tcPr>
            <w:tcW w:w="2958" w:type="dxa"/>
            <w:tcBorders>
              <w:top w:val="nil"/>
              <w:left w:val="nil"/>
              <w:bottom w:val="nil"/>
              <w:right w:val="nil"/>
            </w:tcBorders>
            <w:tcMar>
              <w:top w:w="-1" w:type="dxa"/>
              <w:left w:w="-1" w:type="dxa"/>
              <w:bottom w:w="-1" w:type="dxa"/>
              <w:right w:w="-1" w:type="dxa"/>
            </w:tcMar>
            <w:vAlign w:val="center"/>
          </w:tcPr>
          <w:p w14:paraId="1566B7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97.83</w:t>
            </w:r>
          </w:p>
        </w:tc>
      </w:tr>
      <w:tr w:rsidR="000B1CCE" w14:paraId="3ACD3B03" w14:textId="77777777">
        <w:trPr>
          <w:jc w:val="center"/>
        </w:trPr>
        <w:tc>
          <w:tcPr>
            <w:tcW w:w="2390" w:type="dxa"/>
            <w:tcBorders>
              <w:top w:val="nil"/>
              <w:left w:val="nil"/>
              <w:bottom w:val="single" w:sz="12" w:space="0" w:color="000000"/>
              <w:right w:val="nil"/>
            </w:tcBorders>
            <w:tcMar>
              <w:top w:w="-1" w:type="dxa"/>
              <w:left w:w="-1" w:type="dxa"/>
              <w:bottom w:w="-1" w:type="dxa"/>
              <w:right w:w="-1" w:type="dxa"/>
            </w:tcMar>
            <w:vAlign w:val="center"/>
          </w:tcPr>
          <w:p w14:paraId="1ADC91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65—79</w:t>
            </w:r>
            <w:r>
              <w:rPr>
                <w:rFonts w:ascii="Times New Roman" w:eastAsia="宋体" w:hAnsi="Times New Roman" w:cs="Times New Roman"/>
                <w:szCs w:val="21"/>
              </w:rPr>
              <w:t>分</w:t>
            </w:r>
          </w:p>
        </w:tc>
        <w:tc>
          <w:tcPr>
            <w:tcW w:w="909" w:type="dxa"/>
            <w:tcBorders>
              <w:top w:val="nil"/>
              <w:left w:val="nil"/>
              <w:bottom w:val="single" w:sz="12" w:space="0" w:color="000000"/>
              <w:right w:val="nil"/>
            </w:tcBorders>
            <w:tcMar>
              <w:top w:w="-1" w:type="dxa"/>
              <w:left w:w="-1" w:type="dxa"/>
              <w:bottom w:w="-1" w:type="dxa"/>
              <w:right w:w="-1" w:type="dxa"/>
            </w:tcMar>
            <w:vAlign w:val="center"/>
          </w:tcPr>
          <w:p w14:paraId="1AD7D1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2046" w:type="dxa"/>
            <w:tcBorders>
              <w:top w:val="nil"/>
              <w:left w:val="nil"/>
              <w:bottom w:val="single" w:sz="12" w:space="0" w:color="000000"/>
              <w:right w:val="nil"/>
            </w:tcBorders>
            <w:tcMar>
              <w:top w:w="-1" w:type="dxa"/>
              <w:left w:w="-1" w:type="dxa"/>
              <w:bottom w:w="-1" w:type="dxa"/>
              <w:right w:w="-1" w:type="dxa"/>
            </w:tcMar>
            <w:vAlign w:val="center"/>
          </w:tcPr>
          <w:p w14:paraId="648434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w:t>
            </w:r>
          </w:p>
        </w:tc>
        <w:tc>
          <w:tcPr>
            <w:tcW w:w="2958" w:type="dxa"/>
            <w:tcBorders>
              <w:top w:val="nil"/>
              <w:left w:val="nil"/>
              <w:bottom w:val="single" w:sz="12" w:space="0" w:color="000000"/>
              <w:right w:val="nil"/>
            </w:tcBorders>
            <w:tcMar>
              <w:top w:w="-1" w:type="dxa"/>
              <w:left w:w="-1" w:type="dxa"/>
              <w:bottom w:w="-1" w:type="dxa"/>
              <w:right w:w="-1" w:type="dxa"/>
            </w:tcMar>
            <w:vAlign w:val="center"/>
          </w:tcPr>
          <w:p w14:paraId="3EE037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100.00</w:t>
            </w:r>
          </w:p>
        </w:tc>
      </w:tr>
    </w:tbl>
    <w:p w14:paraId="6E5DAE5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从分数区间看，</w:t>
      </w:r>
      <w:r>
        <w:rPr>
          <w:rFonts w:ascii="Times New Roman" w:eastAsia="宋体" w:hAnsi="Times New Roman" w:cs="Times New Roman"/>
          <w:sz w:val="24"/>
        </w:rPr>
        <w:t>90</w:t>
      </w:r>
      <w:r>
        <w:rPr>
          <w:rFonts w:ascii="Times New Roman" w:eastAsia="宋体" w:hAnsi="Times New Roman" w:cs="Times New Roman"/>
          <w:sz w:val="24"/>
        </w:rPr>
        <w:t>分及以上</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80—89</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份，占</w:t>
      </w:r>
      <w:r>
        <w:rPr>
          <w:rFonts w:ascii="Times New Roman" w:eastAsia="宋体" w:hAnsi="Times New Roman" w:cs="Times New Roman"/>
          <w:sz w:val="24"/>
        </w:rPr>
        <w:t>21.74%</w:t>
      </w:r>
      <w:r>
        <w:rPr>
          <w:rFonts w:ascii="Times New Roman" w:eastAsia="宋体" w:hAnsi="Times New Roman" w:cs="Times New Roman"/>
          <w:sz w:val="24"/>
        </w:rPr>
        <w:t>；</w:t>
      </w:r>
      <w:r>
        <w:rPr>
          <w:rFonts w:ascii="Times New Roman" w:eastAsia="宋体" w:hAnsi="Times New Roman" w:cs="Times New Roman"/>
          <w:sz w:val="24"/>
        </w:rPr>
        <w:t>65—79</w:t>
      </w:r>
      <w:r>
        <w:rPr>
          <w:rFonts w:ascii="Times New Roman" w:eastAsia="宋体" w:hAnsi="Times New Roman" w:cs="Times New Roman"/>
          <w:sz w:val="24"/>
        </w:rPr>
        <w:t>分</w:t>
      </w:r>
      <w:r>
        <w:rPr>
          <w:rFonts w:ascii="Times New Roman" w:eastAsia="宋体" w:hAnsi="Times New Roman" w:cs="Times New Roman"/>
          <w:sz w:val="24"/>
        </w:rPr>
        <w:t>1</w:t>
      </w:r>
      <w:r>
        <w:rPr>
          <w:rFonts w:ascii="Times New Roman" w:eastAsia="宋体" w:hAnsi="Times New Roman" w:cs="Times New Roman"/>
          <w:sz w:val="24"/>
        </w:rPr>
        <w:t>份，占</w:t>
      </w:r>
      <w:r>
        <w:rPr>
          <w:rFonts w:ascii="Times New Roman" w:eastAsia="宋体" w:hAnsi="Times New Roman" w:cs="Times New Roman"/>
          <w:sz w:val="24"/>
        </w:rPr>
        <w:t>2.17%</w:t>
      </w:r>
      <w:r>
        <w:rPr>
          <w:rFonts w:ascii="Times New Roman" w:eastAsia="宋体" w:hAnsi="Times New Roman" w:cs="Times New Roman"/>
          <w:sz w:val="24"/>
        </w:rPr>
        <w:t>。因此，本轮评价的主体确实集中在较高区间，但并非整齐划一。我们在后续学科与课例分析中保留这份低分记录，不做事后剔除，就是希望真实呈现课堂实施中的差异。</w:t>
      </w:r>
    </w:p>
    <w:p w14:paraId="1AF7228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）五个维度的结构差异</w:t>
      </w:r>
    </w:p>
    <w:p w14:paraId="15F4F2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总体高分并不能说明五个方面同步发展。为进一步看清课堂内部结构，本研究比较五维的均值、离散程度，并利用同一份评课记录中的五个配对分数进行</w:t>
      </w:r>
      <w:r>
        <w:rPr>
          <w:rFonts w:ascii="Times New Roman" w:eastAsia="宋体" w:hAnsi="Times New Roman" w:cs="Times New Roman"/>
          <w:sz w:val="24"/>
        </w:rPr>
        <w:t>Friedman</w:t>
      </w:r>
      <w:r>
        <w:rPr>
          <w:rFonts w:ascii="Times New Roman" w:eastAsia="宋体" w:hAnsi="Times New Roman" w:cs="Times New Roman"/>
          <w:sz w:val="24"/>
        </w:rPr>
        <w:t>重复测量检验。考虑到维度得分上限固定、分布较集中，采用非参数检验更为稳妥；同时以</w:t>
      </w:r>
      <w:r>
        <w:rPr>
          <w:rFonts w:ascii="Times New Roman" w:eastAsia="宋体" w:hAnsi="Times New Roman" w:cs="Times New Roman"/>
          <w:sz w:val="24"/>
        </w:rPr>
        <w:t>Kendall's W</w:t>
      </w:r>
      <w:r>
        <w:rPr>
          <w:rFonts w:ascii="Times New Roman" w:eastAsia="宋体" w:hAnsi="Times New Roman" w:cs="Times New Roman"/>
          <w:sz w:val="24"/>
        </w:rPr>
        <w:t>判断差异强度。</w:t>
      </w:r>
    </w:p>
    <w:p w14:paraId="710C026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3-67  </w:t>
      </w:r>
      <w:r>
        <w:rPr>
          <w:rFonts w:ascii="Times New Roman" w:eastAsia="黑体" w:hAnsi="Times New Roman" w:cs="Times New Roman"/>
        </w:rPr>
        <w:t>五个评价维度的描述统计</w:t>
      </w:r>
    </w:p>
    <w:tbl>
      <w:tblPr>
        <w:tblW w:w="867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4016F16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C5A2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7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E8BA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6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499DD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E395385"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845C5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C7AA5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4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DE5B6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得分率（</w:t>
            </w:r>
            <w:r>
              <w:rPr>
                <w:rFonts w:ascii="Times New Roman" w:eastAsia="宋体" w:hAnsi="Times New Roman" w:cs="Times New Roman"/>
                <w:b/>
                <w:szCs w:val="21"/>
              </w:rPr>
              <w:t>%</w:t>
            </w:r>
            <w:r>
              <w:rPr>
                <w:rFonts w:ascii="Times New Roman" w:eastAsia="宋体" w:hAnsi="Times New Roman" w:cs="Times New Roman"/>
                <w:b/>
                <w:szCs w:val="21"/>
              </w:rPr>
              <w:t>）</w:t>
            </w:r>
          </w:p>
        </w:tc>
        <w:tc>
          <w:tcPr>
            <w:tcW w:w="9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A65D7D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17BA8B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3815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720" w:type="dxa"/>
            <w:tcBorders>
              <w:top w:val="nil"/>
              <w:left w:val="nil"/>
              <w:bottom w:val="nil"/>
              <w:right w:val="nil"/>
            </w:tcBorders>
            <w:tcMar>
              <w:top w:w="-1" w:type="dxa"/>
              <w:left w:w="-1" w:type="dxa"/>
              <w:bottom w:w="-1" w:type="dxa"/>
              <w:right w:w="-1" w:type="dxa"/>
            </w:tcMar>
            <w:vAlign w:val="center"/>
          </w:tcPr>
          <w:p w14:paraId="419D86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18.96</w:t>
            </w:r>
          </w:p>
        </w:tc>
        <w:tc>
          <w:tcPr>
            <w:tcW w:w="600" w:type="dxa"/>
            <w:tcBorders>
              <w:top w:val="nil"/>
              <w:left w:val="nil"/>
              <w:bottom w:val="nil"/>
              <w:right w:val="nil"/>
            </w:tcBorders>
            <w:tcMar>
              <w:top w:w="-1" w:type="dxa"/>
              <w:left w:w="-1" w:type="dxa"/>
              <w:bottom w:w="-1" w:type="dxa"/>
              <w:right w:w="-1" w:type="dxa"/>
            </w:tcMar>
            <w:vAlign w:val="center"/>
          </w:tcPr>
          <w:p w14:paraId="533D9C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1.15</w:t>
            </w:r>
          </w:p>
        </w:tc>
        <w:tc>
          <w:tcPr>
            <w:tcW w:w="0" w:type="auto"/>
            <w:tcBorders>
              <w:top w:val="nil"/>
              <w:left w:val="nil"/>
              <w:bottom w:val="nil"/>
              <w:right w:val="nil"/>
            </w:tcBorders>
            <w:tcMar>
              <w:top w:w="-1" w:type="dxa"/>
              <w:left w:w="-1" w:type="dxa"/>
              <w:bottom w:w="-1" w:type="dxa"/>
              <w:right w:w="-1" w:type="dxa"/>
            </w:tcMar>
            <w:vAlign w:val="center"/>
          </w:tcPr>
          <w:p w14:paraId="7DA666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73A4D4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18.25—20</w:t>
            </w:r>
          </w:p>
        </w:tc>
        <w:tc>
          <w:tcPr>
            <w:tcW w:w="0" w:type="auto"/>
            <w:tcBorders>
              <w:top w:val="nil"/>
              <w:left w:val="nil"/>
              <w:bottom w:val="nil"/>
              <w:right w:val="nil"/>
            </w:tcBorders>
            <w:tcMar>
              <w:top w:w="-1" w:type="dxa"/>
              <w:left w:w="-1" w:type="dxa"/>
              <w:bottom w:w="-1" w:type="dxa"/>
              <w:right w:w="-1" w:type="dxa"/>
            </w:tcMar>
            <w:vAlign w:val="center"/>
          </w:tcPr>
          <w:p w14:paraId="15665D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16—20</w:t>
            </w:r>
          </w:p>
        </w:tc>
        <w:tc>
          <w:tcPr>
            <w:tcW w:w="1445" w:type="dxa"/>
            <w:tcBorders>
              <w:top w:val="nil"/>
              <w:left w:val="nil"/>
              <w:bottom w:val="nil"/>
              <w:right w:val="nil"/>
            </w:tcBorders>
            <w:tcMar>
              <w:top w:w="-1" w:type="dxa"/>
              <w:left w:w="-1" w:type="dxa"/>
              <w:bottom w:w="-1" w:type="dxa"/>
              <w:right w:w="-1" w:type="dxa"/>
            </w:tcMar>
            <w:vAlign w:val="center"/>
          </w:tcPr>
          <w:p w14:paraId="1312F7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94.78</w:t>
            </w:r>
          </w:p>
        </w:tc>
        <w:tc>
          <w:tcPr>
            <w:tcW w:w="964" w:type="dxa"/>
            <w:tcBorders>
              <w:top w:val="nil"/>
              <w:left w:val="nil"/>
              <w:bottom w:val="nil"/>
              <w:right w:val="nil"/>
            </w:tcBorders>
            <w:tcMar>
              <w:top w:w="-1" w:type="dxa"/>
              <w:left w:w="-1" w:type="dxa"/>
              <w:bottom w:w="-1" w:type="dxa"/>
              <w:right w:w="-1" w:type="dxa"/>
            </w:tcMar>
            <w:vAlign w:val="center"/>
          </w:tcPr>
          <w:p w14:paraId="599A83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6.09</w:t>
            </w:r>
          </w:p>
        </w:tc>
      </w:tr>
      <w:tr w:rsidR="000B1CCE" w14:paraId="580BCD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826B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720" w:type="dxa"/>
            <w:tcBorders>
              <w:top w:val="nil"/>
              <w:left w:val="nil"/>
              <w:bottom w:val="nil"/>
              <w:right w:val="nil"/>
            </w:tcBorders>
            <w:tcMar>
              <w:top w:w="-1" w:type="dxa"/>
              <w:left w:w="-1" w:type="dxa"/>
              <w:bottom w:w="-1" w:type="dxa"/>
              <w:right w:w="-1" w:type="dxa"/>
            </w:tcMar>
            <w:vAlign w:val="center"/>
          </w:tcPr>
          <w:p w14:paraId="286B5D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18.54</w:t>
            </w:r>
          </w:p>
        </w:tc>
        <w:tc>
          <w:tcPr>
            <w:tcW w:w="600" w:type="dxa"/>
            <w:tcBorders>
              <w:top w:val="nil"/>
              <w:left w:val="nil"/>
              <w:bottom w:val="nil"/>
              <w:right w:val="nil"/>
            </w:tcBorders>
            <w:tcMar>
              <w:top w:w="-1" w:type="dxa"/>
              <w:left w:w="-1" w:type="dxa"/>
              <w:bottom w:w="-1" w:type="dxa"/>
              <w:right w:w="-1" w:type="dxa"/>
            </w:tcMar>
            <w:vAlign w:val="center"/>
          </w:tcPr>
          <w:p w14:paraId="39E9AB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1.41</w:t>
            </w:r>
          </w:p>
        </w:tc>
        <w:tc>
          <w:tcPr>
            <w:tcW w:w="0" w:type="auto"/>
            <w:tcBorders>
              <w:top w:val="nil"/>
              <w:left w:val="nil"/>
              <w:bottom w:val="nil"/>
              <w:right w:val="nil"/>
            </w:tcBorders>
            <w:tcMar>
              <w:top w:w="-1" w:type="dxa"/>
              <w:left w:w="-1" w:type="dxa"/>
              <w:bottom w:w="-1" w:type="dxa"/>
              <w:right w:w="-1" w:type="dxa"/>
            </w:tcMar>
            <w:vAlign w:val="center"/>
          </w:tcPr>
          <w:p w14:paraId="546DCA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12FD5DE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18—19</w:t>
            </w:r>
          </w:p>
        </w:tc>
        <w:tc>
          <w:tcPr>
            <w:tcW w:w="0" w:type="auto"/>
            <w:tcBorders>
              <w:top w:val="nil"/>
              <w:left w:val="nil"/>
              <w:bottom w:val="nil"/>
              <w:right w:val="nil"/>
            </w:tcBorders>
            <w:tcMar>
              <w:top w:w="-1" w:type="dxa"/>
              <w:left w:w="-1" w:type="dxa"/>
              <w:bottom w:w="-1" w:type="dxa"/>
              <w:right w:w="-1" w:type="dxa"/>
            </w:tcMar>
            <w:vAlign w:val="center"/>
          </w:tcPr>
          <w:p w14:paraId="1D070C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327D37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92.72</w:t>
            </w:r>
          </w:p>
        </w:tc>
        <w:tc>
          <w:tcPr>
            <w:tcW w:w="964" w:type="dxa"/>
            <w:tcBorders>
              <w:top w:val="nil"/>
              <w:left w:val="nil"/>
              <w:bottom w:val="nil"/>
              <w:right w:val="nil"/>
            </w:tcBorders>
            <w:tcMar>
              <w:top w:w="-1" w:type="dxa"/>
              <w:left w:w="-1" w:type="dxa"/>
              <w:bottom w:w="-1" w:type="dxa"/>
              <w:right w:w="-1" w:type="dxa"/>
            </w:tcMar>
            <w:vAlign w:val="center"/>
          </w:tcPr>
          <w:p w14:paraId="08D7C0C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w:t>
            </w:r>
          </w:p>
        </w:tc>
      </w:tr>
      <w:tr w:rsidR="000B1CCE" w14:paraId="00E277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BDD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720" w:type="dxa"/>
            <w:tcBorders>
              <w:top w:val="nil"/>
              <w:left w:val="nil"/>
              <w:bottom w:val="nil"/>
              <w:right w:val="nil"/>
            </w:tcBorders>
            <w:tcMar>
              <w:top w:w="-1" w:type="dxa"/>
              <w:left w:w="-1" w:type="dxa"/>
              <w:bottom w:w="-1" w:type="dxa"/>
              <w:right w:w="-1" w:type="dxa"/>
            </w:tcMar>
            <w:vAlign w:val="center"/>
          </w:tcPr>
          <w:p w14:paraId="28D7B1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17.93</w:t>
            </w:r>
          </w:p>
        </w:tc>
        <w:tc>
          <w:tcPr>
            <w:tcW w:w="600" w:type="dxa"/>
            <w:tcBorders>
              <w:top w:val="nil"/>
              <w:left w:val="nil"/>
              <w:bottom w:val="nil"/>
              <w:right w:val="nil"/>
            </w:tcBorders>
            <w:tcMar>
              <w:top w:w="-1" w:type="dxa"/>
              <w:left w:w="-1" w:type="dxa"/>
              <w:bottom w:w="-1" w:type="dxa"/>
              <w:right w:w="-1" w:type="dxa"/>
            </w:tcMar>
            <w:vAlign w:val="center"/>
          </w:tcPr>
          <w:p w14:paraId="75BA80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w:t>
            </w:r>
          </w:p>
        </w:tc>
        <w:tc>
          <w:tcPr>
            <w:tcW w:w="0" w:type="auto"/>
            <w:tcBorders>
              <w:top w:val="nil"/>
              <w:left w:val="nil"/>
              <w:bottom w:val="nil"/>
              <w:right w:val="nil"/>
            </w:tcBorders>
            <w:tcMar>
              <w:top w:w="-1" w:type="dxa"/>
              <w:left w:w="-1" w:type="dxa"/>
              <w:bottom w:w="-1" w:type="dxa"/>
              <w:right w:w="-1" w:type="dxa"/>
            </w:tcMar>
            <w:vAlign w:val="center"/>
          </w:tcPr>
          <w:p w14:paraId="0ECFC7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54260D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18—18.75</w:t>
            </w:r>
          </w:p>
        </w:tc>
        <w:tc>
          <w:tcPr>
            <w:tcW w:w="0" w:type="auto"/>
            <w:tcBorders>
              <w:top w:val="nil"/>
              <w:left w:val="nil"/>
              <w:bottom w:val="nil"/>
              <w:right w:val="nil"/>
            </w:tcBorders>
            <w:tcMar>
              <w:top w:w="-1" w:type="dxa"/>
              <w:left w:w="-1" w:type="dxa"/>
              <w:bottom w:w="-1" w:type="dxa"/>
              <w:right w:w="-1" w:type="dxa"/>
            </w:tcMar>
            <w:vAlign w:val="center"/>
          </w:tcPr>
          <w:p w14:paraId="52EAC0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12E857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89.67</w:t>
            </w:r>
          </w:p>
        </w:tc>
        <w:tc>
          <w:tcPr>
            <w:tcW w:w="964" w:type="dxa"/>
            <w:tcBorders>
              <w:top w:val="nil"/>
              <w:left w:val="nil"/>
              <w:bottom w:val="nil"/>
              <w:right w:val="nil"/>
            </w:tcBorders>
            <w:tcMar>
              <w:top w:w="-1" w:type="dxa"/>
              <w:left w:w="-1" w:type="dxa"/>
              <w:bottom w:w="-1" w:type="dxa"/>
              <w:right w:w="-1" w:type="dxa"/>
            </w:tcMar>
            <w:vAlign w:val="center"/>
          </w:tcPr>
          <w:p w14:paraId="76644C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7.28</w:t>
            </w:r>
          </w:p>
        </w:tc>
      </w:tr>
      <w:tr w:rsidR="000B1CCE" w14:paraId="3B1724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1A3F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720" w:type="dxa"/>
            <w:tcBorders>
              <w:top w:val="nil"/>
              <w:left w:val="nil"/>
              <w:bottom w:val="nil"/>
              <w:right w:val="nil"/>
            </w:tcBorders>
            <w:tcMar>
              <w:top w:w="-1" w:type="dxa"/>
              <w:left w:w="-1" w:type="dxa"/>
              <w:bottom w:w="-1" w:type="dxa"/>
              <w:right w:w="-1" w:type="dxa"/>
            </w:tcMar>
            <w:vAlign w:val="center"/>
          </w:tcPr>
          <w:p w14:paraId="09103B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17.74</w:t>
            </w:r>
          </w:p>
        </w:tc>
        <w:tc>
          <w:tcPr>
            <w:tcW w:w="600" w:type="dxa"/>
            <w:tcBorders>
              <w:top w:val="nil"/>
              <w:left w:val="nil"/>
              <w:bottom w:val="nil"/>
              <w:right w:val="nil"/>
            </w:tcBorders>
            <w:tcMar>
              <w:top w:w="-1" w:type="dxa"/>
              <w:left w:w="-1" w:type="dxa"/>
              <w:bottom w:w="-1" w:type="dxa"/>
              <w:right w:w="-1" w:type="dxa"/>
            </w:tcMar>
            <w:vAlign w:val="center"/>
          </w:tcPr>
          <w:p w14:paraId="4ED6EA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1.29</w:t>
            </w:r>
          </w:p>
        </w:tc>
        <w:tc>
          <w:tcPr>
            <w:tcW w:w="0" w:type="auto"/>
            <w:tcBorders>
              <w:top w:val="nil"/>
              <w:left w:val="nil"/>
              <w:bottom w:val="nil"/>
              <w:right w:val="nil"/>
            </w:tcBorders>
            <w:tcMar>
              <w:top w:w="-1" w:type="dxa"/>
              <w:left w:w="-1" w:type="dxa"/>
              <w:bottom w:w="-1" w:type="dxa"/>
              <w:right w:w="-1" w:type="dxa"/>
            </w:tcMar>
            <w:vAlign w:val="center"/>
          </w:tcPr>
          <w:p w14:paraId="25F37B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08D5429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17—19</w:t>
            </w:r>
          </w:p>
        </w:tc>
        <w:tc>
          <w:tcPr>
            <w:tcW w:w="0" w:type="auto"/>
            <w:tcBorders>
              <w:top w:val="nil"/>
              <w:left w:val="nil"/>
              <w:bottom w:val="nil"/>
              <w:right w:val="nil"/>
            </w:tcBorders>
            <w:tcMar>
              <w:top w:w="-1" w:type="dxa"/>
              <w:left w:w="-1" w:type="dxa"/>
              <w:bottom w:w="-1" w:type="dxa"/>
              <w:right w:w="-1" w:type="dxa"/>
            </w:tcMar>
            <w:vAlign w:val="center"/>
          </w:tcPr>
          <w:p w14:paraId="7868DF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13—19</w:t>
            </w:r>
          </w:p>
        </w:tc>
        <w:tc>
          <w:tcPr>
            <w:tcW w:w="1445" w:type="dxa"/>
            <w:tcBorders>
              <w:top w:val="nil"/>
              <w:left w:val="nil"/>
              <w:bottom w:val="nil"/>
              <w:right w:val="nil"/>
            </w:tcBorders>
            <w:tcMar>
              <w:top w:w="-1" w:type="dxa"/>
              <w:left w:w="-1" w:type="dxa"/>
              <w:bottom w:w="-1" w:type="dxa"/>
              <w:right w:w="-1" w:type="dxa"/>
            </w:tcMar>
            <w:vAlign w:val="center"/>
          </w:tcPr>
          <w:p w14:paraId="6A5D49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88.70</w:t>
            </w:r>
          </w:p>
        </w:tc>
        <w:tc>
          <w:tcPr>
            <w:tcW w:w="964" w:type="dxa"/>
            <w:tcBorders>
              <w:top w:val="nil"/>
              <w:left w:val="nil"/>
              <w:bottom w:val="nil"/>
              <w:right w:val="nil"/>
            </w:tcBorders>
            <w:tcMar>
              <w:top w:w="-1" w:type="dxa"/>
              <w:left w:w="-1" w:type="dxa"/>
              <w:bottom w:w="-1" w:type="dxa"/>
              <w:right w:w="-1" w:type="dxa"/>
            </w:tcMar>
            <w:vAlign w:val="center"/>
          </w:tcPr>
          <w:p w14:paraId="17DAAC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7.27</w:t>
            </w:r>
          </w:p>
        </w:tc>
      </w:tr>
      <w:tr w:rsidR="000B1CCE" w14:paraId="5DEE6455" w14:textId="77777777">
        <w:trPr>
          <w:jc w:val="center"/>
        </w:trPr>
        <w:tc>
          <w:tcPr>
            <w:tcW w:w="2040" w:type="dxa"/>
            <w:tcBorders>
              <w:top w:val="nil"/>
              <w:left w:val="nil"/>
              <w:bottom w:val="single" w:sz="12" w:space="0" w:color="000000"/>
              <w:right w:val="nil"/>
            </w:tcBorders>
            <w:tcMar>
              <w:top w:w="-1" w:type="dxa"/>
              <w:left w:w="-1" w:type="dxa"/>
              <w:bottom w:w="-1" w:type="dxa"/>
              <w:right w:w="-1" w:type="dxa"/>
            </w:tcMar>
            <w:vAlign w:val="center"/>
          </w:tcPr>
          <w:p w14:paraId="01E7CE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34DE7F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17.67</w:t>
            </w:r>
          </w:p>
        </w:tc>
        <w:tc>
          <w:tcPr>
            <w:tcW w:w="600" w:type="dxa"/>
            <w:tcBorders>
              <w:top w:val="nil"/>
              <w:left w:val="nil"/>
              <w:bottom w:val="single" w:sz="12" w:space="0" w:color="000000"/>
              <w:right w:val="nil"/>
            </w:tcBorders>
            <w:tcMar>
              <w:top w:w="-1" w:type="dxa"/>
              <w:left w:w="-1" w:type="dxa"/>
              <w:bottom w:w="-1" w:type="dxa"/>
              <w:right w:w="-1" w:type="dxa"/>
            </w:tcMar>
            <w:vAlign w:val="center"/>
          </w:tcPr>
          <w:p w14:paraId="56C681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1.43</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186B4B0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1147" w:type="dxa"/>
            <w:tcBorders>
              <w:top w:val="nil"/>
              <w:left w:val="nil"/>
              <w:bottom w:val="single" w:sz="12" w:space="0" w:color="000000"/>
              <w:right w:val="nil"/>
            </w:tcBorders>
            <w:tcMar>
              <w:top w:w="-1" w:type="dxa"/>
              <w:left w:w="-1" w:type="dxa"/>
              <w:bottom w:w="-1" w:type="dxa"/>
              <w:right w:w="-1" w:type="dxa"/>
            </w:tcMar>
            <w:vAlign w:val="center"/>
          </w:tcPr>
          <w:p w14:paraId="672A4D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17—18</w:t>
            </w:r>
          </w:p>
        </w:tc>
        <w:tc>
          <w:tcPr>
            <w:tcW w:w="1280" w:type="dxa"/>
            <w:tcBorders>
              <w:top w:val="nil"/>
              <w:left w:val="nil"/>
              <w:bottom w:val="single" w:sz="12" w:space="0" w:color="000000"/>
              <w:right w:val="nil"/>
            </w:tcBorders>
            <w:tcMar>
              <w:top w:w="-1" w:type="dxa"/>
              <w:left w:w="-1" w:type="dxa"/>
              <w:bottom w:w="-1" w:type="dxa"/>
              <w:right w:w="-1" w:type="dxa"/>
            </w:tcMar>
            <w:vAlign w:val="center"/>
          </w:tcPr>
          <w:p w14:paraId="5CFC0C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single" w:sz="12" w:space="0" w:color="000000"/>
              <w:right w:val="nil"/>
            </w:tcBorders>
            <w:tcMar>
              <w:top w:w="-1" w:type="dxa"/>
              <w:left w:w="-1" w:type="dxa"/>
              <w:bottom w:w="-1" w:type="dxa"/>
              <w:right w:w="-1" w:type="dxa"/>
            </w:tcMar>
            <w:vAlign w:val="center"/>
          </w:tcPr>
          <w:p w14:paraId="4C7107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88.37</w:t>
            </w:r>
          </w:p>
        </w:tc>
        <w:tc>
          <w:tcPr>
            <w:tcW w:w="964" w:type="dxa"/>
            <w:tcBorders>
              <w:top w:val="nil"/>
              <w:left w:val="nil"/>
              <w:bottom w:val="single" w:sz="12" w:space="0" w:color="000000"/>
              <w:right w:val="nil"/>
            </w:tcBorders>
            <w:tcMar>
              <w:top w:w="-1" w:type="dxa"/>
              <w:left w:w="-1" w:type="dxa"/>
              <w:bottom w:w="-1" w:type="dxa"/>
              <w:right w:w="-1" w:type="dxa"/>
            </w:tcMar>
            <w:vAlign w:val="center"/>
          </w:tcPr>
          <w:p w14:paraId="2740043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8.09</w:t>
            </w:r>
          </w:p>
        </w:tc>
      </w:tr>
    </w:tbl>
    <w:p w14:paraId="1D8BED1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五个维度均值均处于较高水平，但内部层次已经显现。社会情感支持平均</w:t>
      </w:r>
      <w:r>
        <w:rPr>
          <w:rFonts w:ascii="Times New Roman" w:eastAsia="宋体" w:hAnsi="Times New Roman" w:cs="Times New Roman"/>
          <w:sz w:val="24"/>
        </w:rPr>
        <w:t>18.96</w:t>
      </w:r>
      <w:r>
        <w:rPr>
          <w:rFonts w:ascii="Times New Roman" w:eastAsia="宋体" w:hAnsi="Times New Roman" w:cs="Times New Roman"/>
          <w:sz w:val="24"/>
        </w:rPr>
        <w:t>分，形成性评价与反馈平均</w:t>
      </w:r>
      <w:r>
        <w:rPr>
          <w:rFonts w:ascii="Times New Roman" w:eastAsia="宋体" w:hAnsi="Times New Roman" w:cs="Times New Roman"/>
          <w:sz w:val="24"/>
        </w:rPr>
        <w:t>17.67</w:t>
      </w:r>
      <w:r>
        <w:rPr>
          <w:rFonts w:ascii="Times New Roman" w:eastAsia="宋体" w:hAnsi="Times New Roman" w:cs="Times New Roman"/>
          <w:sz w:val="24"/>
        </w:rPr>
        <w:t>分，两者相差</w:t>
      </w:r>
      <w:r>
        <w:rPr>
          <w:rFonts w:ascii="Times New Roman" w:eastAsia="宋体" w:hAnsi="Times New Roman" w:cs="Times New Roman"/>
          <w:sz w:val="24"/>
        </w:rPr>
        <w:t>1.29</w:t>
      </w:r>
      <w:r>
        <w:rPr>
          <w:rFonts w:ascii="Times New Roman" w:eastAsia="宋体" w:hAnsi="Times New Roman" w:cs="Times New Roman"/>
          <w:sz w:val="24"/>
        </w:rPr>
        <w:t>分；从相对离散程度看，社会情感支持</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6.09%</w:t>
      </w:r>
      <w:r>
        <w:rPr>
          <w:rFonts w:ascii="Times New Roman" w:eastAsia="宋体" w:hAnsi="Times New Roman" w:cs="Times New Roman"/>
          <w:sz w:val="24"/>
        </w:rPr>
        <w:t>，是五维中最低的，而形成性评价与反馈</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8.09%</w:t>
      </w:r>
      <w:r>
        <w:rPr>
          <w:rFonts w:ascii="Times New Roman" w:eastAsia="宋体" w:hAnsi="Times New Roman" w:cs="Times New Roman"/>
          <w:sz w:val="24"/>
        </w:rPr>
        <w:t>，为五维中最高。这样的组合比单纯的第一名、第五名更值得关注，前者不仅评价高，而且不同课例、不同评价记录之间更稳定；后者虽然总体并不低，但课堂间表现差异更明显。</w:t>
      </w:r>
    </w:p>
    <w:p w14:paraId="1C14626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3-68  </w:t>
      </w:r>
      <w:r>
        <w:rPr>
          <w:rFonts w:ascii="Times New Roman" w:eastAsia="黑体" w:hAnsi="Times New Roman" w:cs="Times New Roman"/>
        </w:rPr>
        <w:t>五维重复测量整体差异检验</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29CED40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0EEBD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检验</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87A97A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219E2B9"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df</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1BBE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9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62792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效应量</w:t>
            </w:r>
          </w:p>
        </w:tc>
      </w:tr>
      <w:tr w:rsidR="000B1CCE" w14:paraId="78741444" w14:textId="77777777">
        <w:trPr>
          <w:jc w:val="center"/>
        </w:trPr>
        <w:tc>
          <w:tcPr>
            <w:tcW w:w="2185" w:type="dxa"/>
            <w:tcBorders>
              <w:top w:val="nil"/>
              <w:left w:val="nil"/>
              <w:bottom w:val="single" w:sz="12" w:space="0" w:color="000000"/>
              <w:right w:val="nil"/>
            </w:tcBorders>
            <w:tcMar>
              <w:top w:w="-1" w:type="dxa"/>
              <w:left w:w="-1" w:type="dxa"/>
              <w:bottom w:w="-1" w:type="dxa"/>
              <w:right w:w="-1" w:type="dxa"/>
            </w:tcMar>
            <w:vAlign w:val="center"/>
          </w:tcPr>
          <w:p w14:paraId="7EA95B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Friedman</w:t>
            </w:r>
            <w:r>
              <w:rPr>
                <w:rFonts w:ascii="Times New Roman" w:eastAsia="宋体" w:hAnsi="Times New Roman" w:cs="Times New Roman"/>
                <w:szCs w:val="21"/>
              </w:rPr>
              <w:t>检验</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422EBF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χ²=60.615</w:t>
            </w:r>
          </w:p>
        </w:tc>
        <w:tc>
          <w:tcPr>
            <w:tcW w:w="351" w:type="dxa"/>
            <w:tcBorders>
              <w:top w:val="nil"/>
              <w:left w:val="nil"/>
              <w:bottom w:val="single" w:sz="12" w:space="0" w:color="000000"/>
              <w:right w:val="nil"/>
            </w:tcBorders>
            <w:tcMar>
              <w:top w:w="-1" w:type="dxa"/>
              <w:left w:w="-1" w:type="dxa"/>
              <w:bottom w:w="-1" w:type="dxa"/>
              <w:right w:w="-1" w:type="dxa"/>
            </w:tcMar>
            <w:vAlign w:val="center"/>
          </w:tcPr>
          <w:p w14:paraId="167E58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1048" w:type="dxa"/>
            <w:tcBorders>
              <w:top w:val="nil"/>
              <w:left w:val="nil"/>
              <w:bottom w:val="single" w:sz="12" w:space="0" w:color="000000"/>
              <w:right w:val="nil"/>
            </w:tcBorders>
            <w:tcMar>
              <w:top w:w="-1" w:type="dxa"/>
              <w:left w:w="-1" w:type="dxa"/>
              <w:bottom w:w="-1" w:type="dxa"/>
              <w:right w:w="-1" w:type="dxa"/>
            </w:tcMar>
            <w:vAlign w:val="center"/>
          </w:tcPr>
          <w:p w14:paraId="081612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972" w:type="dxa"/>
            <w:tcBorders>
              <w:top w:val="nil"/>
              <w:left w:val="nil"/>
              <w:bottom w:val="single" w:sz="12" w:space="0" w:color="000000"/>
              <w:right w:val="nil"/>
            </w:tcBorders>
            <w:tcMar>
              <w:top w:w="-1" w:type="dxa"/>
              <w:left w:w="-1" w:type="dxa"/>
              <w:bottom w:w="-1" w:type="dxa"/>
              <w:right w:w="-1" w:type="dxa"/>
            </w:tcMar>
            <w:vAlign w:val="center"/>
          </w:tcPr>
          <w:p w14:paraId="51C11C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Kendall's W=0.329</w:t>
            </w:r>
          </w:p>
        </w:tc>
      </w:tr>
    </w:tbl>
    <w:p w14:paraId="183A755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Friedman</w:t>
      </w:r>
      <w:r>
        <w:rPr>
          <w:rFonts w:ascii="Times New Roman" w:eastAsia="宋体" w:hAnsi="Times New Roman" w:cs="Times New Roman"/>
          <w:sz w:val="24"/>
        </w:rPr>
        <w:t>检验结果表明，五个维度的得分分布存在显著差异（</w:t>
      </w:r>
      <w:r>
        <w:rPr>
          <w:rFonts w:ascii="Times New Roman" w:eastAsia="宋体" w:hAnsi="Times New Roman" w:cs="Times New Roman"/>
          <w:sz w:val="24"/>
        </w:rPr>
        <w:t>χ²=60.615</w:t>
      </w:r>
      <w:r>
        <w:rPr>
          <w:rFonts w:ascii="Times New Roman" w:eastAsia="宋体" w:hAnsi="Times New Roman" w:cs="Times New Roman"/>
          <w:sz w:val="24"/>
        </w:rPr>
        <w:t>，</w:t>
      </w:r>
      <w:proofErr w:type="spellStart"/>
      <w:r>
        <w:rPr>
          <w:rFonts w:ascii="Times New Roman" w:eastAsia="宋体" w:hAnsi="Times New Roman" w:cs="Times New Roman"/>
          <w:sz w:val="24"/>
        </w:rPr>
        <w:t>df</w:t>
      </w:r>
      <w:proofErr w:type="spellEnd"/>
      <w:r>
        <w:rPr>
          <w:rFonts w:ascii="Times New Roman" w:eastAsia="宋体" w:hAnsi="Times New Roman" w:cs="Times New Roman"/>
          <w:sz w:val="24"/>
        </w:rPr>
        <w:t>=4</w:t>
      </w:r>
      <w:r>
        <w:rPr>
          <w:rFonts w:ascii="Times New Roman" w:eastAsia="宋体" w:hAnsi="Times New Roman" w:cs="Times New Roman"/>
          <w:sz w:val="24"/>
        </w:rPr>
        <w:t>，</w:t>
      </w:r>
      <w:r>
        <w:rPr>
          <w:rFonts w:ascii="Times New Roman" w:eastAsia="宋体" w:hAnsi="Times New Roman" w:cs="Times New Roman"/>
          <w:sz w:val="24"/>
        </w:rPr>
        <w:t>p&lt;0.001</w:t>
      </w:r>
      <w:r>
        <w:rPr>
          <w:rFonts w:ascii="Times New Roman" w:eastAsia="宋体" w:hAnsi="Times New Roman" w:cs="Times New Roman"/>
          <w:sz w:val="24"/>
        </w:rPr>
        <w:t>），</w:t>
      </w:r>
      <w:r>
        <w:rPr>
          <w:rFonts w:ascii="Times New Roman" w:eastAsia="宋体" w:hAnsi="Times New Roman" w:cs="Times New Roman"/>
          <w:sz w:val="24"/>
        </w:rPr>
        <w:t>Kendall's W=0.329</w:t>
      </w:r>
      <w:r>
        <w:rPr>
          <w:rFonts w:ascii="Times New Roman" w:eastAsia="宋体" w:hAnsi="Times New Roman" w:cs="Times New Roman"/>
          <w:sz w:val="24"/>
        </w:rPr>
        <w:t>，达到中等效应水平。这意味着教师在不同课堂中形成的五维排序呈现出较为稳定的结构。换句话说，课堂的支持性关系、学科内容组织、认知参与、互动和评价，并没有以完全相同的成熟度同步发展。</w:t>
      </w:r>
    </w:p>
    <w:p w14:paraId="15B4F94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3-69  </w:t>
      </w:r>
      <w:r>
        <w:rPr>
          <w:rFonts w:ascii="Times New Roman" w:eastAsia="黑体" w:hAnsi="Times New Roman" w:cs="Times New Roman"/>
        </w:rPr>
        <w:t>五维两两比较</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500AF89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ACAFA3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比较维度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EF0F3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Holm</w:t>
            </w:r>
            <w:r>
              <w:rPr>
                <w:rFonts w:ascii="Times New Roman" w:eastAsia="宋体" w:hAnsi="Times New Roman" w:cs="Times New Roman"/>
                <w:b/>
                <w:szCs w:val="21"/>
              </w:rPr>
              <w:t>校正</w:t>
            </w:r>
            <w:r>
              <w:rPr>
                <w:rFonts w:ascii="Times New Roman" w:eastAsia="宋体" w:hAnsi="Times New Roman" w:cs="Times New Roman"/>
                <w:b/>
                <w:szCs w:val="21"/>
              </w:rPr>
              <w:t>p</w:t>
            </w:r>
          </w:p>
        </w:tc>
        <w:tc>
          <w:tcPr>
            <w:tcW w:w="173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28748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结果</w:t>
            </w:r>
          </w:p>
        </w:tc>
      </w:tr>
      <w:tr w:rsidR="000B1CCE" w14:paraId="038ED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EFB6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3A422A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1730" w:type="dxa"/>
            <w:tcBorders>
              <w:top w:val="nil"/>
              <w:left w:val="nil"/>
              <w:bottom w:val="nil"/>
              <w:right w:val="nil"/>
            </w:tcBorders>
            <w:tcMar>
              <w:top w:w="-1" w:type="dxa"/>
              <w:left w:w="-1" w:type="dxa"/>
              <w:bottom w:w="-1" w:type="dxa"/>
              <w:right w:w="-1" w:type="dxa"/>
            </w:tcMar>
            <w:vAlign w:val="center"/>
          </w:tcPr>
          <w:p w14:paraId="17571A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3A500C0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A65588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3D0131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71E005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473176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E9FB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4A56B6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nil"/>
              <w:right w:val="nil"/>
            </w:tcBorders>
            <w:tcMar>
              <w:top w:w="-1" w:type="dxa"/>
              <w:left w:w="-1" w:type="dxa"/>
              <w:bottom w:w="-1" w:type="dxa"/>
              <w:right w:w="-1" w:type="dxa"/>
            </w:tcMar>
            <w:vAlign w:val="center"/>
          </w:tcPr>
          <w:p w14:paraId="7B9611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157828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AAB6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631B18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0.548</w:t>
            </w:r>
          </w:p>
        </w:tc>
        <w:tc>
          <w:tcPr>
            <w:tcW w:w="1730" w:type="dxa"/>
            <w:tcBorders>
              <w:top w:val="nil"/>
              <w:left w:val="nil"/>
              <w:bottom w:val="nil"/>
              <w:right w:val="nil"/>
            </w:tcBorders>
            <w:tcMar>
              <w:top w:w="-1" w:type="dxa"/>
              <w:left w:w="-1" w:type="dxa"/>
              <w:bottom w:w="-1" w:type="dxa"/>
              <w:right w:w="-1" w:type="dxa"/>
            </w:tcMar>
            <w:vAlign w:val="center"/>
          </w:tcPr>
          <w:p w14:paraId="218C11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2D084E1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B670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1AF822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0.072</w:t>
            </w:r>
          </w:p>
        </w:tc>
        <w:tc>
          <w:tcPr>
            <w:tcW w:w="1730" w:type="dxa"/>
            <w:tcBorders>
              <w:top w:val="nil"/>
              <w:left w:val="nil"/>
              <w:bottom w:val="nil"/>
              <w:right w:val="nil"/>
            </w:tcBorders>
            <w:tcMar>
              <w:top w:w="-1" w:type="dxa"/>
              <w:left w:w="-1" w:type="dxa"/>
              <w:bottom w:w="-1" w:type="dxa"/>
              <w:right w:w="-1" w:type="dxa"/>
            </w:tcMar>
            <w:vAlign w:val="center"/>
          </w:tcPr>
          <w:p w14:paraId="3C5F3F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46A0689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A966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27BD17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1C460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18E29E8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D9F6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4EC202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3EF92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3CEEAD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E76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0C319C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7C21D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070F55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95BE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2AB029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433944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48F719A7" w14:textId="77777777">
        <w:trPr>
          <w:jc w:val="center"/>
        </w:trPr>
        <w:tc>
          <w:tcPr>
            <w:tcW w:w="4844" w:type="dxa"/>
            <w:tcBorders>
              <w:top w:val="nil"/>
              <w:left w:val="nil"/>
              <w:bottom w:val="single" w:sz="12" w:space="0" w:color="000000"/>
              <w:right w:val="nil"/>
            </w:tcBorders>
            <w:tcMar>
              <w:top w:w="-1" w:type="dxa"/>
              <w:left w:w="-1" w:type="dxa"/>
              <w:bottom w:w="-1" w:type="dxa"/>
              <w:right w:w="-1" w:type="dxa"/>
            </w:tcMar>
            <w:vAlign w:val="center"/>
          </w:tcPr>
          <w:p w14:paraId="7262956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1729" w:type="dxa"/>
            <w:tcBorders>
              <w:top w:val="nil"/>
              <w:left w:val="nil"/>
              <w:bottom w:val="single" w:sz="12" w:space="0" w:color="000000"/>
              <w:right w:val="nil"/>
            </w:tcBorders>
            <w:tcMar>
              <w:top w:w="-1" w:type="dxa"/>
              <w:left w:w="-1" w:type="dxa"/>
              <w:bottom w:w="-1" w:type="dxa"/>
              <w:right w:w="-1" w:type="dxa"/>
            </w:tcMar>
            <w:vAlign w:val="center"/>
          </w:tcPr>
          <w:p w14:paraId="4B09E5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single" w:sz="12" w:space="0" w:color="000000"/>
              <w:right w:val="nil"/>
            </w:tcBorders>
            <w:tcMar>
              <w:top w:w="-1" w:type="dxa"/>
              <w:left w:w="-1" w:type="dxa"/>
              <w:bottom w:w="-1" w:type="dxa"/>
              <w:right w:w="-1" w:type="dxa"/>
            </w:tcMar>
            <w:vAlign w:val="center"/>
          </w:tcPr>
          <w:p w14:paraId="55C6DC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bl>
    <w:p w14:paraId="4AA002B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w:t>
      </w:r>
      <w:r>
        <w:rPr>
          <w:rFonts w:ascii="Times New Roman" w:eastAsia="宋体" w:hAnsi="Times New Roman" w:cs="Times New Roman"/>
          <w:sz w:val="24"/>
        </w:rPr>
        <w:lastRenderedPageBreak/>
        <w:t>差异；社会情感支持与学科内容建构之间经校正后差异也不再显著（</w:t>
      </w:r>
      <w:r>
        <w:rPr>
          <w:rFonts w:ascii="Times New Roman" w:eastAsia="宋体" w:hAnsi="Times New Roman" w:cs="Times New Roman"/>
          <w:sz w:val="24"/>
        </w:rPr>
        <w:t>p=0.072</w:t>
      </w:r>
      <w:r>
        <w:rPr>
          <w:rFonts w:ascii="Times New Roman" w:eastAsia="宋体" w:hAnsi="Times New Roman" w:cs="Times New Roman"/>
          <w:sz w:val="24"/>
        </w:rPr>
        <w:t>）。</w:t>
      </w:r>
      <w:r>
        <w:rPr>
          <w:rFonts w:ascii="Times New Roman" w:eastAsia="宋体" w:hAnsi="Times New Roman" w:cs="Times New Roman"/>
          <w:b/>
          <w:sz w:val="24"/>
        </w:rPr>
        <w:t>因此，五个维度可分为两个相对层次，社会情感支持与学科内容建构位于较高层，认知参与、课堂互动和形成性评价构成较为接近的一组。</w:t>
      </w:r>
    </w:p>
    <w:p w14:paraId="779437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0C1416B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）学科比较</w:t>
      </w:r>
    </w:p>
    <w:p w14:paraId="79B7BA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比较是课题研究中最容易被误读的一部分。由于不同学科样本量并不均衡，且多份评课记录嵌套于同一课例，严格意义上并不满足完全独立样本条件。因此，我们不把几分之差解释为稳定的学科优劣，而把学科数据作为观察课堂实施稳定性和内部差异的窗口。</w:t>
      </w:r>
    </w:p>
    <w:p w14:paraId="1889FCA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3-70  </w:t>
      </w:r>
      <w:r>
        <w:rPr>
          <w:rFonts w:ascii="Times New Roman" w:eastAsia="黑体" w:hAnsi="Times New Roman" w:cs="Times New Roman"/>
        </w:rPr>
        <w:t>不同学科课堂评价描述统计</w:t>
      </w:r>
    </w:p>
    <w:tbl>
      <w:tblPr>
        <w:tblW w:w="8388"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290773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AE1FC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学科</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3060D5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3A28E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40260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FEF520"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F0EBF5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CF49F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1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2556F0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7E3505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3B6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p>
        </w:tc>
        <w:tc>
          <w:tcPr>
            <w:tcW w:w="0" w:type="auto"/>
            <w:tcBorders>
              <w:top w:val="nil"/>
              <w:left w:val="nil"/>
              <w:bottom w:val="nil"/>
              <w:right w:val="nil"/>
            </w:tcBorders>
            <w:tcMar>
              <w:top w:w="-1" w:type="dxa"/>
              <w:left w:w="-1" w:type="dxa"/>
              <w:bottom w:w="-1" w:type="dxa"/>
              <w:right w:w="-1" w:type="dxa"/>
            </w:tcMar>
            <w:vAlign w:val="center"/>
          </w:tcPr>
          <w:p w14:paraId="60AC3A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4A3E2D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91.58</w:t>
            </w:r>
          </w:p>
        </w:tc>
        <w:tc>
          <w:tcPr>
            <w:tcW w:w="0" w:type="auto"/>
            <w:tcBorders>
              <w:top w:val="nil"/>
              <w:left w:val="nil"/>
              <w:bottom w:val="nil"/>
              <w:right w:val="nil"/>
            </w:tcBorders>
            <w:tcMar>
              <w:top w:w="-1" w:type="dxa"/>
              <w:left w:w="-1" w:type="dxa"/>
              <w:bottom w:w="-1" w:type="dxa"/>
              <w:right w:w="-1" w:type="dxa"/>
            </w:tcMar>
            <w:vAlign w:val="center"/>
          </w:tcPr>
          <w:p w14:paraId="4E56D0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3.87</w:t>
            </w:r>
          </w:p>
        </w:tc>
        <w:tc>
          <w:tcPr>
            <w:tcW w:w="0" w:type="auto"/>
            <w:tcBorders>
              <w:top w:val="nil"/>
              <w:left w:val="nil"/>
              <w:bottom w:val="nil"/>
              <w:right w:val="nil"/>
            </w:tcBorders>
            <w:tcMar>
              <w:top w:w="-1" w:type="dxa"/>
              <w:left w:w="-1" w:type="dxa"/>
              <w:bottom w:w="-1" w:type="dxa"/>
              <w:right w:w="-1" w:type="dxa"/>
            </w:tcMar>
            <w:vAlign w:val="center"/>
          </w:tcPr>
          <w:p w14:paraId="738EE2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4B8672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91.75—93.50</w:t>
            </w:r>
          </w:p>
        </w:tc>
        <w:tc>
          <w:tcPr>
            <w:tcW w:w="0" w:type="auto"/>
            <w:tcBorders>
              <w:top w:val="nil"/>
              <w:left w:val="nil"/>
              <w:bottom w:val="nil"/>
              <w:right w:val="nil"/>
            </w:tcBorders>
            <w:tcMar>
              <w:top w:w="-1" w:type="dxa"/>
              <w:left w:w="-1" w:type="dxa"/>
              <w:bottom w:w="-1" w:type="dxa"/>
              <w:right w:w="-1" w:type="dxa"/>
            </w:tcMar>
            <w:vAlign w:val="center"/>
          </w:tcPr>
          <w:p w14:paraId="7FE7F4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190" w:type="dxa"/>
            <w:tcBorders>
              <w:top w:val="nil"/>
              <w:left w:val="nil"/>
              <w:bottom w:val="nil"/>
              <w:right w:val="nil"/>
            </w:tcBorders>
            <w:tcMar>
              <w:top w:w="-1" w:type="dxa"/>
              <w:left w:w="-1" w:type="dxa"/>
              <w:bottom w:w="-1" w:type="dxa"/>
              <w:right w:w="-1" w:type="dxa"/>
            </w:tcMar>
            <w:vAlign w:val="center"/>
          </w:tcPr>
          <w:p w14:paraId="00A2BC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4.23</w:t>
            </w:r>
          </w:p>
        </w:tc>
      </w:tr>
      <w:tr w:rsidR="000B1CCE" w14:paraId="53ED87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2A03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p>
        </w:tc>
        <w:tc>
          <w:tcPr>
            <w:tcW w:w="0" w:type="auto"/>
            <w:tcBorders>
              <w:top w:val="nil"/>
              <w:left w:val="nil"/>
              <w:bottom w:val="nil"/>
              <w:right w:val="nil"/>
            </w:tcBorders>
            <w:tcMar>
              <w:top w:w="-1" w:type="dxa"/>
              <w:left w:w="-1" w:type="dxa"/>
              <w:bottom w:w="-1" w:type="dxa"/>
              <w:right w:w="-1" w:type="dxa"/>
            </w:tcMar>
            <w:vAlign w:val="center"/>
          </w:tcPr>
          <w:p w14:paraId="0DC68B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14CFC8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024261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47A21C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311CCD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91.00—95.00</w:t>
            </w:r>
          </w:p>
        </w:tc>
        <w:tc>
          <w:tcPr>
            <w:tcW w:w="0" w:type="auto"/>
            <w:tcBorders>
              <w:top w:val="nil"/>
              <w:left w:val="nil"/>
              <w:bottom w:val="nil"/>
              <w:right w:val="nil"/>
            </w:tcBorders>
            <w:tcMar>
              <w:top w:w="-1" w:type="dxa"/>
              <w:left w:w="-1" w:type="dxa"/>
              <w:bottom w:w="-1" w:type="dxa"/>
              <w:right w:w="-1" w:type="dxa"/>
            </w:tcMar>
            <w:vAlign w:val="center"/>
          </w:tcPr>
          <w:p w14:paraId="38FD6B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190" w:type="dxa"/>
            <w:tcBorders>
              <w:top w:val="nil"/>
              <w:left w:val="nil"/>
              <w:bottom w:val="nil"/>
              <w:right w:val="nil"/>
            </w:tcBorders>
            <w:tcMar>
              <w:top w:w="-1" w:type="dxa"/>
              <w:left w:w="-1" w:type="dxa"/>
              <w:bottom w:w="-1" w:type="dxa"/>
              <w:right w:w="-1" w:type="dxa"/>
            </w:tcMar>
            <w:vAlign w:val="center"/>
          </w:tcPr>
          <w:p w14:paraId="6D2232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140097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E6F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p>
        </w:tc>
        <w:tc>
          <w:tcPr>
            <w:tcW w:w="0" w:type="auto"/>
            <w:tcBorders>
              <w:top w:val="nil"/>
              <w:left w:val="nil"/>
              <w:bottom w:val="nil"/>
              <w:right w:val="nil"/>
            </w:tcBorders>
            <w:tcMar>
              <w:top w:w="-1" w:type="dxa"/>
              <w:left w:w="-1" w:type="dxa"/>
              <w:bottom w:w="-1" w:type="dxa"/>
              <w:right w:w="-1" w:type="dxa"/>
            </w:tcMar>
            <w:vAlign w:val="center"/>
          </w:tcPr>
          <w:p w14:paraId="59A5FF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503ABA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90.58</w:t>
            </w:r>
          </w:p>
        </w:tc>
        <w:tc>
          <w:tcPr>
            <w:tcW w:w="0" w:type="auto"/>
            <w:tcBorders>
              <w:top w:val="nil"/>
              <w:left w:val="nil"/>
              <w:bottom w:val="nil"/>
              <w:right w:val="nil"/>
            </w:tcBorders>
            <w:tcMar>
              <w:top w:w="-1" w:type="dxa"/>
              <w:left w:w="-1" w:type="dxa"/>
              <w:bottom w:w="-1" w:type="dxa"/>
              <w:right w:w="-1" w:type="dxa"/>
            </w:tcMar>
            <w:vAlign w:val="center"/>
          </w:tcPr>
          <w:p w14:paraId="781B8F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c>
          <w:tcPr>
            <w:tcW w:w="0" w:type="auto"/>
            <w:tcBorders>
              <w:top w:val="nil"/>
              <w:left w:val="nil"/>
              <w:bottom w:val="nil"/>
              <w:right w:val="nil"/>
            </w:tcBorders>
            <w:tcMar>
              <w:top w:w="-1" w:type="dxa"/>
              <w:left w:w="-1" w:type="dxa"/>
              <w:bottom w:w="-1" w:type="dxa"/>
              <w:right w:w="-1" w:type="dxa"/>
            </w:tcMar>
            <w:vAlign w:val="center"/>
          </w:tcPr>
          <w:p w14:paraId="54677C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2131E8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88.75—93.00</w:t>
            </w:r>
          </w:p>
        </w:tc>
        <w:tc>
          <w:tcPr>
            <w:tcW w:w="0" w:type="auto"/>
            <w:tcBorders>
              <w:top w:val="nil"/>
              <w:left w:val="nil"/>
              <w:bottom w:val="nil"/>
              <w:right w:val="nil"/>
            </w:tcBorders>
            <w:tcMar>
              <w:top w:w="-1" w:type="dxa"/>
              <w:left w:w="-1" w:type="dxa"/>
              <w:bottom w:w="-1" w:type="dxa"/>
              <w:right w:w="-1" w:type="dxa"/>
            </w:tcMar>
            <w:vAlign w:val="center"/>
          </w:tcPr>
          <w:p w14:paraId="12A0DA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190" w:type="dxa"/>
            <w:tcBorders>
              <w:top w:val="nil"/>
              <w:left w:val="nil"/>
              <w:bottom w:val="nil"/>
              <w:right w:val="nil"/>
            </w:tcBorders>
            <w:tcMar>
              <w:top w:w="-1" w:type="dxa"/>
              <w:left w:w="-1" w:type="dxa"/>
              <w:bottom w:w="-1" w:type="dxa"/>
              <w:right w:w="-1" w:type="dxa"/>
            </w:tcMar>
            <w:vAlign w:val="center"/>
          </w:tcPr>
          <w:p w14:paraId="3FE374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3.17</w:t>
            </w:r>
          </w:p>
        </w:tc>
      </w:tr>
      <w:tr w:rsidR="000B1CCE" w14:paraId="556EC3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BCE9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p>
        </w:tc>
        <w:tc>
          <w:tcPr>
            <w:tcW w:w="0" w:type="auto"/>
            <w:tcBorders>
              <w:top w:val="nil"/>
              <w:left w:val="nil"/>
              <w:bottom w:val="nil"/>
              <w:right w:val="nil"/>
            </w:tcBorders>
            <w:tcMar>
              <w:top w:w="-1" w:type="dxa"/>
              <w:left w:w="-1" w:type="dxa"/>
              <w:bottom w:w="-1" w:type="dxa"/>
              <w:right w:w="-1" w:type="dxa"/>
            </w:tcMar>
            <w:vAlign w:val="center"/>
          </w:tcPr>
          <w:p w14:paraId="6B572F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0AB474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47E2E1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0" w:type="auto"/>
            <w:tcBorders>
              <w:top w:val="nil"/>
              <w:left w:val="nil"/>
              <w:bottom w:val="nil"/>
              <w:right w:val="nil"/>
            </w:tcBorders>
            <w:tcMar>
              <w:top w:w="-1" w:type="dxa"/>
              <w:left w:w="-1" w:type="dxa"/>
              <w:bottom w:w="-1" w:type="dxa"/>
              <w:right w:w="-1" w:type="dxa"/>
            </w:tcMar>
            <w:vAlign w:val="center"/>
          </w:tcPr>
          <w:p w14:paraId="6604C5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600C81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92.00—93.00</w:t>
            </w:r>
          </w:p>
        </w:tc>
        <w:tc>
          <w:tcPr>
            <w:tcW w:w="0" w:type="auto"/>
            <w:tcBorders>
              <w:top w:val="nil"/>
              <w:left w:val="nil"/>
              <w:bottom w:val="nil"/>
              <w:right w:val="nil"/>
            </w:tcBorders>
            <w:tcMar>
              <w:top w:w="-1" w:type="dxa"/>
              <w:left w:w="-1" w:type="dxa"/>
              <w:bottom w:w="-1" w:type="dxa"/>
              <w:right w:w="-1" w:type="dxa"/>
            </w:tcMar>
            <w:vAlign w:val="center"/>
          </w:tcPr>
          <w:p w14:paraId="5ACB09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68—95</w:t>
            </w:r>
          </w:p>
        </w:tc>
        <w:tc>
          <w:tcPr>
            <w:tcW w:w="1190" w:type="dxa"/>
            <w:tcBorders>
              <w:top w:val="nil"/>
              <w:left w:val="nil"/>
              <w:bottom w:val="nil"/>
              <w:right w:val="nil"/>
            </w:tcBorders>
            <w:tcMar>
              <w:top w:w="-1" w:type="dxa"/>
              <w:left w:w="-1" w:type="dxa"/>
              <w:bottom w:w="-1" w:type="dxa"/>
              <w:right w:w="-1" w:type="dxa"/>
            </w:tcMar>
            <w:vAlign w:val="center"/>
          </w:tcPr>
          <w:p w14:paraId="3A43C8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8.37</w:t>
            </w:r>
          </w:p>
        </w:tc>
      </w:tr>
      <w:tr w:rsidR="000B1CCE" w14:paraId="5DA3934D" w14:textId="77777777">
        <w:trPr>
          <w:jc w:val="center"/>
        </w:trPr>
        <w:tc>
          <w:tcPr>
            <w:tcW w:w="720" w:type="dxa"/>
            <w:tcBorders>
              <w:top w:val="nil"/>
              <w:left w:val="nil"/>
              <w:bottom w:val="single" w:sz="12" w:space="0" w:color="000000"/>
              <w:right w:val="nil"/>
            </w:tcBorders>
            <w:tcMar>
              <w:top w:w="-1" w:type="dxa"/>
              <w:left w:w="-1" w:type="dxa"/>
              <w:bottom w:w="-1" w:type="dxa"/>
              <w:right w:w="-1" w:type="dxa"/>
            </w:tcMar>
            <w:vAlign w:val="center"/>
          </w:tcPr>
          <w:p w14:paraId="1548C4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p>
        </w:tc>
        <w:tc>
          <w:tcPr>
            <w:tcW w:w="336" w:type="dxa"/>
            <w:tcBorders>
              <w:top w:val="nil"/>
              <w:left w:val="nil"/>
              <w:bottom w:val="single" w:sz="12" w:space="0" w:color="000000"/>
              <w:right w:val="nil"/>
            </w:tcBorders>
            <w:tcMar>
              <w:top w:w="-1" w:type="dxa"/>
              <w:left w:w="-1" w:type="dxa"/>
              <w:bottom w:w="-1" w:type="dxa"/>
              <w:right w:w="-1" w:type="dxa"/>
            </w:tcMar>
            <w:vAlign w:val="center"/>
          </w:tcPr>
          <w:p w14:paraId="23A0E8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6EF1B3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49914A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2.83</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65E770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2031" w:type="dxa"/>
            <w:tcBorders>
              <w:top w:val="nil"/>
              <w:left w:val="nil"/>
              <w:bottom w:val="single" w:sz="12" w:space="0" w:color="000000"/>
              <w:right w:val="nil"/>
            </w:tcBorders>
            <w:tcMar>
              <w:top w:w="-1" w:type="dxa"/>
              <w:left w:w="-1" w:type="dxa"/>
              <w:bottom w:w="-1" w:type="dxa"/>
              <w:right w:w="-1" w:type="dxa"/>
            </w:tcMar>
            <w:vAlign w:val="center"/>
          </w:tcPr>
          <w:p w14:paraId="7AD2C8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85.00—87.00</w:t>
            </w:r>
          </w:p>
        </w:tc>
        <w:tc>
          <w:tcPr>
            <w:tcW w:w="1699" w:type="dxa"/>
            <w:tcBorders>
              <w:top w:val="nil"/>
              <w:left w:val="nil"/>
              <w:bottom w:val="single" w:sz="12" w:space="0" w:color="000000"/>
              <w:right w:val="nil"/>
            </w:tcBorders>
            <w:tcMar>
              <w:top w:w="-1" w:type="dxa"/>
              <w:left w:w="-1" w:type="dxa"/>
              <w:bottom w:w="-1" w:type="dxa"/>
              <w:right w:w="-1" w:type="dxa"/>
            </w:tcMar>
            <w:vAlign w:val="center"/>
          </w:tcPr>
          <w:p w14:paraId="0356F1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84—88</w:t>
            </w:r>
          </w:p>
        </w:tc>
        <w:tc>
          <w:tcPr>
            <w:tcW w:w="1190" w:type="dxa"/>
            <w:tcBorders>
              <w:top w:val="nil"/>
              <w:left w:val="nil"/>
              <w:bottom w:val="single" w:sz="12" w:space="0" w:color="000000"/>
              <w:right w:val="nil"/>
            </w:tcBorders>
            <w:tcMar>
              <w:top w:w="-1" w:type="dxa"/>
              <w:left w:w="-1" w:type="dxa"/>
              <w:bottom w:w="-1" w:type="dxa"/>
              <w:right w:w="-1" w:type="dxa"/>
            </w:tcMar>
            <w:vAlign w:val="center"/>
          </w:tcPr>
          <w:p w14:paraId="3985D0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3.29</w:t>
            </w:r>
          </w:p>
        </w:tc>
      </w:tr>
    </w:tbl>
    <w:p w14:paraId="6756E6F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从均值看，数学、地理、语文和英语都集中在</w:t>
      </w:r>
      <w:r>
        <w:rPr>
          <w:rFonts w:ascii="Times New Roman" w:eastAsia="宋体" w:hAnsi="Times New Roman" w:cs="Times New Roman"/>
          <w:sz w:val="24"/>
        </w:rPr>
        <w:t>90.5—91.6</w:t>
      </w:r>
      <w:r>
        <w:rPr>
          <w:rFonts w:ascii="Times New Roman" w:eastAsia="宋体" w:hAnsi="Times New Roman" w:cs="Times New Roman"/>
          <w:sz w:val="24"/>
        </w:rPr>
        <w:t>分之间，差距很小。真正拉开学科特征的是内部离散程度。英语中位数达到</w:t>
      </w:r>
      <w:r>
        <w:rPr>
          <w:rFonts w:ascii="Times New Roman" w:eastAsia="宋体" w:hAnsi="Times New Roman" w:cs="Times New Roman"/>
          <w:sz w:val="24"/>
        </w:rPr>
        <w:t>93</w:t>
      </w:r>
      <w:r>
        <w:rPr>
          <w:rFonts w:ascii="Times New Roman" w:eastAsia="宋体" w:hAnsi="Times New Roman" w:cs="Times New Roman"/>
          <w:sz w:val="24"/>
        </w:rPr>
        <w:t>分，但均值只有</w:t>
      </w:r>
      <w:r>
        <w:rPr>
          <w:rFonts w:ascii="Times New Roman" w:eastAsia="宋体" w:hAnsi="Times New Roman" w:cs="Times New Roman"/>
          <w:sz w:val="24"/>
        </w:rPr>
        <w:t>90.55</w:t>
      </w:r>
      <w:r>
        <w:rPr>
          <w:rFonts w:ascii="Times New Roman" w:eastAsia="宋体" w:hAnsi="Times New Roman" w:cs="Times New Roman"/>
          <w:sz w:val="24"/>
        </w:rPr>
        <w:t>分，</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8.37%</w:t>
      </w:r>
      <w:r>
        <w:rPr>
          <w:rFonts w:ascii="Times New Roman" w:eastAsia="宋体" w:hAnsi="Times New Roman" w:cs="Times New Roman"/>
          <w:sz w:val="24"/>
        </w:rPr>
        <w:t>，最低分仅</w:t>
      </w:r>
      <w:r>
        <w:rPr>
          <w:rFonts w:ascii="Times New Roman" w:eastAsia="宋体" w:hAnsi="Times New Roman" w:cs="Times New Roman"/>
          <w:sz w:val="24"/>
        </w:rPr>
        <w:t>68</w:t>
      </w:r>
      <w:r>
        <w:rPr>
          <w:rFonts w:ascii="Times New Roman" w:eastAsia="宋体" w:hAnsi="Times New Roman" w:cs="Times New Roman"/>
          <w:sz w:val="24"/>
        </w:rPr>
        <w:t>分。这个中位数高、均值被拉低的组合非常典型，它提示我们，英语整体并不存在普遍性低水平，更可能是个别评价记录显著偏离主体分布。</w:t>
      </w:r>
    </w:p>
    <w:p w14:paraId="0BE82E9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3-71  </w:t>
      </w:r>
      <w:r>
        <w:rPr>
          <w:rFonts w:ascii="Times New Roman" w:eastAsia="黑体" w:hAnsi="Times New Roman" w:cs="Times New Roman"/>
        </w:rPr>
        <w:t>英语学科低分记录的敏感性描述</w:t>
      </w:r>
    </w:p>
    <w:tbl>
      <w:tblPr>
        <w:tblW w:w="84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01F1657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550E11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D77DE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05E54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538BC7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A2F082"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58D273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CDA5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保留全部英语记录</w:t>
            </w:r>
          </w:p>
        </w:tc>
        <w:tc>
          <w:tcPr>
            <w:tcW w:w="0" w:type="auto"/>
            <w:tcBorders>
              <w:top w:val="nil"/>
              <w:left w:val="nil"/>
              <w:bottom w:val="nil"/>
              <w:right w:val="nil"/>
            </w:tcBorders>
            <w:tcMar>
              <w:top w:w="-1" w:type="dxa"/>
              <w:left w:w="-1" w:type="dxa"/>
              <w:bottom w:w="-1" w:type="dxa"/>
              <w:right w:w="-1" w:type="dxa"/>
            </w:tcMar>
            <w:vAlign w:val="center"/>
          </w:tcPr>
          <w:p w14:paraId="005006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1910FE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3BFB3B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922" w:type="dxa"/>
            <w:tcBorders>
              <w:top w:val="nil"/>
              <w:left w:val="nil"/>
              <w:bottom w:val="nil"/>
              <w:right w:val="nil"/>
            </w:tcBorders>
            <w:tcMar>
              <w:top w:w="-1" w:type="dxa"/>
              <w:left w:w="-1" w:type="dxa"/>
              <w:bottom w:w="-1" w:type="dxa"/>
              <w:right w:w="-1" w:type="dxa"/>
            </w:tcMar>
            <w:vAlign w:val="center"/>
          </w:tcPr>
          <w:p w14:paraId="301962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0D5716A3" w14:textId="77777777">
        <w:trPr>
          <w:jc w:val="center"/>
        </w:trPr>
        <w:tc>
          <w:tcPr>
            <w:tcW w:w="5353" w:type="dxa"/>
            <w:tcBorders>
              <w:top w:val="nil"/>
              <w:left w:val="nil"/>
              <w:bottom w:val="single" w:sz="12" w:space="0" w:color="000000"/>
              <w:right w:val="nil"/>
            </w:tcBorders>
            <w:tcMar>
              <w:top w:w="-1" w:type="dxa"/>
              <w:left w:w="-1" w:type="dxa"/>
              <w:bottom w:w="-1" w:type="dxa"/>
              <w:right w:w="-1" w:type="dxa"/>
            </w:tcMar>
            <w:vAlign w:val="center"/>
          </w:tcPr>
          <w:p w14:paraId="1C9A18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5E98E7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AE529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92.80</w:t>
            </w:r>
          </w:p>
        </w:tc>
        <w:tc>
          <w:tcPr>
            <w:tcW w:w="738" w:type="dxa"/>
            <w:tcBorders>
              <w:top w:val="nil"/>
              <w:left w:val="nil"/>
              <w:bottom w:val="single" w:sz="12" w:space="0" w:color="000000"/>
              <w:right w:val="nil"/>
            </w:tcBorders>
            <w:tcMar>
              <w:top w:w="-1" w:type="dxa"/>
              <w:left w:w="-1" w:type="dxa"/>
              <w:bottom w:w="-1" w:type="dxa"/>
              <w:right w:w="-1" w:type="dxa"/>
            </w:tcMar>
            <w:vAlign w:val="center"/>
          </w:tcPr>
          <w:p w14:paraId="34827B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1.32</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0CD2C8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610C10F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敏感性分析进一步验证了这一判断。保留全部</w:t>
      </w:r>
      <w:r>
        <w:rPr>
          <w:rFonts w:ascii="Times New Roman" w:eastAsia="宋体" w:hAnsi="Times New Roman" w:cs="Times New Roman"/>
          <w:sz w:val="24"/>
        </w:rPr>
        <w:t>11</w:t>
      </w:r>
      <w:r>
        <w:rPr>
          <w:rFonts w:ascii="Times New Roman" w:eastAsia="宋体" w:hAnsi="Times New Roman" w:cs="Times New Roman"/>
          <w:sz w:val="24"/>
        </w:rPr>
        <w:t>份英语评价时，均值为</w:t>
      </w:r>
      <w:r>
        <w:rPr>
          <w:rFonts w:ascii="Times New Roman" w:eastAsia="宋体" w:hAnsi="Times New Roman" w:cs="Times New Roman"/>
          <w:sz w:val="24"/>
        </w:rPr>
        <w:t>90.55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；若仅用于检验异常值影响而暂不计</w:t>
      </w:r>
      <w:r>
        <w:rPr>
          <w:rFonts w:ascii="Times New Roman" w:eastAsia="宋体" w:hAnsi="Times New Roman" w:cs="Times New Roman"/>
          <w:sz w:val="24"/>
        </w:rPr>
        <w:t>68</w:t>
      </w:r>
      <w:r>
        <w:rPr>
          <w:rFonts w:ascii="Times New Roman" w:eastAsia="宋体" w:hAnsi="Times New Roman" w:cs="Times New Roman"/>
          <w:sz w:val="24"/>
        </w:rPr>
        <w:t>分记录，均值升至</w:t>
      </w:r>
      <w:r>
        <w:rPr>
          <w:rFonts w:ascii="Times New Roman" w:eastAsia="宋体" w:hAnsi="Times New Roman" w:cs="Times New Roman"/>
          <w:sz w:val="24"/>
        </w:rPr>
        <w:t>92.80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降至</w:t>
      </w:r>
      <w:r>
        <w:rPr>
          <w:rFonts w:ascii="Times New Roman" w:eastAsia="宋体" w:hAnsi="Times New Roman" w:cs="Times New Roman"/>
          <w:sz w:val="24"/>
        </w:rPr>
        <w:t>1.32</w:t>
      </w:r>
      <w:r>
        <w:rPr>
          <w:rFonts w:ascii="Times New Roman" w:eastAsia="宋体" w:hAnsi="Times New Roman" w:cs="Times New Roman"/>
          <w:sz w:val="24"/>
        </w:rPr>
        <w:t>，而中位数始终保持</w:t>
      </w:r>
      <w:r>
        <w:rPr>
          <w:rFonts w:ascii="Times New Roman" w:eastAsia="宋体" w:hAnsi="Times New Roman" w:cs="Times New Roman"/>
          <w:sz w:val="24"/>
        </w:rPr>
        <w:t>93</w:t>
      </w:r>
      <w:r>
        <w:rPr>
          <w:rFonts w:ascii="Times New Roman" w:eastAsia="宋体" w:hAnsi="Times New Roman" w:cs="Times New Roman"/>
          <w:sz w:val="24"/>
        </w:rPr>
        <w:t>分。这一变化幅度说明，英语原始统计中的高</w:t>
      </w:r>
      <w:r>
        <w:rPr>
          <w:rFonts w:ascii="Times New Roman" w:eastAsia="宋体" w:hAnsi="Times New Roman" w:cs="Times New Roman"/>
          <w:sz w:val="24"/>
        </w:rPr>
        <w:lastRenderedPageBreak/>
        <w:t>波动主要由单条低分记录驱动。正式研究中我们保留该记录，因为它可能反映评价者视角、课堂生成或评分过程中的真实差异。</w:t>
      </w:r>
    </w:p>
    <w:p w14:paraId="26F43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物理目前只有</w:t>
      </w:r>
      <w:r>
        <w:rPr>
          <w:rFonts w:ascii="Times New Roman" w:eastAsia="宋体" w:hAnsi="Times New Roman" w:cs="Times New Roman"/>
          <w:sz w:val="24"/>
        </w:rPr>
        <w:t>2</w:t>
      </w:r>
      <w:r>
        <w:rPr>
          <w:rFonts w:ascii="Times New Roman" w:eastAsia="宋体" w:hAnsi="Times New Roman" w:cs="Times New Roman"/>
          <w:sz w:val="24"/>
        </w:rPr>
        <w:t>份有效评价，均值</w:t>
      </w:r>
      <w:r>
        <w:rPr>
          <w:rFonts w:ascii="Times New Roman" w:eastAsia="宋体" w:hAnsi="Times New Roman" w:cs="Times New Roman"/>
          <w:sz w:val="24"/>
        </w:rPr>
        <w:t>86.00</w:t>
      </w:r>
      <w:r>
        <w:rPr>
          <w:rFonts w:ascii="Times New Roman" w:eastAsia="宋体" w:hAnsi="Times New Roman" w:cs="Times New Roman"/>
          <w:sz w:val="24"/>
        </w:rPr>
        <w:t>，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1BAA0D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）课例比较</w:t>
      </w:r>
    </w:p>
    <w:p w14:paraId="6FB9C7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w:t>
      </w:r>
      <w:r>
        <w:rPr>
          <w:rFonts w:ascii="Times New Roman" w:eastAsia="宋体" w:hAnsi="Times New Roman" w:cs="Times New Roman"/>
          <w:sz w:val="24"/>
        </w:rPr>
        <w:t>1</w:t>
      </w:r>
      <w:r>
        <w:rPr>
          <w:rFonts w:ascii="Times New Roman" w:eastAsia="宋体" w:hAnsi="Times New Roman" w:cs="Times New Roman"/>
          <w:sz w:val="24"/>
        </w:rPr>
        <w:t>份评价的课例，只保留原始分数，不人为计算离散指标。</w:t>
      </w:r>
    </w:p>
    <w:p w14:paraId="45389FA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3-72  </w:t>
      </w:r>
      <w:r>
        <w:rPr>
          <w:rFonts w:ascii="Times New Roman" w:eastAsia="黑体" w:hAnsi="Times New Roman" w:cs="Times New Roman"/>
        </w:rPr>
        <w:t>不同课例课堂评价得分及离散程度</w:t>
      </w:r>
    </w:p>
    <w:tbl>
      <w:tblPr>
        <w:tblW w:w="8299"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53BB2A2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8529D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8113B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6DD468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E802C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CBFAD04"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5D3DA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5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14242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281AE03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E4D1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ED421D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2B2403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1FB5E4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1.64</w:t>
            </w:r>
          </w:p>
        </w:tc>
        <w:tc>
          <w:tcPr>
            <w:tcW w:w="0" w:type="auto"/>
            <w:tcBorders>
              <w:top w:val="nil"/>
              <w:left w:val="nil"/>
              <w:bottom w:val="nil"/>
              <w:right w:val="nil"/>
            </w:tcBorders>
            <w:tcMar>
              <w:top w:w="-1" w:type="dxa"/>
              <w:left w:w="-1" w:type="dxa"/>
              <w:bottom w:w="-1" w:type="dxa"/>
              <w:right w:w="-1" w:type="dxa"/>
            </w:tcMar>
            <w:vAlign w:val="center"/>
          </w:tcPr>
          <w:p w14:paraId="20181F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587BBD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90—95</w:t>
            </w:r>
          </w:p>
        </w:tc>
        <w:tc>
          <w:tcPr>
            <w:tcW w:w="1515" w:type="dxa"/>
            <w:tcBorders>
              <w:top w:val="nil"/>
              <w:left w:val="nil"/>
              <w:bottom w:val="nil"/>
              <w:right w:val="nil"/>
            </w:tcBorders>
            <w:tcMar>
              <w:top w:w="-1" w:type="dxa"/>
              <w:left w:w="-1" w:type="dxa"/>
              <w:bottom w:w="-1" w:type="dxa"/>
              <w:right w:w="-1" w:type="dxa"/>
            </w:tcMar>
            <w:vAlign w:val="center"/>
          </w:tcPr>
          <w:p w14:paraId="1E1509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1.78</w:t>
            </w:r>
          </w:p>
        </w:tc>
      </w:tr>
      <w:tr w:rsidR="000B1CCE" w14:paraId="4B5533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17D6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F983A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3E17C3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91.83</w:t>
            </w:r>
          </w:p>
        </w:tc>
        <w:tc>
          <w:tcPr>
            <w:tcW w:w="0" w:type="auto"/>
            <w:tcBorders>
              <w:top w:val="nil"/>
              <w:left w:val="nil"/>
              <w:bottom w:val="nil"/>
              <w:right w:val="nil"/>
            </w:tcBorders>
            <w:tcMar>
              <w:top w:w="-1" w:type="dxa"/>
              <w:left w:w="-1" w:type="dxa"/>
              <w:bottom w:w="-1" w:type="dxa"/>
              <w:right w:w="-1" w:type="dxa"/>
            </w:tcMar>
            <w:vAlign w:val="center"/>
          </w:tcPr>
          <w:p w14:paraId="30BC5E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3.06</w:t>
            </w:r>
          </w:p>
        </w:tc>
        <w:tc>
          <w:tcPr>
            <w:tcW w:w="0" w:type="auto"/>
            <w:tcBorders>
              <w:top w:val="nil"/>
              <w:left w:val="nil"/>
              <w:bottom w:val="nil"/>
              <w:right w:val="nil"/>
            </w:tcBorders>
            <w:tcMar>
              <w:top w:w="-1" w:type="dxa"/>
              <w:left w:w="-1" w:type="dxa"/>
              <w:bottom w:w="-1" w:type="dxa"/>
              <w:right w:w="-1" w:type="dxa"/>
            </w:tcMar>
            <w:vAlign w:val="center"/>
          </w:tcPr>
          <w:p w14:paraId="4593B3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4E4D74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86—95</w:t>
            </w:r>
          </w:p>
        </w:tc>
        <w:tc>
          <w:tcPr>
            <w:tcW w:w="1515" w:type="dxa"/>
            <w:tcBorders>
              <w:top w:val="nil"/>
              <w:left w:val="nil"/>
              <w:bottom w:val="nil"/>
              <w:right w:val="nil"/>
            </w:tcBorders>
            <w:tcMar>
              <w:top w:w="-1" w:type="dxa"/>
              <w:left w:w="-1" w:type="dxa"/>
              <w:bottom w:w="-1" w:type="dxa"/>
              <w:right w:w="-1" w:type="dxa"/>
            </w:tcMar>
            <w:vAlign w:val="center"/>
          </w:tcPr>
          <w:p w14:paraId="0C7A4F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3.33</w:t>
            </w:r>
          </w:p>
        </w:tc>
      </w:tr>
      <w:tr w:rsidR="000B1CCE" w14:paraId="34BFF8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B443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4A00C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0B0E9B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4A7ABB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618706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1404B8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515" w:type="dxa"/>
            <w:tcBorders>
              <w:top w:val="nil"/>
              <w:left w:val="nil"/>
              <w:bottom w:val="nil"/>
              <w:right w:val="nil"/>
            </w:tcBorders>
            <w:tcMar>
              <w:top w:w="-1" w:type="dxa"/>
              <w:left w:w="-1" w:type="dxa"/>
              <w:bottom w:w="-1" w:type="dxa"/>
              <w:right w:w="-1" w:type="dxa"/>
            </w:tcMar>
            <w:vAlign w:val="center"/>
          </w:tcPr>
          <w:p w14:paraId="143448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58D091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9AD6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2621AC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74D82A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91.33</w:t>
            </w:r>
          </w:p>
        </w:tc>
        <w:tc>
          <w:tcPr>
            <w:tcW w:w="0" w:type="auto"/>
            <w:tcBorders>
              <w:top w:val="nil"/>
              <w:left w:val="nil"/>
              <w:bottom w:val="nil"/>
              <w:right w:val="nil"/>
            </w:tcBorders>
            <w:tcMar>
              <w:top w:w="-1" w:type="dxa"/>
              <w:left w:w="-1" w:type="dxa"/>
              <w:bottom w:w="-1" w:type="dxa"/>
              <w:right w:w="-1" w:type="dxa"/>
            </w:tcMar>
            <w:vAlign w:val="center"/>
          </w:tcPr>
          <w:p w14:paraId="23D3C7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4.84</w:t>
            </w:r>
          </w:p>
        </w:tc>
        <w:tc>
          <w:tcPr>
            <w:tcW w:w="0" w:type="auto"/>
            <w:tcBorders>
              <w:top w:val="nil"/>
              <w:left w:val="nil"/>
              <w:bottom w:val="nil"/>
              <w:right w:val="nil"/>
            </w:tcBorders>
            <w:tcMar>
              <w:top w:w="-1" w:type="dxa"/>
              <w:left w:w="-1" w:type="dxa"/>
              <w:bottom w:w="-1" w:type="dxa"/>
              <w:right w:w="-1" w:type="dxa"/>
            </w:tcMar>
            <w:vAlign w:val="center"/>
          </w:tcPr>
          <w:p w14:paraId="0E9703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525F00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515" w:type="dxa"/>
            <w:tcBorders>
              <w:top w:val="nil"/>
              <w:left w:val="nil"/>
              <w:bottom w:val="nil"/>
              <w:right w:val="nil"/>
            </w:tcBorders>
            <w:tcMar>
              <w:top w:w="-1" w:type="dxa"/>
              <w:left w:w="-1" w:type="dxa"/>
              <w:bottom w:w="-1" w:type="dxa"/>
              <w:right w:w="-1" w:type="dxa"/>
            </w:tcMar>
            <w:vAlign w:val="center"/>
          </w:tcPr>
          <w:p w14:paraId="21A1D7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5.30</w:t>
            </w:r>
          </w:p>
        </w:tc>
      </w:tr>
      <w:tr w:rsidR="000B1CCE" w14:paraId="397BA22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FD5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15244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2C0916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90.80</w:t>
            </w:r>
          </w:p>
        </w:tc>
        <w:tc>
          <w:tcPr>
            <w:tcW w:w="0" w:type="auto"/>
            <w:tcBorders>
              <w:top w:val="nil"/>
              <w:left w:val="nil"/>
              <w:bottom w:val="nil"/>
              <w:right w:val="nil"/>
            </w:tcBorders>
            <w:tcMar>
              <w:top w:w="-1" w:type="dxa"/>
              <w:left w:w="-1" w:type="dxa"/>
              <w:bottom w:w="-1" w:type="dxa"/>
              <w:right w:w="-1" w:type="dxa"/>
            </w:tcMar>
            <w:vAlign w:val="center"/>
          </w:tcPr>
          <w:p w14:paraId="73C0DC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2.59</w:t>
            </w:r>
          </w:p>
        </w:tc>
        <w:tc>
          <w:tcPr>
            <w:tcW w:w="0" w:type="auto"/>
            <w:tcBorders>
              <w:top w:val="nil"/>
              <w:left w:val="nil"/>
              <w:bottom w:val="nil"/>
              <w:right w:val="nil"/>
            </w:tcBorders>
            <w:tcMar>
              <w:top w:w="-1" w:type="dxa"/>
              <w:left w:w="-1" w:type="dxa"/>
              <w:bottom w:w="-1" w:type="dxa"/>
              <w:right w:w="-1" w:type="dxa"/>
            </w:tcMar>
            <w:vAlign w:val="center"/>
          </w:tcPr>
          <w:p w14:paraId="48D194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2B2B80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87—94</w:t>
            </w:r>
          </w:p>
        </w:tc>
        <w:tc>
          <w:tcPr>
            <w:tcW w:w="1515" w:type="dxa"/>
            <w:tcBorders>
              <w:top w:val="nil"/>
              <w:left w:val="nil"/>
              <w:bottom w:val="nil"/>
              <w:right w:val="nil"/>
            </w:tcBorders>
            <w:tcMar>
              <w:top w:w="-1" w:type="dxa"/>
              <w:left w:w="-1" w:type="dxa"/>
              <w:bottom w:w="-1" w:type="dxa"/>
              <w:right w:w="-1" w:type="dxa"/>
            </w:tcMar>
            <w:vAlign w:val="center"/>
          </w:tcPr>
          <w:p w14:paraId="3EF0DD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2.85</w:t>
            </w:r>
          </w:p>
        </w:tc>
      </w:tr>
      <w:tr w:rsidR="000B1CCE" w14:paraId="7E39EA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078C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7AE93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0" w:type="auto"/>
            <w:tcBorders>
              <w:top w:val="nil"/>
              <w:left w:val="nil"/>
              <w:bottom w:val="nil"/>
              <w:right w:val="nil"/>
            </w:tcBorders>
            <w:tcMar>
              <w:top w:w="-1" w:type="dxa"/>
              <w:left w:w="-1" w:type="dxa"/>
              <w:bottom w:w="-1" w:type="dxa"/>
              <w:right w:w="-1" w:type="dxa"/>
            </w:tcMar>
            <w:vAlign w:val="center"/>
          </w:tcPr>
          <w:p w14:paraId="5F4AB2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90.43</w:t>
            </w:r>
          </w:p>
        </w:tc>
        <w:tc>
          <w:tcPr>
            <w:tcW w:w="0" w:type="auto"/>
            <w:tcBorders>
              <w:top w:val="nil"/>
              <w:left w:val="nil"/>
              <w:bottom w:val="nil"/>
              <w:right w:val="nil"/>
            </w:tcBorders>
            <w:tcMar>
              <w:top w:w="-1" w:type="dxa"/>
              <w:left w:w="-1" w:type="dxa"/>
              <w:bottom w:w="-1" w:type="dxa"/>
              <w:right w:w="-1" w:type="dxa"/>
            </w:tcMar>
            <w:vAlign w:val="center"/>
          </w:tcPr>
          <w:p w14:paraId="4FC024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3.26</w:t>
            </w:r>
          </w:p>
        </w:tc>
        <w:tc>
          <w:tcPr>
            <w:tcW w:w="0" w:type="auto"/>
            <w:tcBorders>
              <w:top w:val="nil"/>
              <w:left w:val="nil"/>
              <w:bottom w:val="nil"/>
              <w:right w:val="nil"/>
            </w:tcBorders>
            <w:tcMar>
              <w:top w:w="-1" w:type="dxa"/>
              <w:left w:w="-1" w:type="dxa"/>
              <w:bottom w:w="-1" w:type="dxa"/>
              <w:right w:w="-1" w:type="dxa"/>
            </w:tcMar>
            <w:vAlign w:val="center"/>
          </w:tcPr>
          <w:p w14:paraId="195128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597E9C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515" w:type="dxa"/>
            <w:tcBorders>
              <w:top w:val="nil"/>
              <w:left w:val="nil"/>
              <w:bottom w:val="nil"/>
              <w:right w:val="nil"/>
            </w:tcBorders>
            <w:tcMar>
              <w:top w:w="-1" w:type="dxa"/>
              <w:left w:w="-1" w:type="dxa"/>
              <w:bottom w:w="-1" w:type="dxa"/>
              <w:right w:w="-1" w:type="dxa"/>
            </w:tcMar>
            <w:vAlign w:val="center"/>
          </w:tcPr>
          <w:p w14:paraId="694B06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3.60</w:t>
            </w:r>
          </w:p>
        </w:tc>
      </w:tr>
      <w:tr w:rsidR="000B1CCE" w14:paraId="459E87B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E838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DCB99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06DD11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9FE1D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0" w:type="auto"/>
            <w:tcBorders>
              <w:top w:val="nil"/>
              <w:left w:val="nil"/>
              <w:bottom w:val="nil"/>
              <w:right w:val="nil"/>
            </w:tcBorders>
            <w:tcMar>
              <w:top w:w="-1" w:type="dxa"/>
              <w:left w:w="-1" w:type="dxa"/>
              <w:bottom w:w="-1" w:type="dxa"/>
              <w:right w:w="-1" w:type="dxa"/>
            </w:tcMar>
            <w:vAlign w:val="center"/>
          </w:tcPr>
          <w:p w14:paraId="54C67C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5D9E3D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68—94</w:t>
            </w:r>
          </w:p>
        </w:tc>
        <w:tc>
          <w:tcPr>
            <w:tcW w:w="1515" w:type="dxa"/>
            <w:tcBorders>
              <w:top w:val="nil"/>
              <w:left w:val="nil"/>
              <w:bottom w:val="nil"/>
              <w:right w:val="nil"/>
            </w:tcBorders>
            <w:tcMar>
              <w:top w:w="-1" w:type="dxa"/>
              <w:left w:w="-1" w:type="dxa"/>
              <w:bottom w:w="-1" w:type="dxa"/>
              <w:right w:w="-1" w:type="dxa"/>
            </w:tcMar>
            <w:vAlign w:val="center"/>
          </w:tcPr>
          <w:p w14:paraId="1AAEF9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12.81</w:t>
            </w:r>
          </w:p>
        </w:tc>
      </w:tr>
      <w:tr w:rsidR="000B1CCE" w14:paraId="1277CF2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A41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332CA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E8EFC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5E739B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41325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3D99D5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88—88</w:t>
            </w:r>
          </w:p>
        </w:tc>
        <w:tc>
          <w:tcPr>
            <w:tcW w:w="1515" w:type="dxa"/>
            <w:tcBorders>
              <w:top w:val="nil"/>
              <w:left w:val="nil"/>
              <w:bottom w:val="nil"/>
              <w:right w:val="nil"/>
            </w:tcBorders>
            <w:tcMar>
              <w:top w:w="-1" w:type="dxa"/>
              <w:left w:w="-1" w:type="dxa"/>
              <w:bottom w:w="-1" w:type="dxa"/>
              <w:right w:w="-1" w:type="dxa"/>
            </w:tcMar>
            <w:vAlign w:val="center"/>
          </w:tcPr>
          <w:p w14:paraId="51B11B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r w:rsidR="000B1CCE" w14:paraId="58785EDD" w14:textId="77777777">
        <w:trPr>
          <w:jc w:val="center"/>
        </w:trPr>
        <w:tc>
          <w:tcPr>
            <w:tcW w:w="1182" w:type="dxa"/>
            <w:tcBorders>
              <w:top w:val="nil"/>
              <w:left w:val="nil"/>
              <w:bottom w:val="single" w:sz="12" w:space="0" w:color="000000"/>
              <w:right w:val="nil"/>
            </w:tcBorders>
            <w:tcMar>
              <w:top w:w="-1" w:type="dxa"/>
              <w:left w:w="-1" w:type="dxa"/>
              <w:bottom w:w="-1" w:type="dxa"/>
              <w:right w:w="-1" w:type="dxa"/>
            </w:tcMar>
            <w:vAlign w:val="center"/>
          </w:tcPr>
          <w:p w14:paraId="19527E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216" w:type="dxa"/>
            <w:tcBorders>
              <w:top w:val="nil"/>
              <w:left w:val="nil"/>
              <w:bottom w:val="single" w:sz="12" w:space="0" w:color="000000"/>
              <w:right w:val="nil"/>
            </w:tcBorders>
            <w:tcMar>
              <w:top w:w="-1" w:type="dxa"/>
              <w:left w:w="-1" w:type="dxa"/>
              <w:bottom w:w="-1" w:type="dxa"/>
              <w:right w:w="-1" w:type="dxa"/>
            </w:tcMar>
            <w:vAlign w:val="center"/>
          </w:tcPr>
          <w:p w14:paraId="0CC360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3E61BD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46A9BE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7903AC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2161" w:type="dxa"/>
            <w:tcBorders>
              <w:top w:val="nil"/>
              <w:left w:val="nil"/>
              <w:bottom w:val="single" w:sz="12" w:space="0" w:color="000000"/>
              <w:right w:val="nil"/>
            </w:tcBorders>
            <w:tcMar>
              <w:top w:w="-1" w:type="dxa"/>
              <w:left w:w="-1" w:type="dxa"/>
              <w:bottom w:w="-1" w:type="dxa"/>
              <w:right w:w="-1" w:type="dxa"/>
            </w:tcMar>
            <w:vAlign w:val="center"/>
          </w:tcPr>
          <w:p w14:paraId="1CFB1F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84—84</w:t>
            </w:r>
          </w:p>
        </w:tc>
        <w:tc>
          <w:tcPr>
            <w:tcW w:w="1515" w:type="dxa"/>
            <w:tcBorders>
              <w:top w:val="nil"/>
              <w:left w:val="nil"/>
              <w:bottom w:val="single" w:sz="12" w:space="0" w:color="000000"/>
              <w:right w:val="nil"/>
            </w:tcBorders>
            <w:tcMar>
              <w:top w:w="-1" w:type="dxa"/>
              <w:left w:w="-1" w:type="dxa"/>
              <w:bottom w:w="-1" w:type="dxa"/>
              <w:right w:w="-1" w:type="dxa"/>
            </w:tcMar>
            <w:vAlign w:val="center"/>
          </w:tcPr>
          <w:p w14:paraId="68E5F1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bl>
    <w:p w14:paraId="1CDC37C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从多份评价的课例看，英语</w:t>
      </w:r>
      <w:r>
        <w:rPr>
          <w:rFonts w:ascii="Times New Roman" w:eastAsia="宋体" w:hAnsi="Times New Roman" w:cs="Times New Roman"/>
          <w:sz w:val="24"/>
        </w:rPr>
        <w:t>2</w:t>
      </w:r>
      <w:r>
        <w:rPr>
          <w:rFonts w:ascii="Times New Roman" w:eastAsia="宋体" w:hAnsi="Times New Roman" w:cs="Times New Roman"/>
          <w:sz w:val="24"/>
        </w:rPr>
        <w:t>平均分</w:t>
      </w:r>
      <w:r>
        <w:rPr>
          <w:rFonts w:ascii="Times New Roman" w:eastAsia="宋体" w:hAnsi="Times New Roman" w:cs="Times New Roman"/>
          <w:sz w:val="24"/>
        </w:rPr>
        <w:t>92.50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仅</w:t>
      </w:r>
      <w:r>
        <w:rPr>
          <w:rFonts w:ascii="Times New Roman" w:eastAsia="宋体" w:hAnsi="Times New Roman" w:cs="Times New Roman"/>
          <w:sz w:val="24"/>
        </w:rPr>
        <w:t>1.78%</w:t>
      </w:r>
      <w:r>
        <w:rPr>
          <w:rFonts w:ascii="Times New Roman" w:eastAsia="宋体" w:hAnsi="Times New Roman" w:cs="Times New Roman"/>
          <w:sz w:val="24"/>
        </w:rPr>
        <w:t>，既保持较高评分，又具有很高的一致性；语文</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CV</w:t>
      </w:r>
      <w:r>
        <w:rPr>
          <w:rFonts w:ascii="Times New Roman" w:eastAsia="宋体" w:hAnsi="Times New Roman" w:cs="Times New Roman"/>
          <w:sz w:val="24"/>
        </w:rPr>
        <w:t>也都低于</w:t>
      </w:r>
      <w:r>
        <w:rPr>
          <w:rFonts w:ascii="Times New Roman" w:eastAsia="宋体" w:hAnsi="Times New Roman" w:cs="Times New Roman"/>
          <w:sz w:val="24"/>
        </w:rPr>
        <w:t>4%</w:t>
      </w:r>
      <w:r>
        <w:rPr>
          <w:rFonts w:ascii="Times New Roman" w:eastAsia="宋体" w:hAnsi="Times New Roman" w:cs="Times New Roman"/>
          <w:sz w:val="24"/>
        </w:rPr>
        <w:t>，说明不同评价者对这些课例的总体判断较为接近。数学</w:t>
      </w:r>
      <w:r>
        <w:rPr>
          <w:rFonts w:ascii="Times New Roman" w:eastAsia="宋体" w:hAnsi="Times New Roman" w:cs="Times New Roman"/>
          <w:sz w:val="24"/>
        </w:rPr>
        <w:t>1</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的均值与前述课例相近，但</w:t>
      </w:r>
      <w:r>
        <w:rPr>
          <w:rFonts w:ascii="Times New Roman" w:eastAsia="宋体" w:hAnsi="Times New Roman" w:cs="Times New Roman"/>
          <w:sz w:val="24"/>
        </w:rPr>
        <w:t>CV</w:t>
      </w:r>
      <w:r>
        <w:rPr>
          <w:rFonts w:ascii="Times New Roman" w:eastAsia="宋体" w:hAnsi="Times New Roman" w:cs="Times New Roman"/>
          <w:sz w:val="24"/>
        </w:rPr>
        <w:t>分别为</w:t>
      </w:r>
      <w:r>
        <w:rPr>
          <w:rFonts w:ascii="Times New Roman" w:eastAsia="宋体" w:hAnsi="Times New Roman" w:cs="Times New Roman"/>
          <w:sz w:val="24"/>
        </w:rPr>
        <w:t>5.30%</w:t>
      </w:r>
      <w:r>
        <w:rPr>
          <w:rFonts w:ascii="Times New Roman" w:eastAsia="宋体" w:hAnsi="Times New Roman" w:cs="Times New Roman"/>
          <w:sz w:val="24"/>
        </w:rPr>
        <w:t>和</w:t>
      </w:r>
      <w:r>
        <w:rPr>
          <w:rFonts w:ascii="Times New Roman" w:eastAsia="宋体" w:hAnsi="Times New Roman" w:cs="Times New Roman"/>
          <w:sz w:val="24"/>
        </w:rPr>
        <w:t>4.89%</w:t>
      </w:r>
      <w:r>
        <w:rPr>
          <w:rFonts w:ascii="Times New Roman" w:eastAsia="宋体" w:hAnsi="Times New Roman" w:cs="Times New Roman"/>
          <w:sz w:val="24"/>
        </w:rPr>
        <w:t>，评价分散程度有所增加。这类差异很有价值，因为它提示我们，同样是高分课堂，有的已经形成较稳定、可识别的课堂样态，有的仍存在不同观察者理解不完全一致的地方。</w:t>
      </w:r>
    </w:p>
    <w:p w14:paraId="475397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是最值得进一步回看的一节课。它的平均分为</w:t>
      </w:r>
      <w:r>
        <w:rPr>
          <w:rFonts w:ascii="Times New Roman" w:eastAsia="宋体" w:hAnsi="Times New Roman" w:cs="Times New Roman"/>
          <w:sz w:val="24"/>
        </w:rPr>
        <w:t>88.20</w:t>
      </w:r>
      <w:r>
        <w:rPr>
          <w:rFonts w:ascii="Times New Roman" w:eastAsia="宋体" w:hAnsi="Times New Roman" w:cs="Times New Roman"/>
          <w:sz w:val="24"/>
        </w:rPr>
        <w:t>，但中位数达到</w:t>
      </w:r>
      <w:r>
        <w:rPr>
          <w:rFonts w:ascii="Times New Roman" w:eastAsia="宋体" w:hAnsi="Times New Roman" w:cs="Times New Roman"/>
          <w:sz w:val="24"/>
        </w:rPr>
        <w:t>93.00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11.30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12.81%</w:t>
      </w:r>
      <w:r>
        <w:rPr>
          <w:rFonts w:ascii="Times New Roman" w:eastAsia="宋体" w:hAnsi="Times New Roman" w:cs="Times New Roman"/>
          <w:sz w:val="24"/>
        </w:rPr>
        <w:t>。从统计结构看，这一分布明显受到单条</w:t>
      </w:r>
      <w:r>
        <w:rPr>
          <w:rFonts w:ascii="Times New Roman" w:eastAsia="宋体" w:hAnsi="Times New Roman" w:cs="Times New Roman"/>
          <w:sz w:val="24"/>
        </w:rPr>
        <w:t>68</w:t>
      </w:r>
      <w:r>
        <w:rPr>
          <w:rFonts w:ascii="Times New Roman" w:eastAsia="宋体" w:hAnsi="Times New Roman" w:cs="Times New Roman"/>
          <w:sz w:val="24"/>
        </w:rPr>
        <w:t>分记录影响。仅看均值，会把一节大多数评价较高的课堂误读为整体水平偏低。</w:t>
      </w:r>
    </w:p>
    <w:p w14:paraId="6CD74A9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3-73  </w:t>
      </w:r>
      <w:r>
        <w:rPr>
          <w:rFonts w:ascii="Times New Roman" w:eastAsia="黑体" w:hAnsi="Times New Roman" w:cs="Times New Roman"/>
        </w:rPr>
        <w:t>英语</w:t>
      </w:r>
      <w:r>
        <w:rPr>
          <w:rFonts w:ascii="Times New Roman" w:eastAsia="黑体" w:hAnsi="Times New Roman" w:cs="Times New Roman"/>
        </w:rPr>
        <w:t>1</w:t>
      </w:r>
      <w:r>
        <w:rPr>
          <w:rFonts w:ascii="Times New Roman" w:eastAsia="黑体" w:hAnsi="Times New Roman" w:cs="Times New Roman"/>
        </w:rPr>
        <w:t>课例的敏感性描述</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31FB56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55F79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077F0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DA0BAA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4AE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3B89BC"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7EA7B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7F34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w:t>
            </w:r>
            <w:r>
              <w:rPr>
                <w:rFonts w:ascii="Times New Roman" w:eastAsia="宋体" w:hAnsi="Times New Roman" w:cs="Times New Roman"/>
                <w:szCs w:val="21"/>
              </w:rPr>
              <w:t>5</w:t>
            </w:r>
            <w:r>
              <w:rPr>
                <w:rFonts w:ascii="Times New Roman" w:eastAsia="宋体" w:hAnsi="Times New Roman" w:cs="Times New Roman"/>
                <w:szCs w:val="21"/>
              </w:rPr>
              <w:t>份评价</w:t>
            </w:r>
          </w:p>
        </w:tc>
        <w:tc>
          <w:tcPr>
            <w:tcW w:w="0" w:type="auto"/>
            <w:tcBorders>
              <w:top w:val="nil"/>
              <w:left w:val="nil"/>
              <w:bottom w:val="nil"/>
              <w:right w:val="nil"/>
            </w:tcBorders>
            <w:tcMar>
              <w:top w:w="-1" w:type="dxa"/>
              <w:left w:w="-1" w:type="dxa"/>
              <w:bottom w:w="-1" w:type="dxa"/>
              <w:right w:w="-1" w:type="dxa"/>
            </w:tcMar>
            <w:vAlign w:val="center"/>
          </w:tcPr>
          <w:p w14:paraId="451CEE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01E5B0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3B042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922" w:type="dxa"/>
            <w:tcBorders>
              <w:top w:val="nil"/>
              <w:left w:val="nil"/>
              <w:bottom w:val="nil"/>
              <w:right w:val="nil"/>
            </w:tcBorders>
            <w:tcMar>
              <w:top w:w="-1" w:type="dxa"/>
              <w:left w:w="-1" w:type="dxa"/>
              <w:bottom w:w="-1" w:type="dxa"/>
              <w:right w:w="-1" w:type="dxa"/>
            </w:tcMar>
            <w:vAlign w:val="center"/>
          </w:tcPr>
          <w:p w14:paraId="7BEAED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2FD55934" w14:textId="77777777">
        <w:trPr>
          <w:jc w:val="center"/>
        </w:trPr>
        <w:tc>
          <w:tcPr>
            <w:tcW w:w="5352" w:type="dxa"/>
            <w:tcBorders>
              <w:top w:val="nil"/>
              <w:left w:val="nil"/>
              <w:bottom w:val="single" w:sz="12" w:space="0" w:color="000000"/>
              <w:right w:val="nil"/>
            </w:tcBorders>
            <w:tcMar>
              <w:top w:w="-1" w:type="dxa"/>
              <w:left w:w="-1" w:type="dxa"/>
              <w:bottom w:w="-1" w:type="dxa"/>
              <w:right w:w="-1" w:type="dxa"/>
            </w:tcMar>
            <w:vAlign w:val="center"/>
          </w:tcPr>
          <w:p w14:paraId="036C38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186" w:type="dxa"/>
            <w:tcBorders>
              <w:top w:val="nil"/>
              <w:left w:val="nil"/>
              <w:bottom w:val="single" w:sz="12" w:space="0" w:color="000000"/>
              <w:right w:val="nil"/>
            </w:tcBorders>
            <w:tcMar>
              <w:top w:w="-1" w:type="dxa"/>
              <w:left w:w="-1" w:type="dxa"/>
              <w:bottom w:w="-1" w:type="dxa"/>
              <w:right w:w="-1" w:type="dxa"/>
            </w:tcMar>
            <w:vAlign w:val="center"/>
          </w:tcPr>
          <w:p w14:paraId="69CEB8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8BB9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93.25</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D45B1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5BA86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26CBF63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敏感性分析对此给出了更清晰的证据，如果仅为了判断极端值影响而暂不计</w:t>
      </w:r>
      <w:r>
        <w:rPr>
          <w:rFonts w:ascii="Times New Roman" w:eastAsia="宋体" w:hAnsi="Times New Roman" w:cs="Times New Roman"/>
          <w:sz w:val="24"/>
        </w:rPr>
        <w:t>68</w:t>
      </w:r>
      <w:r>
        <w:rPr>
          <w:rFonts w:ascii="Times New Roman" w:eastAsia="宋体" w:hAnsi="Times New Roman" w:cs="Times New Roman"/>
          <w:sz w:val="24"/>
        </w:rPr>
        <w:t>分，其余</w:t>
      </w:r>
      <w:r>
        <w:rPr>
          <w:rFonts w:ascii="Times New Roman" w:eastAsia="宋体" w:hAnsi="Times New Roman" w:cs="Times New Roman"/>
          <w:sz w:val="24"/>
        </w:rPr>
        <w:t>4</w:t>
      </w:r>
      <w:r>
        <w:rPr>
          <w:rFonts w:ascii="Times New Roman" w:eastAsia="宋体" w:hAnsi="Times New Roman" w:cs="Times New Roman"/>
          <w:sz w:val="24"/>
        </w:rPr>
        <w:t>份评价的均值为</w:t>
      </w:r>
      <w:r>
        <w:rPr>
          <w:rFonts w:ascii="Times New Roman" w:eastAsia="宋体" w:hAnsi="Times New Roman" w:cs="Times New Roman"/>
          <w:sz w:val="24"/>
        </w:rPr>
        <w:t>93.25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仅</w:t>
      </w:r>
      <w:r>
        <w:rPr>
          <w:rFonts w:ascii="Times New Roman" w:eastAsia="宋体" w:hAnsi="Times New Roman" w:cs="Times New Roman"/>
          <w:sz w:val="24"/>
        </w:rPr>
        <w:t>0.50</w:t>
      </w:r>
      <w:r>
        <w:rPr>
          <w:rFonts w:ascii="Times New Roman" w:eastAsia="宋体" w:hAnsi="Times New Roman" w:cs="Times New Roman"/>
          <w:sz w:val="24"/>
        </w:rPr>
        <w:t>。这说明英语</w:t>
      </w:r>
      <w:r>
        <w:rPr>
          <w:rFonts w:ascii="Times New Roman" w:eastAsia="宋体" w:hAnsi="Times New Roman" w:cs="Times New Roman"/>
          <w:sz w:val="24"/>
        </w:rPr>
        <w:t>1</w:t>
      </w:r>
      <w:r>
        <w:rPr>
          <w:rFonts w:ascii="Times New Roman" w:eastAsia="宋体" w:hAnsi="Times New Roman" w:cs="Times New Roman"/>
          <w:sz w:val="24"/>
        </w:rPr>
        <w:t>的高变异主要来自一份与其他评价明显不同的记录。作为课题主持人，我们更愿意把这种差异看作一个值得回到原始评语和课堂现场进一步追问的问题。研究的价值，恰恰在于解释分歧。</w:t>
      </w:r>
    </w:p>
    <w:p w14:paraId="79B132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因此，课例层面的分析把我们的关注点从谁分数高转向哪些课堂已经形成稳定共识，哪些课堂仍存在专业判断分歧。均值反映总体位置，</w:t>
      </w:r>
      <w:r>
        <w:rPr>
          <w:rFonts w:ascii="Times New Roman" w:eastAsia="宋体" w:hAnsi="Times New Roman" w:cs="Times New Roman"/>
          <w:sz w:val="24"/>
        </w:rPr>
        <w:t>SD</w:t>
      </w:r>
      <w:r>
        <w:rPr>
          <w:rFonts w:ascii="Times New Roman" w:eastAsia="宋体" w:hAnsi="Times New Roman" w:cs="Times New Roman"/>
          <w:sz w:val="24"/>
        </w:rPr>
        <w:t>和</w:t>
      </w:r>
      <w:r>
        <w:rPr>
          <w:rFonts w:ascii="Times New Roman" w:eastAsia="宋体" w:hAnsi="Times New Roman" w:cs="Times New Roman"/>
          <w:sz w:val="24"/>
        </w:rPr>
        <w:t>CV</w:t>
      </w:r>
      <w:r>
        <w:rPr>
          <w:rFonts w:ascii="Times New Roman" w:eastAsia="宋体" w:hAnsi="Times New Roman" w:cs="Times New Roman"/>
          <w:sz w:val="24"/>
        </w:rPr>
        <w:t>反映评价一致程度；两者结合，才能更准确地判断一节课堂在实施层面是否具有相对稳定、可复制的特征。</w:t>
      </w:r>
    </w:p>
    <w:p w14:paraId="1DF23ED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）开放评语的质性编码</w:t>
      </w:r>
    </w:p>
    <w:p w14:paraId="71617A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我们希望借助这些文本，把数字重新放回真实课堂语境中。</w:t>
      </w:r>
    </w:p>
    <w:p w14:paraId="43ADE30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3-74  </w:t>
      </w:r>
      <w:r>
        <w:rPr>
          <w:rFonts w:ascii="Times New Roman" w:eastAsia="黑体" w:hAnsi="Times New Roman" w:cs="Times New Roman"/>
        </w:rPr>
        <w:t>教师开放式评语主题编码频次</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6CFD75F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EB328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主题</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9FE143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编码条次</w:t>
            </w:r>
          </w:p>
        </w:tc>
        <w:tc>
          <w:tcPr>
            <w:tcW w:w="327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5B9F5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占全部编码（</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312A6B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A48E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0" w:type="auto"/>
            <w:tcBorders>
              <w:top w:val="nil"/>
              <w:left w:val="nil"/>
              <w:bottom w:val="nil"/>
              <w:right w:val="nil"/>
            </w:tcBorders>
            <w:tcMar>
              <w:top w:w="-1" w:type="dxa"/>
              <w:left w:w="-1" w:type="dxa"/>
              <w:bottom w:w="-1" w:type="dxa"/>
              <w:right w:w="-1" w:type="dxa"/>
            </w:tcMar>
            <w:vAlign w:val="center"/>
          </w:tcPr>
          <w:p w14:paraId="0E092B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3278" w:type="dxa"/>
            <w:tcBorders>
              <w:top w:val="nil"/>
              <w:left w:val="nil"/>
              <w:bottom w:val="nil"/>
              <w:right w:val="nil"/>
            </w:tcBorders>
            <w:tcMar>
              <w:top w:w="-1" w:type="dxa"/>
              <w:left w:w="-1" w:type="dxa"/>
              <w:bottom w:w="-1" w:type="dxa"/>
              <w:right w:w="-1" w:type="dxa"/>
            </w:tcMar>
            <w:vAlign w:val="center"/>
          </w:tcPr>
          <w:p w14:paraId="10D75D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18.92</w:t>
            </w:r>
          </w:p>
        </w:tc>
      </w:tr>
      <w:tr w:rsidR="000B1CCE" w14:paraId="6E301E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79B7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0" w:type="auto"/>
            <w:tcBorders>
              <w:top w:val="nil"/>
              <w:left w:val="nil"/>
              <w:bottom w:val="nil"/>
              <w:right w:val="nil"/>
            </w:tcBorders>
            <w:tcMar>
              <w:top w:w="-1" w:type="dxa"/>
              <w:left w:w="-1" w:type="dxa"/>
              <w:bottom w:w="-1" w:type="dxa"/>
              <w:right w:w="-1" w:type="dxa"/>
            </w:tcMar>
            <w:vAlign w:val="center"/>
          </w:tcPr>
          <w:p w14:paraId="2F7D15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278" w:type="dxa"/>
            <w:tcBorders>
              <w:top w:val="nil"/>
              <w:left w:val="nil"/>
              <w:bottom w:val="nil"/>
              <w:right w:val="nil"/>
            </w:tcBorders>
            <w:tcMar>
              <w:top w:w="-1" w:type="dxa"/>
              <w:left w:w="-1" w:type="dxa"/>
              <w:bottom w:w="-1" w:type="dxa"/>
              <w:right w:w="-1" w:type="dxa"/>
            </w:tcMar>
            <w:vAlign w:val="center"/>
          </w:tcPr>
          <w:p w14:paraId="6CA417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17.57</w:t>
            </w:r>
          </w:p>
        </w:tc>
      </w:tr>
      <w:tr w:rsidR="000B1CCE" w14:paraId="611423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FFC7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w:t>
            </w:r>
          </w:p>
        </w:tc>
        <w:tc>
          <w:tcPr>
            <w:tcW w:w="0" w:type="auto"/>
            <w:tcBorders>
              <w:top w:val="nil"/>
              <w:left w:val="nil"/>
              <w:bottom w:val="nil"/>
              <w:right w:val="nil"/>
            </w:tcBorders>
            <w:tcMar>
              <w:top w:w="-1" w:type="dxa"/>
              <w:left w:w="-1" w:type="dxa"/>
              <w:bottom w:w="-1" w:type="dxa"/>
              <w:right w:w="-1" w:type="dxa"/>
            </w:tcMar>
            <w:vAlign w:val="center"/>
          </w:tcPr>
          <w:p w14:paraId="5D8DB8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3278" w:type="dxa"/>
            <w:tcBorders>
              <w:top w:val="nil"/>
              <w:left w:val="nil"/>
              <w:bottom w:val="nil"/>
              <w:right w:val="nil"/>
            </w:tcBorders>
            <w:tcMar>
              <w:top w:w="-1" w:type="dxa"/>
              <w:left w:w="-1" w:type="dxa"/>
              <w:bottom w:w="-1" w:type="dxa"/>
              <w:right w:w="-1" w:type="dxa"/>
            </w:tcMar>
            <w:vAlign w:val="center"/>
          </w:tcPr>
          <w:p w14:paraId="20EDE2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16.22</w:t>
            </w:r>
          </w:p>
        </w:tc>
      </w:tr>
      <w:tr w:rsidR="000B1CCE" w14:paraId="7F4BAE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4E0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教师支持行为</w:t>
            </w:r>
          </w:p>
        </w:tc>
        <w:tc>
          <w:tcPr>
            <w:tcW w:w="0" w:type="auto"/>
            <w:tcBorders>
              <w:top w:val="nil"/>
              <w:left w:val="nil"/>
              <w:bottom w:val="nil"/>
              <w:right w:val="nil"/>
            </w:tcBorders>
            <w:tcMar>
              <w:top w:w="-1" w:type="dxa"/>
              <w:left w:w="-1" w:type="dxa"/>
              <w:bottom w:w="-1" w:type="dxa"/>
              <w:right w:w="-1" w:type="dxa"/>
            </w:tcMar>
            <w:vAlign w:val="center"/>
          </w:tcPr>
          <w:p w14:paraId="220314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34</w:t>
            </w:r>
          </w:p>
        </w:tc>
        <w:tc>
          <w:tcPr>
            <w:tcW w:w="3278" w:type="dxa"/>
            <w:tcBorders>
              <w:top w:val="nil"/>
              <w:left w:val="nil"/>
              <w:bottom w:val="nil"/>
              <w:right w:val="nil"/>
            </w:tcBorders>
            <w:tcMar>
              <w:top w:w="-1" w:type="dxa"/>
              <w:left w:w="-1" w:type="dxa"/>
              <w:bottom w:w="-1" w:type="dxa"/>
              <w:right w:w="-1" w:type="dxa"/>
            </w:tcMar>
            <w:vAlign w:val="center"/>
          </w:tcPr>
          <w:p w14:paraId="6B3585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15.32</w:t>
            </w:r>
          </w:p>
        </w:tc>
      </w:tr>
      <w:tr w:rsidR="000B1CCE" w14:paraId="0DD55B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7784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0" w:type="auto"/>
            <w:tcBorders>
              <w:top w:val="nil"/>
              <w:left w:val="nil"/>
              <w:bottom w:val="nil"/>
              <w:right w:val="nil"/>
            </w:tcBorders>
            <w:tcMar>
              <w:top w:w="-1" w:type="dxa"/>
              <w:left w:w="-1" w:type="dxa"/>
              <w:bottom w:w="-1" w:type="dxa"/>
              <w:right w:w="-1" w:type="dxa"/>
            </w:tcMar>
            <w:vAlign w:val="center"/>
          </w:tcPr>
          <w:p w14:paraId="2524C6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3278" w:type="dxa"/>
            <w:tcBorders>
              <w:top w:val="nil"/>
              <w:left w:val="nil"/>
              <w:bottom w:val="nil"/>
              <w:right w:val="nil"/>
            </w:tcBorders>
            <w:tcMar>
              <w:top w:w="-1" w:type="dxa"/>
              <w:left w:w="-1" w:type="dxa"/>
              <w:bottom w:w="-1" w:type="dxa"/>
              <w:right w:w="-1" w:type="dxa"/>
            </w:tcMar>
            <w:vAlign w:val="center"/>
          </w:tcPr>
          <w:p w14:paraId="0EEF4F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13.06</w:t>
            </w:r>
          </w:p>
        </w:tc>
      </w:tr>
      <w:tr w:rsidR="000B1CCE" w14:paraId="0E890E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127A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0" w:type="auto"/>
            <w:tcBorders>
              <w:top w:val="nil"/>
              <w:left w:val="nil"/>
              <w:bottom w:val="nil"/>
              <w:right w:val="nil"/>
            </w:tcBorders>
            <w:tcMar>
              <w:top w:w="-1" w:type="dxa"/>
              <w:left w:w="-1" w:type="dxa"/>
              <w:bottom w:w="-1" w:type="dxa"/>
              <w:right w:w="-1" w:type="dxa"/>
            </w:tcMar>
            <w:vAlign w:val="center"/>
          </w:tcPr>
          <w:p w14:paraId="58E7FC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3278" w:type="dxa"/>
            <w:tcBorders>
              <w:top w:val="nil"/>
              <w:left w:val="nil"/>
              <w:bottom w:val="nil"/>
              <w:right w:val="nil"/>
            </w:tcBorders>
            <w:tcMar>
              <w:top w:w="-1" w:type="dxa"/>
              <w:left w:w="-1" w:type="dxa"/>
              <w:bottom w:w="-1" w:type="dxa"/>
              <w:right w:w="-1" w:type="dxa"/>
            </w:tcMar>
            <w:vAlign w:val="center"/>
          </w:tcPr>
          <w:p w14:paraId="56E0F0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12.16</w:t>
            </w:r>
          </w:p>
        </w:tc>
      </w:tr>
      <w:tr w:rsidR="000B1CCE" w14:paraId="75B32D1B" w14:textId="77777777">
        <w:trPr>
          <w:jc w:val="center"/>
        </w:trPr>
        <w:tc>
          <w:tcPr>
            <w:tcW w:w="3277" w:type="dxa"/>
            <w:tcBorders>
              <w:top w:val="nil"/>
              <w:left w:val="nil"/>
              <w:bottom w:val="single" w:sz="12" w:space="0" w:color="000000"/>
              <w:right w:val="nil"/>
            </w:tcBorders>
            <w:tcMar>
              <w:top w:w="-1" w:type="dxa"/>
              <w:left w:w="-1" w:type="dxa"/>
              <w:bottom w:w="-1" w:type="dxa"/>
              <w:right w:w="-1" w:type="dxa"/>
            </w:tcMar>
            <w:vAlign w:val="center"/>
          </w:tcPr>
          <w:p w14:paraId="3AEBAA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差异化</w:t>
            </w:r>
            <w:r>
              <w:rPr>
                <w:rFonts w:ascii="Times New Roman" w:eastAsia="宋体" w:hAnsi="Times New Roman" w:cs="Times New Roman"/>
                <w:szCs w:val="21"/>
              </w:rPr>
              <w:t>/</w:t>
            </w:r>
            <w:r>
              <w:rPr>
                <w:rFonts w:ascii="Times New Roman" w:eastAsia="宋体" w:hAnsi="Times New Roman" w:cs="Times New Roman"/>
                <w:szCs w:val="21"/>
              </w:rPr>
              <w:t>分层支持</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7E0979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p>
        </w:tc>
        <w:tc>
          <w:tcPr>
            <w:tcW w:w="3278" w:type="dxa"/>
            <w:tcBorders>
              <w:top w:val="nil"/>
              <w:left w:val="nil"/>
              <w:bottom w:val="single" w:sz="12" w:space="0" w:color="000000"/>
              <w:right w:val="nil"/>
            </w:tcBorders>
            <w:tcMar>
              <w:top w:w="-1" w:type="dxa"/>
              <w:left w:w="-1" w:type="dxa"/>
              <w:bottom w:w="-1" w:type="dxa"/>
              <w:right w:w="-1" w:type="dxa"/>
            </w:tcMar>
            <w:vAlign w:val="center"/>
          </w:tcPr>
          <w:p w14:paraId="4C9470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6.76</w:t>
            </w:r>
          </w:p>
        </w:tc>
      </w:tr>
    </w:tbl>
    <w:p w14:paraId="75D64E9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七类主题共形成</w:t>
      </w:r>
      <w:r>
        <w:rPr>
          <w:rFonts w:ascii="Times New Roman" w:eastAsia="宋体" w:hAnsi="Times New Roman" w:cs="Times New Roman"/>
          <w:sz w:val="24"/>
        </w:rPr>
        <w:t>222</w:t>
      </w:r>
      <w:r>
        <w:rPr>
          <w:rFonts w:ascii="Times New Roman" w:eastAsia="宋体" w:hAnsi="Times New Roman" w:cs="Times New Roman"/>
          <w:sz w:val="24"/>
        </w:rPr>
        <w:t>个编码条次。其中，可见学习设计、高阶思维培养、学习参与与合作、教师支持行为四类合计</w:t>
      </w:r>
      <w:r>
        <w:rPr>
          <w:rFonts w:ascii="Times New Roman" w:eastAsia="宋体" w:hAnsi="Times New Roman" w:cs="Times New Roman"/>
          <w:sz w:val="24"/>
        </w:rPr>
        <w:t>151</w:t>
      </w:r>
      <w:r>
        <w:rPr>
          <w:rFonts w:ascii="Times New Roman" w:eastAsia="宋体" w:hAnsi="Times New Roman" w:cs="Times New Roman"/>
          <w:sz w:val="24"/>
        </w:rPr>
        <w:t>次，占</w:t>
      </w:r>
      <w:r>
        <w:rPr>
          <w:rFonts w:ascii="Times New Roman" w:eastAsia="宋体" w:hAnsi="Times New Roman" w:cs="Times New Roman"/>
          <w:sz w:val="24"/>
        </w:rPr>
        <w:t>68.02%</w:t>
      </w:r>
      <w:r>
        <w:rPr>
          <w:rFonts w:ascii="Times New Roman" w:eastAsia="宋体" w:hAnsi="Times New Roman" w:cs="Times New Roman"/>
          <w:sz w:val="24"/>
        </w:rPr>
        <w:t>。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39927C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课堂互动改进和形成性评价反馈分别出现</w:t>
      </w:r>
      <w:r>
        <w:rPr>
          <w:rFonts w:ascii="Times New Roman" w:eastAsia="宋体" w:hAnsi="Times New Roman" w:cs="Times New Roman"/>
          <w:sz w:val="24"/>
        </w:rPr>
        <w:t>29</w:t>
      </w:r>
      <w:r>
        <w:rPr>
          <w:rFonts w:ascii="Times New Roman" w:eastAsia="宋体" w:hAnsi="Times New Roman" w:cs="Times New Roman"/>
          <w:sz w:val="24"/>
        </w:rPr>
        <w:t>次和</w:t>
      </w:r>
      <w:r>
        <w:rPr>
          <w:rFonts w:ascii="Times New Roman" w:eastAsia="宋体" w:hAnsi="Times New Roman" w:cs="Times New Roman"/>
          <w:sz w:val="24"/>
        </w:rPr>
        <w:t>27</w:t>
      </w:r>
      <w:r>
        <w:rPr>
          <w:rFonts w:ascii="Times New Roman" w:eastAsia="宋体" w:hAnsi="Times New Roman" w:cs="Times New Roman"/>
          <w:sz w:val="24"/>
        </w:rPr>
        <w:t>次。这两类编码同时包含肯定性意见和改进建议。更准确的解释是互动与反馈已经成为教师在课堂观察中持续聚焦的关键环节。差异化</w:t>
      </w:r>
      <w:r>
        <w:rPr>
          <w:rFonts w:ascii="Times New Roman" w:eastAsia="宋体" w:hAnsi="Times New Roman" w:cs="Times New Roman"/>
          <w:sz w:val="24"/>
        </w:rPr>
        <w:t>/</w:t>
      </w:r>
      <w:r>
        <w:rPr>
          <w:rFonts w:ascii="Times New Roman" w:eastAsia="宋体" w:hAnsi="Times New Roman" w:cs="Times New Roman"/>
          <w:sz w:val="24"/>
        </w:rPr>
        <w:t>分层支持出现</w:t>
      </w:r>
      <w:r>
        <w:rPr>
          <w:rFonts w:ascii="Times New Roman" w:eastAsia="宋体" w:hAnsi="Times New Roman" w:cs="Times New Roman"/>
          <w:sz w:val="24"/>
        </w:rPr>
        <w:t>15</w:t>
      </w:r>
      <w:r>
        <w:rPr>
          <w:rFonts w:ascii="Times New Roman" w:eastAsia="宋体" w:hAnsi="Times New Roman" w:cs="Times New Roman"/>
          <w:sz w:val="24"/>
        </w:rPr>
        <w:t>次，频次相对较低，但它提示我们的课堂观察开始从全班是否学得好进一步走向不同学生是否都获得合适支持。</w:t>
      </w:r>
    </w:p>
    <w:p w14:paraId="43BC65F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）量化结果与评语的互证</w:t>
      </w:r>
    </w:p>
    <w:p w14:paraId="2DA1BF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量化评分回答的是哪些维度高、哪些维度低、差异有多大，那么开放评语更接近回答这些差异在课堂里具体表现为什么。因此，本研究将两类资料进行内部互证，不追求机械对应，而考察它们是否共同指向相似的课堂结构。</w:t>
      </w:r>
    </w:p>
    <w:p w14:paraId="314BD9B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3-75  </w:t>
      </w:r>
      <w:r>
        <w:rPr>
          <w:rFonts w:ascii="Times New Roman" w:eastAsia="黑体" w:hAnsi="Times New Roman" w:cs="Times New Roman"/>
        </w:rPr>
        <w:t>五维量化结构与开放文本的对应分析</w:t>
      </w:r>
    </w:p>
    <w:tbl>
      <w:tblPr>
        <w:tblW w:w="876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21A08308" w14:textId="77777777">
        <w:trPr>
          <w:tblHeader/>
          <w:jc w:val="center"/>
        </w:trPr>
        <w:tc>
          <w:tcPr>
            <w:tcW w:w="15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5EBD7F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量化维度</w:t>
            </w:r>
          </w:p>
        </w:tc>
        <w:tc>
          <w:tcPr>
            <w:tcW w:w="13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C8BEB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量化证据</w:t>
            </w:r>
          </w:p>
        </w:tc>
        <w:tc>
          <w:tcPr>
            <w:tcW w:w="19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749AE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相关文本主题</w:t>
            </w:r>
          </w:p>
        </w:tc>
        <w:tc>
          <w:tcPr>
            <w:tcW w:w="10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BA2DE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文本频次</w:t>
            </w:r>
          </w:p>
        </w:tc>
        <w:tc>
          <w:tcPr>
            <w:tcW w:w="28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8049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综合解释</w:t>
            </w:r>
          </w:p>
        </w:tc>
      </w:tr>
      <w:tr w:rsidR="000B1CCE" w14:paraId="6BDE4BD9"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25CF88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1320" w:type="dxa"/>
            <w:tcBorders>
              <w:top w:val="nil"/>
              <w:left w:val="nil"/>
              <w:bottom w:val="nil"/>
              <w:right w:val="nil"/>
            </w:tcBorders>
            <w:tcMar>
              <w:top w:w="-1" w:type="dxa"/>
              <w:left w:w="-1" w:type="dxa"/>
              <w:bottom w:w="-1" w:type="dxa"/>
              <w:right w:w="-1" w:type="dxa"/>
            </w:tcMar>
            <w:vAlign w:val="center"/>
          </w:tcPr>
          <w:p w14:paraId="25B077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M=18.96</w:t>
            </w:r>
            <w:r>
              <w:rPr>
                <w:rFonts w:ascii="Times New Roman" w:eastAsia="宋体" w:hAnsi="Times New Roman" w:cs="Times New Roman"/>
                <w:szCs w:val="21"/>
              </w:rPr>
              <w:t>；</w:t>
            </w:r>
            <w:r>
              <w:rPr>
                <w:rFonts w:ascii="Times New Roman" w:eastAsia="宋体" w:hAnsi="Times New Roman" w:cs="Times New Roman"/>
                <w:szCs w:val="21"/>
              </w:rPr>
              <w:t>CV=6.09%</w:t>
            </w:r>
          </w:p>
        </w:tc>
        <w:tc>
          <w:tcPr>
            <w:tcW w:w="1920" w:type="dxa"/>
            <w:tcBorders>
              <w:top w:val="nil"/>
              <w:left w:val="nil"/>
              <w:bottom w:val="nil"/>
              <w:right w:val="nil"/>
            </w:tcBorders>
            <w:tcMar>
              <w:top w:w="-1" w:type="dxa"/>
              <w:left w:w="-1" w:type="dxa"/>
              <w:bottom w:w="-1" w:type="dxa"/>
              <w:right w:w="-1" w:type="dxa"/>
            </w:tcMar>
            <w:vAlign w:val="center"/>
          </w:tcPr>
          <w:p w14:paraId="7DDC26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学习参与与合作；教师支持行为</w:t>
            </w:r>
          </w:p>
        </w:tc>
        <w:tc>
          <w:tcPr>
            <w:tcW w:w="1083" w:type="dxa"/>
            <w:tcBorders>
              <w:top w:val="nil"/>
              <w:left w:val="nil"/>
              <w:bottom w:val="nil"/>
              <w:right w:val="nil"/>
            </w:tcBorders>
            <w:tcMar>
              <w:top w:w="-1" w:type="dxa"/>
              <w:left w:w="-1" w:type="dxa"/>
              <w:bottom w:w="-1" w:type="dxa"/>
              <w:right w:w="-1" w:type="dxa"/>
            </w:tcMar>
            <w:vAlign w:val="center"/>
          </w:tcPr>
          <w:p w14:paraId="01C74C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36+34</w:t>
            </w:r>
          </w:p>
        </w:tc>
        <w:tc>
          <w:tcPr>
            <w:tcW w:w="2880" w:type="dxa"/>
            <w:tcBorders>
              <w:top w:val="nil"/>
              <w:left w:val="nil"/>
              <w:bottom w:val="nil"/>
              <w:right w:val="nil"/>
            </w:tcBorders>
            <w:tcMar>
              <w:top w:w="-1" w:type="dxa"/>
              <w:left w:w="-1" w:type="dxa"/>
              <w:bottom w:w="-1" w:type="dxa"/>
              <w:right w:w="-1" w:type="dxa"/>
            </w:tcMar>
            <w:vAlign w:val="center"/>
          </w:tcPr>
          <w:p w14:paraId="55C7C5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均值高且稳定，文本中支持、合作类观察亦较集中</w:t>
            </w:r>
          </w:p>
        </w:tc>
      </w:tr>
      <w:tr w:rsidR="000B1CCE" w14:paraId="1003533A"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A10BE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1320" w:type="dxa"/>
            <w:tcBorders>
              <w:top w:val="nil"/>
              <w:left w:val="nil"/>
              <w:bottom w:val="nil"/>
              <w:right w:val="nil"/>
            </w:tcBorders>
            <w:tcMar>
              <w:top w:w="-1" w:type="dxa"/>
              <w:left w:w="-1" w:type="dxa"/>
              <w:bottom w:w="-1" w:type="dxa"/>
              <w:right w:w="-1" w:type="dxa"/>
            </w:tcMar>
            <w:vAlign w:val="center"/>
          </w:tcPr>
          <w:p w14:paraId="7F65C8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M=18.54</w:t>
            </w:r>
            <w:r>
              <w:rPr>
                <w:rFonts w:ascii="Times New Roman" w:eastAsia="宋体" w:hAnsi="Times New Roman" w:cs="Times New Roman"/>
                <w:szCs w:val="21"/>
              </w:rPr>
              <w:t>；</w:t>
            </w:r>
            <w:r>
              <w:rPr>
                <w:rFonts w:ascii="Times New Roman" w:eastAsia="宋体" w:hAnsi="Times New Roman" w:cs="Times New Roman"/>
                <w:szCs w:val="21"/>
              </w:rPr>
              <w:t>CV=7.60%</w:t>
            </w:r>
          </w:p>
        </w:tc>
        <w:tc>
          <w:tcPr>
            <w:tcW w:w="1920" w:type="dxa"/>
            <w:tcBorders>
              <w:top w:val="nil"/>
              <w:left w:val="nil"/>
              <w:bottom w:val="nil"/>
              <w:right w:val="nil"/>
            </w:tcBorders>
            <w:tcMar>
              <w:top w:w="-1" w:type="dxa"/>
              <w:left w:w="-1" w:type="dxa"/>
              <w:bottom w:w="-1" w:type="dxa"/>
              <w:right w:w="-1" w:type="dxa"/>
            </w:tcMar>
            <w:vAlign w:val="center"/>
          </w:tcPr>
          <w:p w14:paraId="7ECF17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1083" w:type="dxa"/>
            <w:tcBorders>
              <w:top w:val="nil"/>
              <w:left w:val="nil"/>
              <w:bottom w:val="nil"/>
              <w:right w:val="nil"/>
            </w:tcBorders>
            <w:tcMar>
              <w:top w:w="-1" w:type="dxa"/>
              <w:left w:w="-1" w:type="dxa"/>
              <w:bottom w:w="-1" w:type="dxa"/>
              <w:right w:w="-1" w:type="dxa"/>
            </w:tcMar>
            <w:vAlign w:val="center"/>
          </w:tcPr>
          <w:p w14:paraId="69B798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2880" w:type="dxa"/>
            <w:tcBorders>
              <w:top w:val="nil"/>
              <w:left w:val="nil"/>
              <w:bottom w:val="nil"/>
              <w:right w:val="nil"/>
            </w:tcBorders>
            <w:tcMar>
              <w:top w:w="-1" w:type="dxa"/>
              <w:left w:w="-1" w:type="dxa"/>
              <w:bottom w:w="-1" w:type="dxa"/>
              <w:right w:w="-1" w:type="dxa"/>
            </w:tcMar>
            <w:vAlign w:val="center"/>
          </w:tcPr>
          <w:p w14:paraId="4364E0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目标、任务、问题设计成为教师观察的高频内容</w:t>
            </w:r>
          </w:p>
        </w:tc>
      </w:tr>
      <w:tr w:rsidR="000B1CCE" w14:paraId="609B5DC7"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6A9C9B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1320" w:type="dxa"/>
            <w:tcBorders>
              <w:top w:val="nil"/>
              <w:left w:val="nil"/>
              <w:bottom w:val="nil"/>
              <w:right w:val="nil"/>
            </w:tcBorders>
            <w:tcMar>
              <w:top w:w="-1" w:type="dxa"/>
              <w:left w:w="-1" w:type="dxa"/>
              <w:bottom w:w="-1" w:type="dxa"/>
              <w:right w:w="-1" w:type="dxa"/>
            </w:tcMar>
            <w:vAlign w:val="center"/>
          </w:tcPr>
          <w:p w14:paraId="1503B0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M=17.93</w:t>
            </w:r>
            <w:r>
              <w:rPr>
                <w:rFonts w:ascii="Times New Roman" w:eastAsia="宋体" w:hAnsi="Times New Roman" w:cs="Times New Roman"/>
                <w:szCs w:val="21"/>
              </w:rPr>
              <w:t>；</w:t>
            </w:r>
            <w:r>
              <w:rPr>
                <w:rFonts w:ascii="Times New Roman" w:eastAsia="宋体" w:hAnsi="Times New Roman" w:cs="Times New Roman"/>
                <w:szCs w:val="21"/>
              </w:rPr>
              <w:t>CV=7.28%</w:t>
            </w:r>
          </w:p>
        </w:tc>
        <w:tc>
          <w:tcPr>
            <w:tcW w:w="1920" w:type="dxa"/>
            <w:tcBorders>
              <w:top w:val="nil"/>
              <w:left w:val="nil"/>
              <w:bottom w:val="nil"/>
              <w:right w:val="nil"/>
            </w:tcBorders>
            <w:tcMar>
              <w:top w:w="-1" w:type="dxa"/>
              <w:left w:w="-1" w:type="dxa"/>
              <w:bottom w:w="-1" w:type="dxa"/>
              <w:right w:w="-1" w:type="dxa"/>
            </w:tcMar>
            <w:vAlign w:val="center"/>
          </w:tcPr>
          <w:p w14:paraId="49882A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1083" w:type="dxa"/>
            <w:tcBorders>
              <w:top w:val="nil"/>
              <w:left w:val="nil"/>
              <w:bottom w:val="nil"/>
              <w:right w:val="nil"/>
            </w:tcBorders>
            <w:tcMar>
              <w:top w:w="-1" w:type="dxa"/>
              <w:left w:w="-1" w:type="dxa"/>
              <w:bottom w:w="-1" w:type="dxa"/>
              <w:right w:w="-1" w:type="dxa"/>
            </w:tcMar>
            <w:vAlign w:val="center"/>
          </w:tcPr>
          <w:p w14:paraId="07D7C0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2880" w:type="dxa"/>
            <w:tcBorders>
              <w:top w:val="nil"/>
              <w:left w:val="nil"/>
              <w:bottom w:val="nil"/>
              <w:right w:val="nil"/>
            </w:tcBorders>
            <w:tcMar>
              <w:top w:w="-1" w:type="dxa"/>
              <w:left w:w="-1" w:type="dxa"/>
              <w:bottom w:w="-1" w:type="dxa"/>
              <w:right w:w="-1" w:type="dxa"/>
            </w:tcMar>
            <w:vAlign w:val="center"/>
          </w:tcPr>
          <w:p w14:paraId="7AF9EA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认知活动受到较高关注，但平均水平低于前两维</w:t>
            </w:r>
          </w:p>
        </w:tc>
      </w:tr>
      <w:tr w:rsidR="000B1CCE" w14:paraId="7491F9D8"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36989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1320" w:type="dxa"/>
            <w:tcBorders>
              <w:top w:val="nil"/>
              <w:left w:val="nil"/>
              <w:bottom w:val="nil"/>
              <w:right w:val="nil"/>
            </w:tcBorders>
            <w:tcMar>
              <w:top w:w="-1" w:type="dxa"/>
              <w:left w:w="-1" w:type="dxa"/>
              <w:bottom w:w="-1" w:type="dxa"/>
              <w:right w:w="-1" w:type="dxa"/>
            </w:tcMar>
            <w:vAlign w:val="center"/>
          </w:tcPr>
          <w:p w14:paraId="42D307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M=17.74</w:t>
            </w:r>
            <w:r>
              <w:rPr>
                <w:rFonts w:ascii="Times New Roman" w:eastAsia="宋体" w:hAnsi="Times New Roman" w:cs="Times New Roman"/>
                <w:szCs w:val="21"/>
              </w:rPr>
              <w:t>；</w:t>
            </w:r>
            <w:r>
              <w:rPr>
                <w:rFonts w:ascii="Times New Roman" w:eastAsia="宋体" w:hAnsi="Times New Roman" w:cs="Times New Roman"/>
                <w:szCs w:val="21"/>
              </w:rPr>
              <w:t>CV=7.27%</w:t>
            </w:r>
          </w:p>
        </w:tc>
        <w:tc>
          <w:tcPr>
            <w:tcW w:w="1920" w:type="dxa"/>
            <w:tcBorders>
              <w:top w:val="nil"/>
              <w:left w:val="nil"/>
              <w:bottom w:val="nil"/>
              <w:right w:val="nil"/>
            </w:tcBorders>
            <w:tcMar>
              <w:top w:w="-1" w:type="dxa"/>
              <w:left w:w="-1" w:type="dxa"/>
              <w:bottom w:w="-1" w:type="dxa"/>
              <w:right w:w="-1" w:type="dxa"/>
            </w:tcMar>
            <w:vAlign w:val="center"/>
          </w:tcPr>
          <w:p w14:paraId="34D6F4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1083" w:type="dxa"/>
            <w:tcBorders>
              <w:top w:val="nil"/>
              <w:left w:val="nil"/>
              <w:bottom w:val="nil"/>
              <w:right w:val="nil"/>
            </w:tcBorders>
            <w:tcMar>
              <w:top w:w="-1" w:type="dxa"/>
              <w:left w:w="-1" w:type="dxa"/>
              <w:bottom w:w="-1" w:type="dxa"/>
              <w:right w:w="-1" w:type="dxa"/>
            </w:tcMar>
            <w:vAlign w:val="center"/>
          </w:tcPr>
          <w:p w14:paraId="3572EC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2880" w:type="dxa"/>
            <w:tcBorders>
              <w:top w:val="nil"/>
              <w:left w:val="nil"/>
              <w:bottom w:val="nil"/>
              <w:right w:val="nil"/>
            </w:tcBorders>
            <w:tcMar>
              <w:top w:w="-1" w:type="dxa"/>
              <w:left w:w="-1" w:type="dxa"/>
              <w:bottom w:w="-1" w:type="dxa"/>
              <w:right w:w="-1" w:type="dxa"/>
            </w:tcMar>
            <w:vAlign w:val="center"/>
          </w:tcPr>
          <w:p w14:paraId="14F420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量化位置偏后，文本持续关注互动质量与参与方式</w:t>
            </w:r>
          </w:p>
        </w:tc>
      </w:tr>
      <w:tr w:rsidR="000B1CCE" w14:paraId="63828790" w14:textId="77777777">
        <w:trPr>
          <w:jc w:val="center"/>
        </w:trPr>
        <w:tc>
          <w:tcPr>
            <w:tcW w:w="1560" w:type="dxa"/>
            <w:tcBorders>
              <w:top w:val="nil"/>
              <w:left w:val="nil"/>
              <w:bottom w:val="single" w:sz="12" w:space="0" w:color="000000"/>
              <w:right w:val="nil"/>
            </w:tcBorders>
            <w:tcMar>
              <w:top w:w="-1" w:type="dxa"/>
              <w:left w:w="-1" w:type="dxa"/>
              <w:bottom w:w="-1" w:type="dxa"/>
              <w:right w:w="-1" w:type="dxa"/>
            </w:tcMar>
            <w:vAlign w:val="center"/>
          </w:tcPr>
          <w:p w14:paraId="1F2AC2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320" w:type="dxa"/>
            <w:tcBorders>
              <w:top w:val="nil"/>
              <w:left w:val="nil"/>
              <w:bottom w:val="single" w:sz="12" w:space="0" w:color="000000"/>
              <w:right w:val="nil"/>
            </w:tcBorders>
            <w:tcMar>
              <w:top w:w="-1" w:type="dxa"/>
              <w:left w:w="-1" w:type="dxa"/>
              <w:bottom w:w="-1" w:type="dxa"/>
              <w:right w:w="-1" w:type="dxa"/>
            </w:tcMar>
            <w:vAlign w:val="center"/>
          </w:tcPr>
          <w:p w14:paraId="46835C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M=17.67</w:t>
            </w:r>
            <w:r>
              <w:rPr>
                <w:rFonts w:ascii="Times New Roman" w:eastAsia="宋体" w:hAnsi="Times New Roman" w:cs="Times New Roman"/>
                <w:szCs w:val="21"/>
              </w:rPr>
              <w:t>；</w:t>
            </w:r>
            <w:r>
              <w:rPr>
                <w:rFonts w:ascii="Times New Roman" w:eastAsia="宋体" w:hAnsi="Times New Roman" w:cs="Times New Roman"/>
                <w:szCs w:val="21"/>
              </w:rPr>
              <w:t>CV=8.09%</w:t>
            </w:r>
          </w:p>
        </w:tc>
        <w:tc>
          <w:tcPr>
            <w:tcW w:w="1920" w:type="dxa"/>
            <w:tcBorders>
              <w:top w:val="nil"/>
              <w:left w:val="nil"/>
              <w:bottom w:val="single" w:sz="12" w:space="0" w:color="000000"/>
              <w:right w:val="nil"/>
            </w:tcBorders>
            <w:tcMar>
              <w:top w:w="-1" w:type="dxa"/>
              <w:left w:w="-1" w:type="dxa"/>
              <w:bottom w:w="-1" w:type="dxa"/>
              <w:right w:w="-1" w:type="dxa"/>
            </w:tcMar>
            <w:vAlign w:val="center"/>
          </w:tcPr>
          <w:p w14:paraId="3874F3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1083" w:type="dxa"/>
            <w:tcBorders>
              <w:top w:val="nil"/>
              <w:left w:val="nil"/>
              <w:bottom w:val="single" w:sz="12" w:space="0" w:color="000000"/>
              <w:right w:val="nil"/>
            </w:tcBorders>
            <w:tcMar>
              <w:top w:w="-1" w:type="dxa"/>
              <w:left w:w="-1" w:type="dxa"/>
              <w:bottom w:w="-1" w:type="dxa"/>
              <w:right w:w="-1" w:type="dxa"/>
            </w:tcMar>
            <w:vAlign w:val="center"/>
          </w:tcPr>
          <w:p w14:paraId="79A5FA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2880" w:type="dxa"/>
            <w:tcBorders>
              <w:top w:val="nil"/>
              <w:left w:val="nil"/>
              <w:bottom w:val="single" w:sz="12" w:space="0" w:color="000000"/>
              <w:right w:val="nil"/>
            </w:tcBorders>
            <w:tcMar>
              <w:top w:w="-1" w:type="dxa"/>
              <w:left w:w="-1" w:type="dxa"/>
              <w:bottom w:w="-1" w:type="dxa"/>
              <w:right w:w="-1" w:type="dxa"/>
            </w:tcMar>
            <w:vAlign w:val="center"/>
          </w:tcPr>
          <w:p w14:paraId="6F852F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均值最低、波动最大，文本中评价反馈亦反复出现</w:t>
            </w:r>
          </w:p>
        </w:tc>
      </w:tr>
    </w:tbl>
    <w:p w14:paraId="2197946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这种对应关系在数据中是比较清晰的。社会情感支持既是五维中均值最高的维度，也是</w:t>
      </w:r>
      <w:r>
        <w:rPr>
          <w:rFonts w:ascii="Times New Roman" w:eastAsia="宋体" w:hAnsi="Times New Roman" w:cs="Times New Roman"/>
          <w:sz w:val="24"/>
        </w:rPr>
        <w:t>CV</w:t>
      </w:r>
      <w:r>
        <w:rPr>
          <w:rFonts w:ascii="Times New Roman" w:eastAsia="宋体" w:hAnsi="Times New Roman" w:cs="Times New Roman"/>
          <w:sz w:val="24"/>
        </w:rPr>
        <w:t>最低的维度；与此同时，学习参与与合作和教师支持行为共出现</w:t>
      </w:r>
      <w:r>
        <w:rPr>
          <w:rFonts w:ascii="Times New Roman" w:eastAsia="宋体" w:hAnsi="Times New Roman" w:cs="Times New Roman"/>
          <w:sz w:val="24"/>
        </w:rPr>
        <w:t>70</w:t>
      </w:r>
      <w:r>
        <w:rPr>
          <w:rFonts w:ascii="Times New Roman" w:eastAsia="宋体" w:hAnsi="Times New Roman" w:cs="Times New Roman"/>
          <w:sz w:val="24"/>
        </w:rPr>
        <w:t>次。也就是说，教师不仅在分数上认可课堂的支持性关系和合作氛围，在文字评语中也反复记录到这类现象。学科内容建构得分率达到</w:t>
      </w:r>
      <w:r>
        <w:rPr>
          <w:rFonts w:ascii="Times New Roman" w:eastAsia="宋体" w:hAnsi="Times New Roman" w:cs="Times New Roman"/>
          <w:sz w:val="24"/>
        </w:rPr>
        <w:t>92.72%</w:t>
      </w:r>
      <w:r>
        <w:rPr>
          <w:rFonts w:ascii="Times New Roman" w:eastAsia="宋体" w:hAnsi="Times New Roman" w:cs="Times New Roman"/>
          <w:sz w:val="24"/>
        </w:rPr>
        <w:t>，而可见学习设计以</w:t>
      </w:r>
      <w:r>
        <w:rPr>
          <w:rFonts w:ascii="Times New Roman" w:eastAsia="宋体" w:hAnsi="Times New Roman" w:cs="Times New Roman"/>
          <w:sz w:val="24"/>
        </w:rPr>
        <w:t>42</w:t>
      </w:r>
      <w:r>
        <w:rPr>
          <w:rFonts w:ascii="Times New Roman" w:eastAsia="宋体" w:hAnsi="Times New Roman" w:cs="Times New Roman"/>
          <w:sz w:val="24"/>
        </w:rPr>
        <w:t>次成为最高频单一主题，说明目标、任务、问题与学科内容组织已经成为教师专业观察中较稳定的关注点。</w:t>
      </w:r>
    </w:p>
    <w:p w14:paraId="4F25EF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更值得关注的是后三个维度。认知参与、课堂互动和形成性评价在均值上处于相对接近的一组，</w:t>
      </w:r>
      <w:r>
        <w:rPr>
          <w:rFonts w:ascii="Times New Roman" w:eastAsia="宋体" w:hAnsi="Times New Roman" w:cs="Times New Roman"/>
          <w:sz w:val="24"/>
        </w:rPr>
        <w:t>Friedman</w:t>
      </w:r>
      <w:r>
        <w:rPr>
          <w:rFonts w:ascii="Times New Roman" w:eastAsia="宋体" w:hAnsi="Times New Roman" w:cs="Times New Roman"/>
          <w:sz w:val="24"/>
        </w:rPr>
        <w:t>后的两两比较也表明三者之间多数差异并不显著。开放文本中，高阶思维培养</w:t>
      </w:r>
      <w:r>
        <w:rPr>
          <w:rFonts w:ascii="Times New Roman" w:eastAsia="宋体" w:hAnsi="Times New Roman" w:cs="Times New Roman"/>
          <w:sz w:val="24"/>
        </w:rPr>
        <w:t>39</w:t>
      </w:r>
      <w:r>
        <w:rPr>
          <w:rFonts w:ascii="Times New Roman" w:eastAsia="宋体" w:hAnsi="Times New Roman" w:cs="Times New Roman"/>
          <w:sz w:val="24"/>
        </w:rPr>
        <w:t>次、课堂互动改进</w:t>
      </w:r>
      <w:r>
        <w:rPr>
          <w:rFonts w:ascii="Times New Roman" w:eastAsia="宋体" w:hAnsi="Times New Roman" w:cs="Times New Roman"/>
          <w:sz w:val="24"/>
        </w:rPr>
        <w:t>29</w:t>
      </w:r>
      <w:r>
        <w:rPr>
          <w:rFonts w:ascii="Times New Roman" w:eastAsia="宋体" w:hAnsi="Times New Roman" w:cs="Times New Roman"/>
          <w:sz w:val="24"/>
        </w:rPr>
        <w:t>次、形成性评价反馈</w:t>
      </w:r>
      <w:r>
        <w:rPr>
          <w:rFonts w:ascii="Times New Roman" w:eastAsia="宋体" w:hAnsi="Times New Roman" w:cs="Times New Roman"/>
          <w:sz w:val="24"/>
        </w:rPr>
        <w:t>27</w:t>
      </w:r>
      <w:r>
        <w:rPr>
          <w:rFonts w:ascii="Times New Roman" w:eastAsia="宋体" w:hAnsi="Times New Roman" w:cs="Times New Roman"/>
          <w:sz w:val="24"/>
        </w:rPr>
        <w:t>次，说明教师持续在观察学生是否真正思考、互动是否有学习价值、反馈能否推动下一步学习。尤其形成性评价与反馈，虽然均值最低，却与其余四维总分的校正相关最高（</w:t>
      </w:r>
      <w:r>
        <w:rPr>
          <w:rFonts w:ascii="Times New Roman" w:eastAsia="宋体" w:hAnsi="Times New Roman" w:cs="Times New Roman"/>
          <w:sz w:val="24"/>
        </w:rPr>
        <w:t>r=0.647</w:t>
      </w:r>
      <w:r>
        <w:rPr>
          <w:rFonts w:ascii="Times New Roman" w:eastAsia="宋体" w:hAnsi="Times New Roman" w:cs="Times New Roman"/>
          <w:sz w:val="24"/>
        </w:rPr>
        <w:t>），删除该维度后总体</w:t>
      </w:r>
      <w:r>
        <w:rPr>
          <w:rFonts w:ascii="Times New Roman" w:eastAsia="宋体" w:hAnsi="Times New Roman" w:cs="Times New Roman"/>
          <w:sz w:val="24"/>
        </w:rPr>
        <w:t>α</w:t>
      </w:r>
      <w:r>
        <w:rPr>
          <w:rFonts w:ascii="Times New Roman" w:eastAsia="宋体" w:hAnsi="Times New Roman" w:cs="Times New Roman"/>
          <w:sz w:val="24"/>
        </w:rPr>
        <w:t>下降幅度也最大。</w:t>
      </w:r>
      <w:r>
        <w:rPr>
          <w:rFonts w:ascii="Times New Roman" w:eastAsia="宋体" w:hAnsi="Times New Roman" w:cs="Times New Roman"/>
          <w:b/>
          <w:sz w:val="24"/>
        </w:rPr>
        <w:t>由此看，形成性评价</w:t>
      </w:r>
      <w:r>
        <w:rPr>
          <w:rFonts w:ascii="Times New Roman" w:eastAsia="宋体" w:hAnsi="Times New Roman" w:cs="Times New Roman"/>
          <w:b/>
          <w:sz w:val="24"/>
        </w:rPr>
        <w:lastRenderedPageBreak/>
        <w:t>是连接目标、任务、学习证据和课堂改进的重要枢纽。</w:t>
      </w:r>
    </w:p>
    <w:p w14:paraId="7D6C07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研究的角度看，五维评课真正有价值的地方，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p>
    <w:p w14:paraId="34701B2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szCs w:val="28"/>
        </w:rPr>
        <w:t>5.</w:t>
      </w:r>
      <w:r>
        <w:rPr>
          <w:rFonts w:ascii="Times New Roman" w:eastAsia="黑体" w:hAnsi="Times New Roman" w:cs="Times New Roman"/>
          <w:b/>
          <w:sz w:val="24"/>
          <w:szCs w:val="28"/>
        </w:rPr>
        <w:t>希沃</w:t>
      </w:r>
      <w:r>
        <w:rPr>
          <w:rFonts w:ascii="Times New Roman" w:eastAsia="黑体" w:hAnsi="Times New Roman" w:cs="Times New Roman"/>
          <w:b/>
          <w:sz w:val="24"/>
          <w:szCs w:val="28"/>
        </w:rPr>
        <w:t>AI</w:t>
      </w:r>
      <w:r>
        <w:rPr>
          <w:rFonts w:ascii="Times New Roman" w:eastAsia="黑体" w:hAnsi="Times New Roman" w:cs="Times New Roman"/>
          <w:b/>
          <w:sz w:val="24"/>
          <w:szCs w:val="28"/>
        </w:rPr>
        <w:t>评课的课堂实施分析</w:t>
      </w:r>
    </w:p>
    <w:p w14:paraId="4BCF2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为客观呈现课题课堂实施的实际状态，本研究以希沃</w:t>
      </w:r>
      <w:r>
        <w:rPr>
          <w:rFonts w:ascii="Times New Roman" w:eastAsia="宋体" w:hAnsi="Times New Roman" w:cs="Times New Roman"/>
          <w:sz w:val="24"/>
        </w:rPr>
        <w:t>AI</w:t>
      </w:r>
      <w:r>
        <w:rPr>
          <w:rFonts w:ascii="Times New Roman" w:eastAsia="宋体" w:hAnsi="Times New Roman" w:cs="Times New Roman"/>
          <w:sz w:val="24"/>
        </w:rPr>
        <w:t>课堂智能反馈报告为主要数据来源，对</w:t>
      </w:r>
      <w:r>
        <w:rPr>
          <w:rFonts w:ascii="Times New Roman" w:eastAsia="宋体" w:hAnsi="Times New Roman" w:cs="Times New Roman"/>
          <w:sz w:val="24"/>
        </w:rPr>
        <w:t>10</w:t>
      </w:r>
      <w:r>
        <w:rPr>
          <w:rFonts w:ascii="Times New Roman" w:eastAsia="宋体" w:hAnsi="Times New Roman" w:cs="Times New Roman"/>
          <w:sz w:val="24"/>
        </w:rPr>
        <w:t>节典型课例的课堂行为结构、学生学习行为及师生互动情况进行描述统计；同时，对其中具有完整提问认知层级记录的</w:t>
      </w:r>
      <w:r>
        <w:rPr>
          <w:rFonts w:ascii="Times New Roman" w:eastAsia="宋体" w:hAnsi="Times New Roman" w:cs="Times New Roman"/>
          <w:sz w:val="24"/>
        </w:rPr>
        <w:t>6</w:t>
      </w:r>
      <w:r>
        <w:rPr>
          <w:rFonts w:ascii="Times New Roman" w:eastAsia="宋体" w:hAnsi="Times New Roman" w:cs="Times New Roman"/>
          <w:sz w:val="24"/>
        </w:rPr>
        <w:t>节课进行认知层级分析，并结合希沃</w:t>
      </w:r>
      <w:r>
        <w:rPr>
          <w:rFonts w:ascii="Times New Roman" w:eastAsia="宋体" w:hAnsi="Times New Roman" w:cs="Times New Roman"/>
          <w:sz w:val="24"/>
        </w:rPr>
        <w:t>AI</w:t>
      </w:r>
      <w:r>
        <w:rPr>
          <w:rFonts w:ascii="Times New Roman" w:eastAsia="宋体" w:hAnsi="Times New Roman" w:cs="Times New Roman"/>
          <w:sz w:val="24"/>
        </w:rPr>
        <w:t>原始反馈文本进行质性编码。分析坚持原始报告优先、缺失不推算、研究者计算指标单独说明的原则，重点回答课堂实施过程中发生了什么、以何种结构发生，不以</w:t>
      </w:r>
      <w:r>
        <w:rPr>
          <w:rFonts w:ascii="Times New Roman" w:eastAsia="宋体" w:hAnsi="Times New Roman" w:cs="Times New Roman"/>
          <w:sz w:val="24"/>
        </w:rPr>
        <w:t>AI</w:t>
      </w:r>
      <w:r>
        <w:rPr>
          <w:rFonts w:ascii="Times New Roman" w:eastAsia="宋体" w:hAnsi="Times New Roman" w:cs="Times New Roman"/>
          <w:sz w:val="24"/>
        </w:rPr>
        <w:t>行为数据直接替代学生高阶能力的结果性测量。</w:t>
      </w:r>
    </w:p>
    <w:p w14:paraId="6478E4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在数据口径上，教师行为占比、学生行为占比及课堂行为时间采用已补充并与希沃报告核对的</w:t>
      </w:r>
      <w:r>
        <w:rPr>
          <w:rFonts w:ascii="Times New Roman" w:eastAsia="宋体" w:hAnsi="Times New Roman" w:cs="Times New Roman"/>
          <w:sz w:val="24"/>
        </w:rPr>
        <w:t>10</w:t>
      </w:r>
      <w:r>
        <w:rPr>
          <w:rFonts w:ascii="Times New Roman" w:eastAsia="宋体" w:hAnsi="Times New Roman" w:cs="Times New Roman"/>
          <w:sz w:val="24"/>
        </w:rPr>
        <w:t>节课数据；提问认知层级目前有</w:t>
      </w:r>
      <w:r>
        <w:rPr>
          <w:rFonts w:ascii="Times New Roman" w:eastAsia="宋体" w:hAnsi="Times New Roman" w:cs="Times New Roman"/>
          <w:sz w:val="24"/>
        </w:rPr>
        <w:t>6</w:t>
      </w:r>
      <w:r>
        <w:rPr>
          <w:rFonts w:ascii="Times New Roman" w:eastAsia="宋体" w:hAnsi="Times New Roman" w:cs="Times New Roman"/>
          <w:sz w:val="24"/>
        </w:rPr>
        <w:t>节课具备完整记录，因此相关统计以</w:t>
      </w:r>
      <w:r>
        <w:rPr>
          <w:rFonts w:ascii="Times New Roman" w:eastAsia="宋体" w:hAnsi="Times New Roman" w:cs="Times New Roman"/>
          <w:sz w:val="24"/>
        </w:rPr>
        <w:t>n=6</w:t>
      </w:r>
      <w:r>
        <w:rPr>
          <w:rFonts w:ascii="Times New Roman" w:eastAsia="宋体" w:hAnsi="Times New Roman" w:cs="Times New Roman"/>
          <w:sz w:val="24"/>
        </w:rPr>
        <w:t>为分析样本。高阶认知问题比例由本研究依据分析型</w:t>
      </w:r>
      <w:r>
        <w:rPr>
          <w:rFonts w:ascii="Times New Roman" w:eastAsia="宋体" w:hAnsi="Times New Roman" w:cs="Times New Roman"/>
          <w:sz w:val="24"/>
        </w:rPr>
        <w:t>+</w:t>
      </w:r>
      <w:r>
        <w:rPr>
          <w:rFonts w:ascii="Times New Roman" w:eastAsia="宋体" w:hAnsi="Times New Roman" w:cs="Times New Roman"/>
          <w:sz w:val="24"/>
        </w:rPr>
        <w:t>评价型</w:t>
      </w:r>
      <w:r>
        <w:rPr>
          <w:rFonts w:ascii="Times New Roman" w:eastAsia="宋体" w:hAnsi="Times New Roman" w:cs="Times New Roman"/>
          <w:sz w:val="24"/>
        </w:rPr>
        <w:t>+</w:t>
      </w:r>
      <w:r>
        <w:rPr>
          <w:rFonts w:ascii="Times New Roman" w:eastAsia="宋体" w:hAnsi="Times New Roman" w:cs="Times New Roman"/>
          <w:sz w:val="24"/>
        </w:rPr>
        <w:t>创造型计算，用于描述课堂问题的认知要求结构。</w:t>
      </w:r>
    </w:p>
    <w:p w14:paraId="0CD1C54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）教师教学行为</w:t>
      </w:r>
    </w:p>
    <w:p w14:paraId="668A069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3-76  10</w:t>
      </w:r>
      <w:r>
        <w:rPr>
          <w:rFonts w:ascii="Times New Roman" w:eastAsia="黑体" w:hAnsi="Times New Roman" w:cs="Times New Roman"/>
        </w:rPr>
        <w:t>节课教师与学生行为结构及教师主要行为时间</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1BAFC59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2C9C5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27761C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EE8F1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F36A7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教师讲授</w:t>
            </w:r>
          </w:p>
        </w:tc>
        <w:tc>
          <w:tcPr>
            <w:tcW w:w="162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F4881F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w:t>
            </w:r>
          </w:p>
        </w:tc>
      </w:tr>
      <w:tr w:rsidR="000B1CCE" w14:paraId="6A9D49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3CF7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AFDE5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w:t>
            </w:r>
          </w:p>
        </w:tc>
        <w:tc>
          <w:tcPr>
            <w:tcW w:w="0" w:type="auto"/>
            <w:tcBorders>
              <w:top w:val="nil"/>
              <w:left w:val="nil"/>
              <w:bottom w:val="nil"/>
              <w:right w:val="nil"/>
            </w:tcBorders>
            <w:tcMar>
              <w:top w:w="-1" w:type="dxa"/>
              <w:left w:w="-1" w:type="dxa"/>
              <w:bottom w:w="-1" w:type="dxa"/>
              <w:right w:w="-1" w:type="dxa"/>
            </w:tcMar>
            <w:vAlign w:val="center"/>
          </w:tcPr>
          <w:p w14:paraId="5961E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p>
        </w:tc>
        <w:tc>
          <w:tcPr>
            <w:tcW w:w="0" w:type="auto"/>
            <w:tcBorders>
              <w:top w:val="nil"/>
              <w:left w:val="nil"/>
              <w:bottom w:val="nil"/>
              <w:right w:val="nil"/>
            </w:tcBorders>
            <w:tcMar>
              <w:top w:w="-1" w:type="dxa"/>
              <w:left w:w="-1" w:type="dxa"/>
              <w:bottom w:w="-1" w:type="dxa"/>
              <w:right w:w="-1" w:type="dxa"/>
            </w:tcMar>
            <w:vAlign w:val="center"/>
          </w:tcPr>
          <w:p w14:paraId="1CCE05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26AA34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r>
      <w:tr w:rsidR="000B1CCE" w14:paraId="171CD21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28B3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77A2E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0" w:type="auto"/>
            <w:tcBorders>
              <w:top w:val="nil"/>
              <w:left w:val="nil"/>
              <w:bottom w:val="nil"/>
              <w:right w:val="nil"/>
            </w:tcBorders>
            <w:tcMar>
              <w:top w:w="-1" w:type="dxa"/>
              <w:left w:w="-1" w:type="dxa"/>
              <w:bottom w:w="-1" w:type="dxa"/>
              <w:right w:w="-1" w:type="dxa"/>
            </w:tcMar>
            <w:vAlign w:val="center"/>
          </w:tcPr>
          <w:p w14:paraId="355BB2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c>
          <w:tcPr>
            <w:tcW w:w="0" w:type="auto"/>
            <w:tcBorders>
              <w:top w:val="nil"/>
              <w:left w:val="nil"/>
              <w:bottom w:val="nil"/>
              <w:right w:val="nil"/>
            </w:tcBorders>
            <w:tcMar>
              <w:top w:w="-1" w:type="dxa"/>
              <w:left w:w="-1" w:type="dxa"/>
              <w:bottom w:w="-1" w:type="dxa"/>
              <w:right w:w="-1" w:type="dxa"/>
            </w:tcMar>
            <w:vAlign w:val="center"/>
          </w:tcPr>
          <w:p w14:paraId="19CD55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545F0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0FCC79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B540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F6A28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p>
        </w:tc>
        <w:tc>
          <w:tcPr>
            <w:tcW w:w="0" w:type="auto"/>
            <w:tcBorders>
              <w:top w:val="nil"/>
              <w:left w:val="nil"/>
              <w:bottom w:val="nil"/>
              <w:right w:val="nil"/>
            </w:tcBorders>
            <w:tcMar>
              <w:top w:w="-1" w:type="dxa"/>
              <w:left w:w="-1" w:type="dxa"/>
              <w:bottom w:w="-1" w:type="dxa"/>
              <w:right w:w="-1" w:type="dxa"/>
            </w:tcMar>
            <w:vAlign w:val="center"/>
          </w:tcPr>
          <w:p w14:paraId="76A184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62%</w:t>
            </w:r>
          </w:p>
        </w:tc>
        <w:tc>
          <w:tcPr>
            <w:tcW w:w="0" w:type="auto"/>
            <w:tcBorders>
              <w:top w:val="nil"/>
              <w:left w:val="nil"/>
              <w:bottom w:val="nil"/>
              <w:right w:val="nil"/>
            </w:tcBorders>
            <w:tcMar>
              <w:top w:w="-1" w:type="dxa"/>
              <w:left w:w="-1" w:type="dxa"/>
              <w:bottom w:w="-1" w:type="dxa"/>
              <w:right w:w="-1" w:type="dxa"/>
            </w:tcMar>
            <w:vAlign w:val="center"/>
          </w:tcPr>
          <w:p w14:paraId="2D57C6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44</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1B6514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r>
      <w:tr w:rsidR="000B1CCE" w14:paraId="100EA12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4EB1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FF9EB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01BD47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w:t>
            </w:r>
          </w:p>
        </w:tc>
        <w:tc>
          <w:tcPr>
            <w:tcW w:w="0" w:type="auto"/>
            <w:tcBorders>
              <w:top w:val="nil"/>
              <w:left w:val="nil"/>
              <w:bottom w:val="nil"/>
              <w:right w:val="nil"/>
            </w:tcBorders>
            <w:tcMar>
              <w:top w:w="-1" w:type="dxa"/>
              <w:left w:w="-1" w:type="dxa"/>
              <w:bottom w:w="-1" w:type="dxa"/>
              <w:right w:w="-1" w:type="dxa"/>
            </w:tcMar>
            <w:vAlign w:val="center"/>
          </w:tcPr>
          <w:p w14:paraId="5566E15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r>
              <w:rPr>
                <w:rFonts w:ascii="Times New Roman" w:eastAsia="宋体" w:hAnsi="Times New Roman" w:cs="Times New Roman"/>
                <w:szCs w:val="21"/>
              </w:rPr>
              <w:t>分</w:t>
            </w:r>
            <w:r>
              <w:rPr>
                <w:rFonts w:ascii="Times New Roman" w:eastAsia="宋体" w:hAnsi="Times New Roman" w:cs="Times New Roman"/>
                <w:szCs w:val="21"/>
              </w:rPr>
              <w:t>02</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6DEE5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r>
      <w:tr w:rsidR="000B1CCE" w14:paraId="72B89A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48E5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3A4CF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54C2D0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50BCA0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F678D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526F33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02E8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DA294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012D4D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4214D6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17</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346CF1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r>
      <w:tr w:rsidR="000B1CCE" w14:paraId="06E626B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1407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0E7E25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1878B5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69DA53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38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7BC1E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r>
      <w:tr w:rsidR="000B1CCE" w14:paraId="1B264E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66F1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643D5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236C7B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13DADD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53</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E7936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r>
      <w:tr w:rsidR="000B1CCE" w14:paraId="588AE2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929C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3E8C6C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0" w:type="auto"/>
            <w:tcBorders>
              <w:top w:val="nil"/>
              <w:left w:val="nil"/>
              <w:bottom w:val="nil"/>
              <w:right w:val="nil"/>
            </w:tcBorders>
            <w:tcMar>
              <w:top w:w="-1" w:type="dxa"/>
              <w:left w:w="-1" w:type="dxa"/>
              <w:bottom w:w="-1" w:type="dxa"/>
              <w:right w:w="-1" w:type="dxa"/>
            </w:tcMar>
            <w:vAlign w:val="center"/>
          </w:tcPr>
          <w:p w14:paraId="2C1E88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69%</w:t>
            </w:r>
          </w:p>
        </w:tc>
        <w:tc>
          <w:tcPr>
            <w:tcW w:w="0" w:type="auto"/>
            <w:tcBorders>
              <w:top w:val="nil"/>
              <w:left w:val="nil"/>
              <w:bottom w:val="nil"/>
              <w:right w:val="nil"/>
            </w:tcBorders>
            <w:tcMar>
              <w:top w:w="-1" w:type="dxa"/>
              <w:left w:w="-1" w:type="dxa"/>
              <w:bottom w:w="-1" w:type="dxa"/>
              <w:right w:w="-1" w:type="dxa"/>
            </w:tcMar>
            <w:vAlign w:val="center"/>
          </w:tcPr>
          <w:p w14:paraId="2A596A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39</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352BF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r>
      <w:tr w:rsidR="000B1CCE" w14:paraId="4CC0B992" w14:textId="77777777">
        <w:trPr>
          <w:jc w:val="center"/>
        </w:trPr>
        <w:tc>
          <w:tcPr>
            <w:tcW w:w="938" w:type="dxa"/>
            <w:tcBorders>
              <w:top w:val="nil"/>
              <w:left w:val="nil"/>
              <w:bottom w:val="single" w:sz="12" w:space="0" w:color="000000"/>
              <w:right w:val="nil"/>
            </w:tcBorders>
            <w:tcMar>
              <w:top w:w="-1" w:type="dxa"/>
              <w:left w:w="-1" w:type="dxa"/>
              <w:bottom w:w="-1" w:type="dxa"/>
              <w:right w:w="-1" w:type="dxa"/>
            </w:tcMar>
            <w:vAlign w:val="center"/>
          </w:tcPr>
          <w:p w14:paraId="6328F2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34E65F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04E6E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8CBC8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CD399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r>
    </w:tbl>
    <w:p w14:paraId="189BFD4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节课总体结构看，教师行为占比均值为</w:t>
      </w:r>
      <w:r>
        <w:rPr>
          <w:rFonts w:ascii="Times New Roman" w:eastAsia="宋体" w:hAnsi="Times New Roman" w:cs="Times New Roman"/>
          <w:sz w:val="24"/>
        </w:rPr>
        <w:t>50.2%</w:t>
      </w:r>
      <w:r>
        <w:rPr>
          <w:rFonts w:ascii="Times New Roman" w:eastAsia="宋体" w:hAnsi="Times New Roman" w:cs="Times New Roman"/>
          <w:sz w:val="24"/>
        </w:rPr>
        <w:t>，学生行为占比均值为</w:t>
      </w:r>
      <w:r>
        <w:rPr>
          <w:rFonts w:ascii="Times New Roman" w:eastAsia="宋体" w:hAnsi="Times New Roman" w:cs="Times New Roman"/>
          <w:sz w:val="24"/>
        </w:rPr>
        <w:lastRenderedPageBreak/>
        <w:t>49.8%</w:t>
      </w:r>
      <w:r>
        <w:rPr>
          <w:rFonts w:ascii="Times New Roman" w:eastAsia="宋体" w:hAnsi="Times New Roman" w:cs="Times New Roman"/>
          <w:sz w:val="24"/>
        </w:rPr>
        <w:t>，两者在总体层面基本相当。教师行为占比的中位数为</w:t>
      </w:r>
      <w:r>
        <w:rPr>
          <w:rFonts w:ascii="Times New Roman" w:eastAsia="宋体" w:hAnsi="Times New Roman" w:cs="Times New Roman"/>
          <w:sz w:val="24"/>
        </w:rPr>
        <w:t>51%</w:t>
      </w:r>
      <w:r>
        <w:rPr>
          <w:rFonts w:ascii="Times New Roman" w:eastAsia="宋体" w:hAnsi="Times New Roman" w:cs="Times New Roman"/>
          <w:sz w:val="24"/>
        </w:rPr>
        <w:t>，最低为物理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31%</w:t>
      </w:r>
      <w:r>
        <w:rPr>
          <w:rFonts w:ascii="Times New Roman" w:eastAsia="宋体" w:hAnsi="Times New Roman" w:cs="Times New Roman"/>
          <w:sz w:val="24"/>
        </w:rPr>
        <w:t>，最高为地理</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71%</w:t>
      </w:r>
      <w:r>
        <w:rPr>
          <w:rFonts w:ascii="Times New Roman" w:eastAsia="宋体" w:hAnsi="Times New Roman" w:cs="Times New Roman"/>
          <w:sz w:val="24"/>
        </w:rPr>
        <w:t>，极差为</w:t>
      </w:r>
      <w:r>
        <w:rPr>
          <w:rFonts w:ascii="Times New Roman" w:eastAsia="宋体" w:hAnsi="Times New Roman" w:cs="Times New Roman"/>
          <w:sz w:val="24"/>
        </w:rPr>
        <w:t>40</w:t>
      </w:r>
      <w:r>
        <w:rPr>
          <w:rFonts w:ascii="Times New Roman" w:eastAsia="宋体" w:hAnsi="Times New Roman" w:cs="Times New Roman"/>
          <w:sz w:val="24"/>
        </w:rPr>
        <w:t>个百分点，说明不同课例在课堂组织结构上存在较明显差异。学生行为占比则由</w:t>
      </w:r>
      <w:r>
        <w:rPr>
          <w:rFonts w:ascii="Times New Roman" w:eastAsia="宋体" w:hAnsi="Times New Roman" w:cs="Times New Roman"/>
          <w:sz w:val="24"/>
        </w:rPr>
        <w:t>29%</w:t>
      </w:r>
      <w:r>
        <w:rPr>
          <w:rFonts w:ascii="Times New Roman" w:eastAsia="宋体" w:hAnsi="Times New Roman" w:cs="Times New Roman"/>
          <w:sz w:val="24"/>
        </w:rPr>
        <w:t>至</w:t>
      </w:r>
      <w:r>
        <w:rPr>
          <w:rFonts w:ascii="Times New Roman" w:eastAsia="宋体" w:hAnsi="Times New Roman" w:cs="Times New Roman"/>
          <w:sz w:val="24"/>
        </w:rPr>
        <w:t>69%</w:t>
      </w:r>
      <w:r>
        <w:rPr>
          <w:rFonts w:ascii="Times New Roman" w:eastAsia="宋体" w:hAnsi="Times New Roman" w:cs="Times New Roman"/>
          <w:sz w:val="24"/>
        </w:rPr>
        <w:t>不等，其中语文</w:t>
      </w:r>
      <w:r>
        <w:rPr>
          <w:rFonts w:ascii="Times New Roman" w:eastAsia="宋体" w:hAnsi="Times New Roman" w:cs="Times New Roman"/>
          <w:sz w:val="24"/>
        </w:rPr>
        <w:t>2</w:t>
      </w:r>
      <w:r>
        <w:rPr>
          <w:rFonts w:ascii="Times New Roman" w:eastAsia="宋体" w:hAnsi="Times New Roman" w:cs="Times New Roman"/>
          <w:sz w:val="24"/>
        </w:rPr>
        <w:t>、数学</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和物理</w:t>
      </w:r>
      <w:r>
        <w:rPr>
          <w:rFonts w:ascii="Times New Roman" w:eastAsia="宋体" w:hAnsi="Times New Roman" w:cs="Times New Roman"/>
          <w:sz w:val="24"/>
        </w:rPr>
        <w:t>2</w:t>
      </w:r>
      <w:r>
        <w:rPr>
          <w:rFonts w:ascii="Times New Roman" w:eastAsia="宋体" w:hAnsi="Times New Roman" w:cs="Times New Roman"/>
          <w:sz w:val="24"/>
        </w:rPr>
        <w:t>四节课超过</w:t>
      </w:r>
      <w:r>
        <w:rPr>
          <w:rFonts w:ascii="Times New Roman" w:eastAsia="宋体" w:hAnsi="Times New Roman" w:cs="Times New Roman"/>
          <w:sz w:val="24"/>
        </w:rPr>
        <w:t>60%</w:t>
      </w:r>
      <w:r>
        <w:rPr>
          <w:rFonts w:ascii="Times New Roman" w:eastAsia="宋体" w:hAnsi="Times New Roman" w:cs="Times New Roman"/>
          <w:sz w:val="24"/>
        </w:rPr>
        <w:t>，英语</w:t>
      </w:r>
      <w:r>
        <w:rPr>
          <w:rFonts w:ascii="Times New Roman" w:eastAsia="宋体" w:hAnsi="Times New Roman" w:cs="Times New Roman"/>
          <w:sz w:val="24"/>
        </w:rPr>
        <w:t>2</w:t>
      </w:r>
      <w:r>
        <w:rPr>
          <w:rFonts w:ascii="Times New Roman" w:eastAsia="宋体" w:hAnsi="Times New Roman" w:cs="Times New Roman"/>
          <w:sz w:val="24"/>
        </w:rPr>
        <w:t>、英语</w:t>
      </w:r>
      <w:r>
        <w:rPr>
          <w:rFonts w:ascii="Times New Roman" w:eastAsia="宋体" w:hAnsi="Times New Roman" w:cs="Times New Roman"/>
          <w:sz w:val="24"/>
        </w:rPr>
        <w:t>3</w:t>
      </w:r>
      <w:r>
        <w:rPr>
          <w:rFonts w:ascii="Times New Roman" w:eastAsia="宋体" w:hAnsi="Times New Roman" w:cs="Times New Roman"/>
          <w:sz w:val="24"/>
        </w:rPr>
        <w:t>接近</w:t>
      </w:r>
      <w:r>
        <w:rPr>
          <w:rFonts w:ascii="Times New Roman" w:eastAsia="宋体" w:hAnsi="Times New Roman" w:cs="Times New Roman"/>
          <w:sz w:val="24"/>
        </w:rPr>
        <w:t>50%</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、物理</w:t>
      </w:r>
      <w:r>
        <w:rPr>
          <w:rFonts w:ascii="Times New Roman" w:eastAsia="宋体" w:hAnsi="Times New Roman" w:cs="Times New Roman"/>
          <w:sz w:val="24"/>
        </w:rPr>
        <w:t>1</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相对体现出较高的教师行为占比。</w:t>
      </w:r>
    </w:p>
    <w:p w14:paraId="3350E5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从教师具体行为时间看，</w:t>
      </w:r>
      <w:r>
        <w:rPr>
          <w:rFonts w:ascii="Times New Roman" w:eastAsia="宋体" w:hAnsi="Times New Roman" w:cs="Times New Roman"/>
          <w:sz w:val="24"/>
        </w:rPr>
        <w:t>10</w:t>
      </w:r>
      <w:r>
        <w:rPr>
          <w:rFonts w:ascii="Times New Roman" w:eastAsia="宋体" w:hAnsi="Times New Roman" w:cs="Times New Roman"/>
          <w:sz w:val="24"/>
        </w:rPr>
        <w:t>节课教师讲授累计约</w:t>
      </w:r>
      <w:r>
        <w:rPr>
          <w:rFonts w:ascii="Times New Roman" w:eastAsia="宋体" w:hAnsi="Times New Roman" w:cs="Times New Roman"/>
          <w:sz w:val="24"/>
        </w:rPr>
        <w:t>100</w:t>
      </w:r>
      <w:r>
        <w:rPr>
          <w:rFonts w:ascii="Times New Roman" w:eastAsia="宋体" w:hAnsi="Times New Roman" w:cs="Times New Roman"/>
          <w:sz w:val="24"/>
        </w:rPr>
        <w:t>分</w:t>
      </w:r>
      <w:r>
        <w:rPr>
          <w:rFonts w:ascii="Times New Roman" w:eastAsia="宋体" w:hAnsi="Times New Roman" w:cs="Times New Roman"/>
          <w:sz w:val="24"/>
        </w:rPr>
        <w:t>08</w:t>
      </w:r>
      <w:r>
        <w:rPr>
          <w:rFonts w:ascii="Times New Roman" w:eastAsia="宋体" w:hAnsi="Times New Roman" w:cs="Times New Roman"/>
          <w:sz w:val="24"/>
        </w:rPr>
        <w:t>秒，平均每节约</w:t>
      </w:r>
      <w:r>
        <w:rPr>
          <w:rFonts w:ascii="Times New Roman" w:eastAsia="宋体" w:hAnsi="Times New Roman" w:cs="Times New Roman"/>
          <w:sz w:val="24"/>
        </w:rPr>
        <w:t>10</w:t>
      </w:r>
      <w:r>
        <w:rPr>
          <w:rFonts w:ascii="Times New Roman" w:eastAsia="宋体" w:hAnsi="Times New Roman" w:cs="Times New Roman"/>
          <w:sz w:val="24"/>
        </w:rPr>
        <w:t>分</w:t>
      </w:r>
      <w:r>
        <w:rPr>
          <w:rFonts w:ascii="Times New Roman" w:eastAsia="宋体" w:hAnsi="Times New Roman" w:cs="Times New Roman"/>
          <w:sz w:val="24"/>
        </w:rPr>
        <w:t>01</w:t>
      </w:r>
      <w:r>
        <w:rPr>
          <w:rFonts w:ascii="Times New Roman" w:eastAsia="宋体" w:hAnsi="Times New Roman" w:cs="Times New Roman"/>
          <w:sz w:val="24"/>
        </w:rPr>
        <w:t>秒；师生问答累计约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秒，平均每节约</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05</w:t>
      </w:r>
      <w:r>
        <w:rPr>
          <w:rFonts w:ascii="Times New Roman" w:eastAsia="宋体" w:hAnsi="Times New Roman" w:cs="Times New Roman"/>
          <w:sz w:val="24"/>
        </w:rPr>
        <w:t>秒。讲授时间最长的是英语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16</w:t>
      </w:r>
      <w:r>
        <w:rPr>
          <w:rFonts w:ascii="Times New Roman" w:eastAsia="宋体" w:hAnsi="Times New Roman" w:cs="Times New Roman"/>
          <w:sz w:val="24"/>
        </w:rPr>
        <w:t>分</w:t>
      </w:r>
      <w:r>
        <w:rPr>
          <w:rFonts w:ascii="Times New Roman" w:eastAsia="宋体" w:hAnsi="Times New Roman" w:cs="Times New Roman"/>
          <w:sz w:val="24"/>
        </w:rPr>
        <w:t>38</w:t>
      </w:r>
      <w:r>
        <w:rPr>
          <w:rFonts w:ascii="Times New Roman" w:eastAsia="宋体" w:hAnsi="Times New Roman" w:cs="Times New Roman"/>
          <w:sz w:val="24"/>
        </w:rPr>
        <w:t>秒），最短的是物理</w:t>
      </w:r>
      <w:r>
        <w:rPr>
          <w:rFonts w:ascii="Times New Roman" w:eastAsia="宋体" w:hAnsi="Times New Roman" w:cs="Times New Roman"/>
          <w:sz w:val="24"/>
        </w:rPr>
        <w:t>2</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39</w:t>
      </w:r>
      <w:r>
        <w:rPr>
          <w:rFonts w:ascii="Times New Roman" w:eastAsia="宋体" w:hAnsi="Times New Roman" w:cs="Times New Roman"/>
          <w:sz w:val="24"/>
        </w:rPr>
        <w:t>秒）；师生问答时间最长的是语文</w:t>
      </w: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秒），最短的是英语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04</w:t>
      </w:r>
      <w:r>
        <w:rPr>
          <w:rFonts w:ascii="Times New Roman" w:eastAsia="宋体" w:hAnsi="Times New Roman" w:cs="Times New Roman"/>
          <w:sz w:val="24"/>
        </w:rPr>
        <w:t>秒）。这一分布说明，教师行为由讲授与多种互动共同构成，在多数课例中，师生问答占用了与讲授相当甚至更长的课堂时间。</w:t>
      </w:r>
    </w:p>
    <w:p w14:paraId="41780B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进一步比较课例可以看到，不同课堂的教师行为占比与教师连续讲授时间并不完全对应。例如，地理</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71%</w:t>
      </w:r>
      <w:r>
        <w:rPr>
          <w:rFonts w:ascii="Times New Roman" w:eastAsia="宋体" w:hAnsi="Times New Roman" w:cs="Times New Roman"/>
          <w:sz w:val="24"/>
        </w:rPr>
        <w:t>，但讲授时间为</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06</w:t>
      </w:r>
      <w:r>
        <w:rPr>
          <w:rFonts w:ascii="Times New Roman" w:eastAsia="宋体" w:hAnsi="Times New Roman" w:cs="Times New Roman"/>
          <w:sz w:val="24"/>
        </w:rPr>
        <w:t>秒，同时师生问答达到</w:t>
      </w:r>
      <w:r>
        <w:rPr>
          <w:rFonts w:ascii="Times New Roman" w:eastAsia="宋体" w:hAnsi="Times New Roman" w:cs="Times New Roman"/>
          <w:sz w:val="24"/>
        </w:rPr>
        <w:t>15</w:t>
      </w:r>
      <w:r>
        <w:rPr>
          <w:rFonts w:ascii="Times New Roman" w:eastAsia="宋体" w:hAnsi="Times New Roman" w:cs="Times New Roman"/>
          <w:sz w:val="24"/>
        </w:rPr>
        <w:t>分</w:t>
      </w:r>
      <w:r>
        <w:rPr>
          <w:rFonts w:ascii="Times New Roman" w:eastAsia="宋体" w:hAnsi="Times New Roman" w:cs="Times New Roman"/>
          <w:sz w:val="24"/>
        </w:rPr>
        <w:t>03</w:t>
      </w:r>
      <w:r>
        <w:rPr>
          <w:rFonts w:ascii="Times New Roman" w:eastAsia="宋体" w:hAnsi="Times New Roman" w:cs="Times New Roman"/>
          <w:sz w:val="24"/>
        </w:rPr>
        <w:t>秒；语文</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67%</w:t>
      </w:r>
      <w:r>
        <w:rPr>
          <w:rFonts w:ascii="Times New Roman" w:eastAsia="宋体" w:hAnsi="Times New Roman" w:cs="Times New Roman"/>
          <w:sz w:val="24"/>
        </w:rPr>
        <w:t>，师生问答时间</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秒，明显高于其讲授时间</w:t>
      </w:r>
      <w:r>
        <w:rPr>
          <w:rFonts w:ascii="Times New Roman" w:eastAsia="宋体" w:hAnsi="Times New Roman" w:cs="Times New Roman"/>
          <w:sz w:val="24"/>
        </w:rPr>
        <w:t>9</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秒。因此，单纯以教师行为比例判断课堂是否属于讲授主导并不充分，还需要结合讲授、问答等具体行为结构进行解释。就本组课例而言，教师教学行为呈现出讲授、提问与互动并存的结构特征。</w:t>
      </w:r>
    </w:p>
    <w:p w14:paraId="356FC7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）学生学习行为</w:t>
      </w:r>
    </w:p>
    <w:p w14:paraId="1C3D437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3-77  10</w:t>
      </w:r>
      <w:r>
        <w:rPr>
          <w:rFonts w:ascii="Times New Roman" w:eastAsia="黑体" w:hAnsi="Times New Roman" w:cs="Times New Roman"/>
        </w:rPr>
        <w:t>节课学生主要学习行为时间分布</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26CA7D3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510C8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5BA0D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337331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学生练习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7B026B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学生展示</w:t>
            </w:r>
          </w:p>
        </w:tc>
        <w:tc>
          <w:tcPr>
            <w:tcW w:w="18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CB06A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实验</w:t>
            </w:r>
            <w:r>
              <w:rPr>
                <w:rFonts w:ascii="Times New Roman" w:eastAsia="宋体" w:hAnsi="Times New Roman" w:cs="Times New Roman"/>
                <w:b/>
                <w:szCs w:val="21"/>
              </w:rPr>
              <w:t>/</w:t>
            </w:r>
            <w:r>
              <w:rPr>
                <w:rFonts w:ascii="Times New Roman" w:eastAsia="宋体" w:hAnsi="Times New Roman" w:cs="Times New Roman"/>
                <w:b/>
                <w:szCs w:val="21"/>
              </w:rPr>
              <w:t>实践</w:t>
            </w:r>
          </w:p>
        </w:tc>
      </w:tr>
      <w:tr w:rsidR="000B1CCE" w14:paraId="54CFA7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32BD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2A2E0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D9C9A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BF234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65CF17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5016D55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57BA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98E0A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929DC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5F67D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C2FC7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13D8B2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02AA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C4FA4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67905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BC880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6075F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C8DF9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5419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46F2E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8656F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67E3E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343FBE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202ECED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AA63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CC436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E6A88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781156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4C1D6E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74ACA0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C1B0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7A57F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3287A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2EEED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32902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664A81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341D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794DED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DA8AC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0AEEEB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0AD69C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6DBE08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4F21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DB653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6BF08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9B379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15580B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47E708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4645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8D644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F0609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5BA49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26B34E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25E1394A" w14:textId="77777777">
        <w:trPr>
          <w:jc w:val="center"/>
        </w:trPr>
        <w:tc>
          <w:tcPr>
            <w:tcW w:w="1098" w:type="dxa"/>
            <w:tcBorders>
              <w:top w:val="nil"/>
              <w:left w:val="nil"/>
              <w:bottom w:val="single" w:sz="12" w:space="0" w:color="000000"/>
              <w:right w:val="nil"/>
            </w:tcBorders>
            <w:tcMar>
              <w:top w:w="-1" w:type="dxa"/>
              <w:left w:w="-1" w:type="dxa"/>
              <w:bottom w:w="-1" w:type="dxa"/>
              <w:right w:w="-1" w:type="dxa"/>
            </w:tcMar>
            <w:vAlign w:val="center"/>
          </w:tcPr>
          <w:p w14:paraId="053DF7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35569E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570A6F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05" w:type="dxa"/>
            <w:tcBorders>
              <w:top w:val="nil"/>
              <w:left w:val="nil"/>
              <w:bottom w:val="single" w:sz="12" w:space="0" w:color="000000"/>
              <w:right w:val="nil"/>
            </w:tcBorders>
            <w:tcMar>
              <w:top w:w="-1" w:type="dxa"/>
              <w:left w:w="-1" w:type="dxa"/>
              <w:bottom w:w="-1" w:type="dxa"/>
              <w:right w:w="-1" w:type="dxa"/>
            </w:tcMar>
            <w:vAlign w:val="center"/>
          </w:tcPr>
          <w:p w14:paraId="465EE9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single" w:sz="12" w:space="0" w:color="000000"/>
              <w:right w:val="nil"/>
            </w:tcBorders>
            <w:tcMar>
              <w:top w:w="-1" w:type="dxa"/>
              <w:left w:w="-1" w:type="dxa"/>
              <w:bottom w:w="-1" w:type="dxa"/>
              <w:right w:w="-1" w:type="dxa"/>
            </w:tcMar>
            <w:vAlign w:val="center"/>
          </w:tcPr>
          <w:p w14:paraId="422BD0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bl>
    <w:p w14:paraId="4C5F800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3-78  </w:t>
      </w:r>
      <w:r>
        <w:rPr>
          <w:rFonts w:ascii="Times New Roman" w:eastAsia="黑体" w:hAnsi="Times New Roman" w:cs="Times New Roman"/>
        </w:rPr>
        <w:t>学生主要学习行为的描述统计</w:t>
      </w:r>
    </w:p>
    <w:tbl>
      <w:tblPr>
        <w:tblW w:w="8312"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756E638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6BF9CE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行为类型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FF4311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60D6A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平均每课</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B0DF3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最短</w:t>
            </w:r>
          </w:p>
        </w:tc>
        <w:tc>
          <w:tcPr>
            <w:tcW w:w="16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6FA73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最长</w:t>
            </w:r>
          </w:p>
        </w:tc>
      </w:tr>
      <w:tr w:rsidR="000B1CCE" w14:paraId="21EDEA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EC68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学生讨论</w:t>
            </w:r>
          </w:p>
        </w:tc>
        <w:tc>
          <w:tcPr>
            <w:tcW w:w="0" w:type="auto"/>
            <w:tcBorders>
              <w:top w:val="nil"/>
              <w:left w:val="nil"/>
              <w:bottom w:val="nil"/>
              <w:right w:val="nil"/>
            </w:tcBorders>
            <w:tcMar>
              <w:top w:w="-1" w:type="dxa"/>
              <w:left w:w="-1" w:type="dxa"/>
              <w:bottom w:w="-1" w:type="dxa"/>
              <w:right w:w="-1" w:type="dxa"/>
            </w:tcMar>
            <w:vAlign w:val="center"/>
          </w:tcPr>
          <w:p w14:paraId="567068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174</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17297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435BC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1680" w:type="dxa"/>
            <w:tcBorders>
              <w:top w:val="nil"/>
              <w:left w:val="nil"/>
              <w:bottom w:val="nil"/>
              <w:right w:val="nil"/>
            </w:tcBorders>
            <w:tcMar>
              <w:top w:w="-1" w:type="dxa"/>
              <w:left w:w="-1" w:type="dxa"/>
              <w:bottom w:w="-1" w:type="dxa"/>
              <w:right w:w="-1" w:type="dxa"/>
            </w:tcMar>
            <w:vAlign w:val="center"/>
          </w:tcPr>
          <w:p w14:paraId="6C9818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r>
      <w:tr w:rsidR="000B1CCE" w14:paraId="52C46A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41C08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学生练习</w:t>
            </w:r>
          </w:p>
        </w:tc>
        <w:tc>
          <w:tcPr>
            <w:tcW w:w="0" w:type="auto"/>
            <w:tcBorders>
              <w:top w:val="nil"/>
              <w:left w:val="nil"/>
              <w:bottom w:val="nil"/>
              <w:right w:val="nil"/>
            </w:tcBorders>
            <w:tcMar>
              <w:top w:w="-1" w:type="dxa"/>
              <w:left w:w="-1" w:type="dxa"/>
              <w:bottom w:w="-1" w:type="dxa"/>
              <w:right w:w="-1" w:type="dxa"/>
            </w:tcMar>
            <w:vAlign w:val="center"/>
          </w:tcPr>
          <w:p w14:paraId="58838B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42</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98C92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0D8995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00803D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r>
      <w:tr w:rsidR="000B1CCE" w14:paraId="4EBB77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4824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学生展示</w:t>
            </w:r>
          </w:p>
        </w:tc>
        <w:tc>
          <w:tcPr>
            <w:tcW w:w="0" w:type="auto"/>
            <w:tcBorders>
              <w:top w:val="nil"/>
              <w:left w:val="nil"/>
              <w:bottom w:val="nil"/>
              <w:right w:val="nil"/>
            </w:tcBorders>
            <w:tcMar>
              <w:top w:w="-1" w:type="dxa"/>
              <w:left w:w="-1" w:type="dxa"/>
              <w:bottom w:w="-1" w:type="dxa"/>
              <w:right w:w="-1" w:type="dxa"/>
            </w:tcMar>
            <w:vAlign w:val="center"/>
          </w:tcPr>
          <w:p w14:paraId="6EB9A6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337E2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1F6D3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252670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2DB682A8" w14:textId="77777777">
        <w:trPr>
          <w:jc w:val="center"/>
        </w:trPr>
        <w:tc>
          <w:tcPr>
            <w:tcW w:w="1592" w:type="dxa"/>
            <w:tcBorders>
              <w:top w:val="nil"/>
              <w:left w:val="nil"/>
              <w:bottom w:val="single" w:sz="12" w:space="0" w:color="000000"/>
              <w:right w:val="nil"/>
            </w:tcBorders>
            <w:tcMar>
              <w:top w:w="-1" w:type="dxa"/>
              <w:left w:w="-1" w:type="dxa"/>
              <w:bottom w:w="-1" w:type="dxa"/>
              <w:right w:w="-1" w:type="dxa"/>
            </w:tcMar>
            <w:vAlign w:val="center"/>
          </w:tcPr>
          <w:p w14:paraId="08F681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实验</w:t>
            </w:r>
            <w:r>
              <w:rPr>
                <w:rFonts w:ascii="Times New Roman" w:eastAsia="宋体" w:hAnsi="Times New Roman" w:cs="Times New Roman"/>
                <w:szCs w:val="21"/>
              </w:rPr>
              <w:t>/</w:t>
            </w:r>
            <w:r>
              <w:rPr>
                <w:rFonts w:ascii="Times New Roman" w:eastAsia="宋体" w:hAnsi="Times New Roman" w:cs="Times New Roman"/>
                <w:szCs w:val="21"/>
              </w:rPr>
              <w:t>实践</w:t>
            </w:r>
          </w:p>
        </w:tc>
        <w:tc>
          <w:tcPr>
            <w:tcW w:w="1856" w:type="dxa"/>
            <w:tcBorders>
              <w:top w:val="nil"/>
              <w:left w:val="nil"/>
              <w:bottom w:val="single" w:sz="12" w:space="0" w:color="000000"/>
              <w:right w:val="nil"/>
            </w:tcBorders>
            <w:tcMar>
              <w:top w:w="-1" w:type="dxa"/>
              <w:left w:w="-1" w:type="dxa"/>
              <w:bottom w:w="-1" w:type="dxa"/>
              <w:right w:w="-1" w:type="dxa"/>
            </w:tcMar>
            <w:vAlign w:val="center"/>
          </w:tcPr>
          <w:p w14:paraId="73C356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分</w:t>
            </w:r>
            <w:r>
              <w:rPr>
                <w:rFonts w:ascii="Times New Roman" w:eastAsia="宋体" w:hAnsi="Times New Roman" w:cs="Times New Roman"/>
                <w:szCs w:val="21"/>
              </w:rPr>
              <w:t>09</w:t>
            </w:r>
            <w:r>
              <w:rPr>
                <w:rFonts w:ascii="Times New Roman" w:eastAsia="宋体" w:hAnsi="Times New Roman" w:cs="Times New Roman"/>
                <w:szCs w:val="21"/>
              </w:rPr>
              <w:t>秒</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27D2A6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25</w:t>
            </w:r>
            <w:r>
              <w:rPr>
                <w:rFonts w:ascii="Times New Roman" w:eastAsia="宋体" w:hAnsi="Times New Roman" w:cs="Times New Roman"/>
                <w:szCs w:val="21"/>
              </w:rPr>
              <w:t>秒</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575CD1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1ED6B3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bl>
    <w:p w14:paraId="4DBF25F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节课的学生行为时间看，讨论是覆盖面最广、持续时间最长的学习行为。</w:t>
      </w:r>
      <w:r>
        <w:rPr>
          <w:rFonts w:ascii="Times New Roman" w:eastAsia="宋体" w:hAnsi="Times New Roman" w:cs="Times New Roman"/>
          <w:sz w:val="24"/>
        </w:rPr>
        <w:t>10</w:t>
      </w:r>
      <w:r>
        <w:rPr>
          <w:rFonts w:ascii="Times New Roman" w:eastAsia="宋体" w:hAnsi="Times New Roman" w:cs="Times New Roman"/>
          <w:sz w:val="24"/>
        </w:rPr>
        <w:t>节课均记录到学生讨论，累计时间约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秒，平均每节约</w:t>
      </w:r>
      <w:r>
        <w:rPr>
          <w:rFonts w:ascii="Times New Roman" w:eastAsia="宋体" w:hAnsi="Times New Roman" w:cs="Times New Roman"/>
          <w:sz w:val="24"/>
        </w:rPr>
        <w:t>17</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秒。单课讨论时间最高为英语</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秒，其次为物理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秒和数学</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秒；最低为英语</w:t>
      </w:r>
      <w:r>
        <w:rPr>
          <w:rFonts w:ascii="Times New Roman" w:eastAsia="宋体" w:hAnsi="Times New Roman" w:cs="Times New Roman"/>
          <w:sz w:val="24"/>
        </w:rPr>
        <w:t>3</w:t>
      </w:r>
      <w:r>
        <w:rPr>
          <w:rFonts w:ascii="Times New Roman" w:eastAsia="宋体" w:hAnsi="Times New Roman" w:cs="Times New Roman"/>
          <w:sz w:val="24"/>
        </w:rPr>
        <w:t>的</w:t>
      </w:r>
      <w:r>
        <w:rPr>
          <w:rFonts w:ascii="Times New Roman" w:eastAsia="宋体" w:hAnsi="Times New Roman" w:cs="Times New Roman"/>
          <w:sz w:val="24"/>
        </w:rPr>
        <w:t>7</w:t>
      </w:r>
      <w:r>
        <w:rPr>
          <w:rFonts w:ascii="Times New Roman" w:eastAsia="宋体" w:hAnsi="Times New Roman" w:cs="Times New Roman"/>
          <w:sz w:val="24"/>
        </w:rPr>
        <w:t>分</w:t>
      </w:r>
      <w:r>
        <w:rPr>
          <w:rFonts w:ascii="Times New Roman" w:eastAsia="宋体" w:hAnsi="Times New Roman" w:cs="Times New Roman"/>
          <w:sz w:val="24"/>
        </w:rPr>
        <w:t>21</w:t>
      </w:r>
      <w:r>
        <w:rPr>
          <w:rFonts w:ascii="Times New Roman" w:eastAsia="宋体" w:hAnsi="Times New Roman" w:cs="Times New Roman"/>
          <w:sz w:val="24"/>
        </w:rPr>
        <w:t>秒。由此可见，讨论在本组课例中普遍存在。</w:t>
      </w:r>
    </w:p>
    <w:p w14:paraId="39208B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学生练习、展示和实验</w:t>
      </w:r>
      <w:r>
        <w:rPr>
          <w:rFonts w:ascii="Times New Roman" w:eastAsia="宋体" w:hAnsi="Times New Roman" w:cs="Times New Roman"/>
          <w:sz w:val="24"/>
        </w:rPr>
        <w:t>/</w:t>
      </w:r>
      <w:r>
        <w:rPr>
          <w:rFonts w:ascii="Times New Roman" w:eastAsia="宋体" w:hAnsi="Times New Roman" w:cs="Times New Roman"/>
          <w:sz w:val="24"/>
        </w:rPr>
        <w:t>实践行为的分布则更具有课例差异。学生练习累计约</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42</w:t>
      </w:r>
      <w:r>
        <w:rPr>
          <w:rFonts w:ascii="Times New Roman" w:eastAsia="宋体" w:hAnsi="Times New Roman" w:cs="Times New Roman"/>
          <w:sz w:val="24"/>
        </w:rPr>
        <w:t>秒，其中数学</w:t>
      </w:r>
      <w:r>
        <w:rPr>
          <w:rFonts w:ascii="Times New Roman" w:eastAsia="宋体" w:hAnsi="Times New Roman" w:cs="Times New Roman"/>
          <w:sz w:val="24"/>
        </w:rPr>
        <w:t>1</w:t>
      </w:r>
      <w:r>
        <w:rPr>
          <w:rFonts w:ascii="Times New Roman" w:eastAsia="宋体" w:hAnsi="Times New Roman" w:cs="Times New Roman"/>
          <w:sz w:val="24"/>
        </w:rPr>
        <w:t>达到</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秒，其余课例较少或未被系统记录；学生展示仅在语文</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中分别记录</w:t>
      </w:r>
      <w:r>
        <w:rPr>
          <w:rFonts w:ascii="Times New Roman" w:eastAsia="宋体" w:hAnsi="Times New Roman" w:cs="Times New Roman"/>
          <w:sz w:val="24"/>
        </w:rPr>
        <w:t>35</w:t>
      </w:r>
      <w:r>
        <w:rPr>
          <w:rFonts w:ascii="Times New Roman" w:eastAsia="宋体" w:hAnsi="Times New Roman" w:cs="Times New Roman"/>
          <w:sz w:val="24"/>
        </w:rPr>
        <w:t>秒和</w:t>
      </w:r>
      <w:r>
        <w:rPr>
          <w:rFonts w:ascii="Times New Roman" w:eastAsia="宋体" w:hAnsi="Times New Roman" w:cs="Times New Roman"/>
          <w:sz w:val="24"/>
        </w:rPr>
        <w:t>31</w:t>
      </w:r>
      <w:r>
        <w:rPr>
          <w:rFonts w:ascii="Times New Roman" w:eastAsia="宋体" w:hAnsi="Times New Roman" w:cs="Times New Roman"/>
          <w:sz w:val="24"/>
        </w:rPr>
        <w:t>秒；实验</w:t>
      </w:r>
      <w:r>
        <w:rPr>
          <w:rFonts w:ascii="Times New Roman" w:eastAsia="宋体" w:hAnsi="Times New Roman" w:cs="Times New Roman"/>
          <w:sz w:val="24"/>
        </w:rPr>
        <w:t>/</w:t>
      </w:r>
      <w:r>
        <w:rPr>
          <w:rFonts w:ascii="Times New Roman" w:eastAsia="宋体" w:hAnsi="Times New Roman" w:cs="Times New Roman"/>
          <w:sz w:val="24"/>
        </w:rPr>
        <w:t>实践主要出现在物理课，物理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23</w:t>
      </w:r>
      <w:r>
        <w:rPr>
          <w:rFonts w:ascii="Times New Roman" w:eastAsia="宋体" w:hAnsi="Times New Roman" w:cs="Times New Roman"/>
          <w:sz w:val="24"/>
        </w:rPr>
        <w:t>秒。上述差异与不同学科的任务类型和课堂活动形态有关，也提示希沃行为分类中的讨论覆盖了较多合作交流活动，而展示、实验等行为属于更为特定的活动类型。</w:t>
      </w:r>
    </w:p>
    <w:p w14:paraId="3085A0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如果将学生行为占比与具体行为时间结合观察，可以发现学生行为比例较高的课例往往伴随较长的讨论或练习时间。例如，物理</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69%</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秒；数学</w:t>
      </w:r>
      <w:r>
        <w:rPr>
          <w:rFonts w:ascii="Times New Roman" w:eastAsia="宋体" w:hAnsi="Times New Roman" w:cs="Times New Roman"/>
          <w:sz w:val="24"/>
        </w:rPr>
        <w:t>1</w:t>
      </w:r>
      <w:r>
        <w:rPr>
          <w:rFonts w:ascii="Times New Roman" w:eastAsia="宋体" w:hAnsi="Times New Roman" w:cs="Times New Roman"/>
          <w:sz w:val="24"/>
        </w:rPr>
        <w:t>学生行为占比</w:t>
      </w:r>
      <w:r>
        <w:rPr>
          <w:rFonts w:ascii="Times New Roman" w:eastAsia="宋体" w:hAnsi="Times New Roman" w:cs="Times New Roman"/>
          <w:sz w:val="24"/>
        </w:rPr>
        <w:t>62%</w:t>
      </w:r>
      <w:r>
        <w:rPr>
          <w:rFonts w:ascii="Times New Roman" w:eastAsia="宋体" w:hAnsi="Times New Roman" w:cs="Times New Roman"/>
          <w:sz w:val="24"/>
        </w:rPr>
        <w:t>，讨论</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秒、练习</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64%</w:t>
      </w:r>
      <w:r>
        <w:rPr>
          <w:rFonts w:ascii="Times New Roman" w:eastAsia="宋体" w:hAnsi="Times New Roman" w:cs="Times New Roman"/>
          <w:sz w:val="24"/>
        </w:rPr>
        <w:t>，讨论</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秒、练习</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秒。由此可以较为具体地看到，学生课堂时间主要通过讨论、练习等行为得到承载。</w:t>
      </w:r>
    </w:p>
    <w:p w14:paraId="11603F2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总体而言，学生学习行为在本组课例中呈现出以讨论为主要形式、练习和实践活动因学科与任务而异的分布特征。</w:t>
      </w:r>
      <w:r>
        <w:rPr>
          <w:rFonts w:ascii="Times New Roman" w:eastAsia="宋体" w:hAnsi="Times New Roman" w:cs="Times New Roman"/>
          <w:sz w:val="24"/>
        </w:rPr>
        <w:t>学生学习由参与课堂进一步表现为讨论、练习和特定情境中的实践活动，但展示类行为在希沃记录中的占比仍相对有限。</w:t>
      </w:r>
    </w:p>
    <w:p w14:paraId="3463F8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）师生互动与提问认知层级</w:t>
      </w:r>
    </w:p>
    <w:p w14:paraId="7A38F40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3-79  10</w:t>
      </w:r>
      <w:r>
        <w:rPr>
          <w:rFonts w:ascii="Times New Roman" w:eastAsia="黑体" w:hAnsi="Times New Roman" w:cs="Times New Roman"/>
        </w:rPr>
        <w:t>节课师生问答与学生讨论时间</w:t>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2D552BF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F7169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29D1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4F775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学生讨论时间</w:t>
            </w:r>
          </w:p>
        </w:tc>
        <w:tc>
          <w:tcPr>
            <w:tcW w:w="24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A18AC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两类互动合计</w:t>
            </w:r>
          </w:p>
        </w:tc>
      </w:tr>
      <w:tr w:rsidR="000B1CCE" w14:paraId="07407D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8557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1896F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08E1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62EAA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分</w:t>
            </w:r>
            <w:r>
              <w:rPr>
                <w:rFonts w:ascii="Times New Roman" w:eastAsia="宋体" w:hAnsi="Times New Roman" w:cs="Times New Roman"/>
                <w:szCs w:val="21"/>
              </w:rPr>
              <w:t>55</w:t>
            </w:r>
            <w:r>
              <w:rPr>
                <w:rFonts w:ascii="Times New Roman" w:eastAsia="宋体" w:hAnsi="Times New Roman" w:cs="Times New Roman"/>
                <w:szCs w:val="21"/>
              </w:rPr>
              <w:t>秒</w:t>
            </w:r>
          </w:p>
        </w:tc>
      </w:tr>
      <w:tr w:rsidR="000B1CCE" w14:paraId="3CE13B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8C6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BB660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E9DEE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2BD246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49</w:t>
            </w:r>
            <w:r>
              <w:rPr>
                <w:rFonts w:ascii="Times New Roman" w:eastAsia="宋体" w:hAnsi="Times New Roman" w:cs="Times New Roman"/>
                <w:szCs w:val="21"/>
              </w:rPr>
              <w:t>秒</w:t>
            </w:r>
          </w:p>
        </w:tc>
      </w:tr>
      <w:tr w:rsidR="000B1CCE" w14:paraId="43D16B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BF99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C6F1E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0458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7B989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492A2D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1419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22823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8DA98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752936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752A00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328F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8A9F7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B961A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587AAC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r w:rsidR="000B1CCE" w14:paraId="19A9C3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509D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ABA33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44620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1594B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34</w:t>
            </w:r>
            <w:r>
              <w:rPr>
                <w:rFonts w:ascii="Times New Roman" w:eastAsia="宋体" w:hAnsi="Times New Roman" w:cs="Times New Roman"/>
                <w:szCs w:val="21"/>
              </w:rPr>
              <w:t>秒</w:t>
            </w:r>
          </w:p>
        </w:tc>
      </w:tr>
      <w:tr w:rsidR="000B1CCE" w14:paraId="55482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D017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6A2FCB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6992E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7D9EEF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r>
      <w:tr w:rsidR="000B1CCE" w14:paraId="512781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C5A3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512D7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D50E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5E99E6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017365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AE9D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CEAC3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567A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41194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753B0910" w14:textId="77777777">
        <w:trPr>
          <w:jc w:val="center"/>
        </w:trPr>
        <w:tc>
          <w:tcPr>
            <w:tcW w:w="1106" w:type="dxa"/>
            <w:tcBorders>
              <w:top w:val="nil"/>
              <w:left w:val="nil"/>
              <w:bottom w:val="single" w:sz="12" w:space="0" w:color="000000"/>
              <w:right w:val="nil"/>
            </w:tcBorders>
            <w:tcMar>
              <w:top w:w="-1" w:type="dxa"/>
              <w:left w:w="-1" w:type="dxa"/>
              <w:bottom w:w="-1" w:type="dxa"/>
              <w:right w:w="-1" w:type="dxa"/>
            </w:tcMar>
            <w:vAlign w:val="center"/>
          </w:tcPr>
          <w:p w14:paraId="43003E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7B5E8D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756874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2405" w:type="dxa"/>
            <w:tcBorders>
              <w:top w:val="nil"/>
              <w:left w:val="nil"/>
              <w:bottom w:val="single" w:sz="12" w:space="0" w:color="000000"/>
              <w:right w:val="nil"/>
            </w:tcBorders>
            <w:tcMar>
              <w:top w:w="-1" w:type="dxa"/>
              <w:left w:w="-1" w:type="dxa"/>
              <w:bottom w:w="-1" w:type="dxa"/>
              <w:right w:w="-1" w:type="dxa"/>
            </w:tcMar>
            <w:vAlign w:val="center"/>
          </w:tcPr>
          <w:p w14:paraId="434626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bl>
    <w:p w14:paraId="74D7A2F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从互动时间构成看，</w:t>
      </w:r>
      <w:r>
        <w:rPr>
          <w:rFonts w:ascii="Times New Roman" w:eastAsia="宋体" w:hAnsi="Times New Roman" w:cs="Times New Roman"/>
          <w:sz w:val="24"/>
        </w:rPr>
        <w:t>10</w:t>
      </w:r>
      <w:r>
        <w:rPr>
          <w:rFonts w:ascii="Times New Roman" w:eastAsia="宋体" w:hAnsi="Times New Roman" w:cs="Times New Roman"/>
          <w:sz w:val="24"/>
        </w:rPr>
        <w:t>节课师生问答累计约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秒，学生讨论累计约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秒，两类行为合计约</w:t>
      </w:r>
      <w:r>
        <w:rPr>
          <w:rFonts w:ascii="Times New Roman" w:eastAsia="宋体" w:hAnsi="Times New Roman" w:cs="Times New Roman"/>
          <w:sz w:val="24"/>
        </w:rPr>
        <w:t>284</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秒。希沃各行为类别存在识别口径差异，此处主要用于比较不同课例的互动结构。语文</w:t>
      </w:r>
      <w:r>
        <w:rPr>
          <w:rFonts w:ascii="Times New Roman" w:eastAsia="宋体" w:hAnsi="Times New Roman" w:cs="Times New Roman"/>
          <w:sz w:val="24"/>
        </w:rPr>
        <w:t>1</w:t>
      </w:r>
      <w:r>
        <w:rPr>
          <w:rFonts w:ascii="Times New Roman" w:eastAsia="宋体" w:hAnsi="Times New Roman" w:cs="Times New Roman"/>
          <w:sz w:val="24"/>
        </w:rPr>
        <w:t>两类互动合计时间最长，为</w:t>
      </w:r>
      <w:r>
        <w:rPr>
          <w:rFonts w:ascii="Times New Roman" w:eastAsia="宋体" w:hAnsi="Times New Roman" w:cs="Times New Roman"/>
          <w:sz w:val="24"/>
        </w:rPr>
        <w:t>35</w:t>
      </w:r>
      <w:r>
        <w:rPr>
          <w:rFonts w:ascii="Times New Roman" w:eastAsia="宋体" w:hAnsi="Times New Roman" w:cs="Times New Roman"/>
          <w:sz w:val="24"/>
        </w:rPr>
        <w:t>分</w:t>
      </w:r>
      <w:r>
        <w:rPr>
          <w:rFonts w:ascii="Times New Roman" w:eastAsia="宋体" w:hAnsi="Times New Roman" w:cs="Times New Roman"/>
          <w:sz w:val="24"/>
        </w:rPr>
        <w:t>55</w:t>
      </w:r>
      <w:r>
        <w:rPr>
          <w:rFonts w:ascii="Times New Roman" w:eastAsia="宋体" w:hAnsi="Times New Roman" w:cs="Times New Roman"/>
          <w:sz w:val="24"/>
        </w:rPr>
        <w:t>秒；地理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33</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49</w:t>
      </w:r>
      <w:r>
        <w:rPr>
          <w:rFonts w:ascii="Times New Roman" w:eastAsia="宋体" w:hAnsi="Times New Roman" w:cs="Times New Roman"/>
          <w:sz w:val="24"/>
        </w:rPr>
        <w:t>秒，英语</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34</w:t>
      </w:r>
      <w:r>
        <w:rPr>
          <w:rFonts w:ascii="Times New Roman" w:eastAsia="宋体" w:hAnsi="Times New Roman" w:cs="Times New Roman"/>
          <w:sz w:val="24"/>
        </w:rPr>
        <w:t>秒；英语</w:t>
      </w:r>
      <w:r>
        <w:rPr>
          <w:rFonts w:ascii="Times New Roman" w:eastAsia="宋体" w:hAnsi="Times New Roman" w:cs="Times New Roman"/>
          <w:sz w:val="24"/>
        </w:rPr>
        <w:t>3</w:t>
      </w:r>
      <w:r>
        <w:rPr>
          <w:rFonts w:ascii="Times New Roman" w:eastAsia="宋体" w:hAnsi="Times New Roman" w:cs="Times New Roman"/>
          <w:sz w:val="24"/>
        </w:rPr>
        <w:t>相对较短，为</w:t>
      </w:r>
      <w:r>
        <w:rPr>
          <w:rFonts w:ascii="Times New Roman" w:eastAsia="宋体" w:hAnsi="Times New Roman" w:cs="Times New Roman"/>
          <w:sz w:val="24"/>
        </w:rPr>
        <w:t>12</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秒。可见，不同课例的互动密度差异较大。</w:t>
      </w:r>
    </w:p>
    <w:p w14:paraId="0F94F7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进一步从互动构成看，有的课例以师生问答为主要互动方式，如语文</w:t>
      </w:r>
      <w:r>
        <w:rPr>
          <w:rFonts w:ascii="Times New Roman" w:eastAsia="宋体" w:hAnsi="Times New Roman" w:cs="Times New Roman"/>
          <w:sz w:val="24"/>
        </w:rPr>
        <w:t>1</w:t>
      </w:r>
      <w:r>
        <w:rPr>
          <w:rFonts w:ascii="Times New Roman" w:eastAsia="宋体" w:hAnsi="Times New Roman" w:cs="Times New Roman"/>
          <w:sz w:val="24"/>
        </w:rPr>
        <w:t>师生问答</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秒；有的课例更多依赖学生讨论，如英语</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秒。也就是说，本组课例中的互动在师生问答与生生讨论之间形成不同组合。</w:t>
      </w:r>
    </w:p>
    <w:p w14:paraId="60F984C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3-80  6</w:t>
      </w:r>
      <w:r>
        <w:rPr>
          <w:rFonts w:ascii="Times New Roman" w:eastAsia="黑体" w:hAnsi="Times New Roman" w:cs="Times New Roman"/>
        </w:rPr>
        <w:t>节课提问认知层级分布</w:t>
      </w:r>
    </w:p>
    <w:tbl>
      <w:tblPr>
        <w:tblW w:w="879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479CCE07" w14:textId="77777777">
        <w:trPr>
          <w:tblHeader/>
          <w:jc w:val="center"/>
        </w:trPr>
        <w:tc>
          <w:tcPr>
            <w:tcW w:w="7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680CD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5C1EE5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记忆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E290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理解</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DDE827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应用</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406C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分析</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EA045A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9DB57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创造</w:t>
            </w:r>
          </w:p>
        </w:tc>
        <w:tc>
          <w:tcPr>
            <w:tcW w:w="14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46A7B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高阶认知比例</w:t>
            </w:r>
          </w:p>
        </w:tc>
      </w:tr>
      <w:tr w:rsidR="000B1CCE" w14:paraId="79AC85AA"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598C5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0D8BD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5F472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DE111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E767C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w:t>
            </w:r>
            <w:r>
              <w:rPr>
                <w:rFonts w:ascii="Times New Roman" w:eastAsia="宋体" w:hAnsi="Times New Roman" w:cs="Times New Roman"/>
                <w:szCs w:val="21"/>
              </w:rPr>
              <w:t>39%</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72A5B0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97120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63F2EE4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43%*</w:t>
            </w:r>
          </w:p>
        </w:tc>
      </w:tr>
      <w:tr w:rsidR="000B1CCE" w14:paraId="3EA5F947"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A90C3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EA79E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F6708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r>
              <w:rPr>
                <w:rFonts w:ascii="Times New Roman" w:eastAsia="宋体" w:hAnsi="Times New Roman" w:cs="Times New Roman"/>
                <w:szCs w:val="21"/>
              </w:rPr>
              <w:t>（</w:t>
            </w:r>
            <w:r>
              <w:rPr>
                <w:rFonts w:ascii="Times New Roman" w:eastAsia="宋体" w:hAnsi="Times New Roman" w:cs="Times New Roman"/>
                <w:szCs w:val="21"/>
              </w:rPr>
              <w:t>58%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ECA78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86B2A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w:t>
            </w:r>
            <w:r>
              <w:rPr>
                <w:rFonts w:ascii="Times New Roman" w:eastAsia="宋体" w:hAnsi="Times New Roman" w:cs="Times New Roman"/>
                <w:szCs w:val="21"/>
              </w:rPr>
              <w:t>26%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025737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66F7ED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5067F1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w:t>
            </w:r>
          </w:p>
        </w:tc>
      </w:tr>
      <w:tr w:rsidR="000B1CCE" w14:paraId="139C9770"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0058FD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0FC10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w:t>
            </w:r>
            <w:r>
              <w:rPr>
                <w:rFonts w:ascii="Times New Roman" w:eastAsia="宋体" w:hAnsi="Times New Roman" w:cs="Times New Roman"/>
                <w:szCs w:val="21"/>
              </w:rPr>
              <w:t>9%</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0FFCE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41</w:t>
            </w:r>
            <w:r>
              <w:rPr>
                <w:rFonts w:ascii="Times New Roman" w:eastAsia="宋体" w:hAnsi="Times New Roman" w:cs="Times New Roman"/>
                <w:szCs w:val="21"/>
              </w:rPr>
              <w:t>（</w:t>
            </w:r>
            <w:r>
              <w:rPr>
                <w:rFonts w:ascii="Times New Roman" w:eastAsia="宋体" w:hAnsi="Times New Roman" w:cs="Times New Roman"/>
                <w:szCs w:val="21"/>
              </w:rPr>
              <w:t>54%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409F64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DD1C7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33EE57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9A3D7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7D7F318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773F8E6C"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796A53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F0EFE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D42505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4101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8102D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w:t>
            </w:r>
            <w:r>
              <w:rPr>
                <w:rFonts w:ascii="Times New Roman" w:eastAsia="宋体" w:hAnsi="Times New Roman" w:cs="Times New Roman"/>
                <w:szCs w:val="21"/>
              </w:rPr>
              <w:t>23%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0FADB7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1661BD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3EB315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131B8878"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5C47BE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77136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D50BB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D2E6E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25%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95ED6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665D5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BB485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67751E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w:t>
            </w:r>
          </w:p>
        </w:tc>
      </w:tr>
      <w:tr w:rsidR="000B1CCE" w14:paraId="1D0E9DA4" w14:textId="77777777">
        <w:trPr>
          <w:jc w:val="center"/>
        </w:trPr>
        <w:tc>
          <w:tcPr>
            <w:tcW w:w="780" w:type="dxa"/>
            <w:tcBorders>
              <w:top w:val="nil"/>
              <w:left w:val="nil"/>
              <w:bottom w:val="single" w:sz="12" w:space="0" w:color="000000"/>
              <w:right w:val="nil"/>
            </w:tcBorders>
            <w:tcMar>
              <w:top w:w="-1" w:type="dxa"/>
              <w:left w:w="-1" w:type="dxa"/>
              <w:bottom w:w="-1" w:type="dxa"/>
              <w:right w:w="-1" w:type="dxa"/>
            </w:tcMar>
            <w:vAlign w:val="center"/>
          </w:tcPr>
          <w:p w14:paraId="224F28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51D2A1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187A54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w:t>
            </w:r>
            <w:r>
              <w:rPr>
                <w:rFonts w:ascii="Times New Roman" w:eastAsia="宋体" w:hAnsi="Times New Roman" w:cs="Times New Roman"/>
                <w:szCs w:val="21"/>
              </w:rPr>
              <w:t>35%</w:t>
            </w:r>
            <w:r>
              <w:rPr>
                <w:rFonts w:ascii="Times New Roman" w:eastAsia="宋体" w:hAnsi="Times New Roman" w:cs="Times New Roman"/>
                <w:szCs w:val="21"/>
              </w:rPr>
              <w:t>）</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2809BE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18D267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42%</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5AD46D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2287CC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single" w:sz="12" w:space="0" w:color="000000"/>
              <w:right w:val="nil"/>
            </w:tcBorders>
            <w:tcMar>
              <w:top w:w="-1" w:type="dxa"/>
              <w:left w:w="-1" w:type="dxa"/>
              <w:bottom w:w="-1" w:type="dxa"/>
              <w:right w:w="-1" w:type="dxa"/>
            </w:tcMar>
            <w:vAlign w:val="center"/>
          </w:tcPr>
          <w:p w14:paraId="4ED002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r>
    </w:tbl>
    <w:p w14:paraId="54C2633C"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高阶认知比例按分析</w:t>
      </w:r>
      <w:r>
        <w:rPr>
          <w:rFonts w:ascii="Times New Roman" w:eastAsia="华文楷体" w:hAnsi="Times New Roman" w:cs="Times New Roman"/>
          <w:sz w:val="18"/>
        </w:rPr>
        <w:t>+</w:t>
      </w:r>
      <w:r>
        <w:rPr>
          <w:rFonts w:ascii="Times New Roman" w:eastAsia="华文楷体" w:hAnsi="Times New Roman" w:cs="Times New Roman"/>
          <w:sz w:val="18"/>
        </w:rPr>
        <w:t>评价</w:t>
      </w:r>
      <w:r>
        <w:rPr>
          <w:rFonts w:ascii="Times New Roman" w:eastAsia="华文楷体" w:hAnsi="Times New Roman" w:cs="Times New Roman"/>
          <w:sz w:val="18"/>
        </w:rPr>
        <w:t>+</w:t>
      </w:r>
      <w:r>
        <w:rPr>
          <w:rFonts w:ascii="Times New Roman" w:eastAsia="华文楷体" w:hAnsi="Times New Roman" w:cs="Times New Roman"/>
          <w:sz w:val="18"/>
        </w:rPr>
        <w:t>创造计算。语文</w:t>
      </w:r>
      <w:r>
        <w:rPr>
          <w:rFonts w:ascii="Times New Roman" w:eastAsia="华文楷体" w:hAnsi="Times New Roman" w:cs="Times New Roman"/>
          <w:sz w:val="18"/>
        </w:rPr>
        <w:t>1</w:t>
      </w:r>
      <w:r>
        <w:rPr>
          <w:rFonts w:ascii="Times New Roman" w:eastAsia="华文楷体" w:hAnsi="Times New Roman" w:cs="Times New Roman"/>
          <w:sz w:val="18"/>
        </w:rPr>
        <w:t>数据库原表标注为</w:t>
      </w:r>
      <w:r>
        <w:rPr>
          <w:rFonts w:ascii="Times New Roman" w:eastAsia="华文楷体" w:hAnsi="Times New Roman" w:cs="Times New Roman"/>
          <w:sz w:val="18"/>
        </w:rPr>
        <w:t>45%</w:t>
      </w:r>
      <w:r>
        <w:rPr>
          <w:rFonts w:ascii="Times New Roman" w:eastAsia="华文楷体" w:hAnsi="Times New Roman" w:cs="Times New Roman"/>
          <w:sz w:val="18"/>
        </w:rPr>
        <w:t>，按次数</w:t>
      </w:r>
      <w:r>
        <w:rPr>
          <w:rFonts w:ascii="Times New Roman" w:eastAsia="华文楷体" w:hAnsi="Times New Roman" w:cs="Times New Roman"/>
          <w:sz w:val="18"/>
        </w:rPr>
        <w:t>19+0+2=21</w:t>
      </w:r>
      <w:r>
        <w:rPr>
          <w:rFonts w:ascii="Times New Roman" w:eastAsia="华文楷体" w:hAnsi="Times New Roman" w:cs="Times New Roman"/>
          <w:sz w:val="18"/>
        </w:rPr>
        <w:t>、总提问</w:t>
      </w:r>
      <w:r>
        <w:rPr>
          <w:rFonts w:ascii="Times New Roman" w:eastAsia="华文楷体" w:hAnsi="Times New Roman" w:cs="Times New Roman"/>
          <w:sz w:val="18"/>
        </w:rPr>
        <w:t>49</w:t>
      </w:r>
      <w:r>
        <w:rPr>
          <w:rFonts w:ascii="Times New Roman" w:eastAsia="华文楷体" w:hAnsi="Times New Roman" w:cs="Times New Roman"/>
          <w:sz w:val="18"/>
        </w:rPr>
        <w:t>次重新计算约为</w:t>
      </w:r>
      <w:r>
        <w:rPr>
          <w:rFonts w:ascii="Times New Roman" w:eastAsia="华文楷体" w:hAnsi="Times New Roman" w:cs="Times New Roman"/>
          <w:sz w:val="18"/>
        </w:rPr>
        <w:t>42.9%</w:t>
      </w:r>
      <w:r>
        <w:rPr>
          <w:rFonts w:ascii="Times New Roman" w:eastAsia="华文楷体" w:hAnsi="Times New Roman" w:cs="Times New Roman"/>
          <w:sz w:val="18"/>
        </w:rPr>
        <w:t>，本报告采用</w:t>
      </w:r>
      <w:r>
        <w:rPr>
          <w:rFonts w:ascii="Times New Roman" w:eastAsia="华文楷体" w:hAnsi="Times New Roman" w:cs="Times New Roman"/>
          <w:sz w:val="18"/>
        </w:rPr>
        <w:t>43%</w:t>
      </w:r>
      <w:r>
        <w:rPr>
          <w:rFonts w:ascii="Times New Roman" w:eastAsia="华文楷体" w:hAnsi="Times New Roman" w:cs="Times New Roman"/>
          <w:sz w:val="18"/>
        </w:rPr>
        <w:t>，并保留此处校核说明。</w:t>
      </w:r>
    </w:p>
    <w:p w14:paraId="4065D9A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3-81  6</w:t>
      </w:r>
      <w:r>
        <w:rPr>
          <w:rFonts w:ascii="Times New Roman" w:eastAsia="黑体" w:hAnsi="Times New Roman" w:cs="Times New Roman"/>
        </w:rPr>
        <w:t>节课提问认知层级总体结构</w:t>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5D1420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E5BA1E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认知层级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5DEFC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次数</w:t>
            </w:r>
          </w:p>
        </w:tc>
        <w:tc>
          <w:tcPr>
            <w:tcW w:w="39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C4AA9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w:t>
            </w:r>
            <w:r>
              <w:rPr>
                <w:rFonts w:ascii="Times New Roman" w:eastAsia="宋体" w:hAnsi="Times New Roman" w:cs="Times New Roman"/>
                <w:b/>
                <w:szCs w:val="21"/>
              </w:rPr>
              <w:t>324</w:t>
            </w:r>
            <w:r>
              <w:rPr>
                <w:rFonts w:ascii="Times New Roman" w:eastAsia="宋体" w:hAnsi="Times New Roman" w:cs="Times New Roman"/>
                <w:b/>
                <w:szCs w:val="21"/>
              </w:rPr>
              <w:t>次提问比例</w:t>
            </w:r>
          </w:p>
        </w:tc>
      </w:tr>
      <w:tr w:rsidR="000B1CCE" w14:paraId="656E353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DE61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w:t>
            </w:r>
          </w:p>
        </w:tc>
        <w:tc>
          <w:tcPr>
            <w:tcW w:w="0" w:type="auto"/>
            <w:tcBorders>
              <w:top w:val="nil"/>
              <w:left w:val="nil"/>
              <w:bottom w:val="nil"/>
              <w:right w:val="nil"/>
            </w:tcBorders>
            <w:tcMar>
              <w:top w:w="-1" w:type="dxa"/>
              <w:left w:w="-1" w:type="dxa"/>
              <w:bottom w:w="-1" w:type="dxa"/>
              <w:right w:w="-1" w:type="dxa"/>
            </w:tcMar>
            <w:vAlign w:val="center"/>
          </w:tcPr>
          <w:p w14:paraId="1941FC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3907" w:type="dxa"/>
            <w:tcBorders>
              <w:top w:val="nil"/>
              <w:left w:val="nil"/>
              <w:bottom w:val="nil"/>
              <w:right w:val="nil"/>
            </w:tcBorders>
            <w:tcMar>
              <w:top w:w="-1" w:type="dxa"/>
              <w:left w:w="-1" w:type="dxa"/>
              <w:bottom w:w="-1" w:type="dxa"/>
              <w:right w:w="-1" w:type="dxa"/>
            </w:tcMar>
            <w:vAlign w:val="center"/>
          </w:tcPr>
          <w:p w14:paraId="138EB9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9.6%</w:t>
            </w:r>
          </w:p>
        </w:tc>
      </w:tr>
      <w:tr w:rsidR="000B1CCE" w14:paraId="6B7DDC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FC6C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理解</w:t>
            </w:r>
          </w:p>
        </w:tc>
        <w:tc>
          <w:tcPr>
            <w:tcW w:w="0" w:type="auto"/>
            <w:tcBorders>
              <w:top w:val="nil"/>
              <w:left w:val="nil"/>
              <w:bottom w:val="nil"/>
              <w:right w:val="nil"/>
            </w:tcBorders>
            <w:tcMar>
              <w:top w:w="-1" w:type="dxa"/>
              <w:left w:w="-1" w:type="dxa"/>
              <w:bottom w:w="-1" w:type="dxa"/>
              <w:right w:w="-1" w:type="dxa"/>
            </w:tcMar>
            <w:vAlign w:val="center"/>
          </w:tcPr>
          <w:p w14:paraId="21CDE09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145</w:t>
            </w:r>
          </w:p>
        </w:tc>
        <w:tc>
          <w:tcPr>
            <w:tcW w:w="3907" w:type="dxa"/>
            <w:tcBorders>
              <w:top w:val="nil"/>
              <w:left w:val="nil"/>
              <w:bottom w:val="nil"/>
              <w:right w:val="nil"/>
            </w:tcBorders>
            <w:tcMar>
              <w:top w:w="-1" w:type="dxa"/>
              <w:left w:w="-1" w:type="dxa"/>
              <w:bottom w:w="-1" w:type="dxa"/>
              <w:right w:w="-1" w:type="dxa"/>
            </w:tcMar>
            <w:vAlign w:val="center"/>
          </w:tcPr>
          <w:p w14:paraId="722E0B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r>
      <w:tr w:rsidR="000B1CCE" w14:paraId="681EF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E5D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应用</w:t>
            </w:r>
          </w:p>
        </w:tc>
        <w:tc>
          <w:tcPr>
            <w:tcW w:w="0" w:type="auto"/>
            <w:tcBorders>
              <w:top w:val="nil"/>
              <w:left w:val="nil"/>
              <w:bottom w:val="nil"/>
              <w:right w:val="nil"/>
            </w:tcBorders>
            <w:tcMar>
              <w:top w:w="-1" w:type="dxa"/>
              <w:left w:w="-1" w:type="dxa"/>
              <w:bottom w:w="-1" w:type="dxa"/>
              <w:right w:w="-1" w:type="dxa"/>
            </w:tcMar>
            <w:vAlign w:val="center"/>
          </w:tcPr>
          <w:p w14:paraId="62FFD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907" w:type="dxa"/>
            <w:tcBorders>
              <w:top w:val="nil"/>
              <w:left w:val="nil"/>
              <w:bottom w:val="nil"/>
              <w:right w:val="nil"/>
            </w:tcBorders>
            <w:tcMar>
              <w:top w:w="-1" w:type="dxa"/>
              <w:left w:w="-1" w:type="dxa"/>
              <w:bottom w:w="-1" w:type="dxa"/>
              <w:right w:w="-1" w:type="dxa"/>
            </w:tcMar>
            <w:vAlign w:val="center"/>
          </w:tcPr>
          <w:p w14:paraId="0BA8DC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12.0%</w:t>
            </w:r>
          </w:p>
        </w:tc>
      </w:tr>
      <w:tr w:rsidR="000B1CCE" w14:paraId="046353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9DB8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0" w:type="auto"/>
            <w:tcBorders>
              <w:top w:val="nil"/>
              <w:left w:val="nil"/>
              <w:bottom w:val="nil"/>
              <w:right w:val="nil"/>
            </w:tcBorders>
            <w:tcMar>
              <w:top w:w="-1" w:type="dxa"/>
              <w:left w:w="-1" w:type="dxa"/>
              <w:bottom w:w="-1" w:type="dxa"/>
              <w:right w:w="-1" w:type="dxa"/>
            </w:tcMar>
            <w:vAlign w:val="center"/>
          </w:tcPr>
          <w:p w14:paraId="6BBD4D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w:t>
            </w:r>
          </w:p>
        </w:tc>
        <w:tc>
          <w:tcPr>
            <w:tcW w:w="3907" w:type="dxa"/>
            <w:tcBorders>
              <w:top w:val="nil"/>
              <w:left w:val="nil"/>
              <w:bottom w:val="nil"/>
              <w:right w:val="nil"/>
            </w:tcBorders>
            <w:tcMar>
              <w:top w:w="-1" w:type="dxa"/>
              <w:left w:w="-1" w:type="dxa"/>
              <w:bottom w:w="-1" w:type="dxa"/>
              <w:right w:w="-1" w:type="dxa"/>
            </w:tcMar>
            <w:vAlign w:val="center"/>
          </w:tcPr>
          <w:p w14:paraId="584905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2567F0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18F50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1A85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6E8953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4A825A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8E6E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0" w:type="auto"/>
            <w:tcBorders>
              <w:top w:val="nil"/>
              <w:left w:val="nil"/>
              <w:bottom w:val="nil"/>
              <w:right w:val="nil"/>
            </w:tcBorders>
            <w:tcMar>
              <w:top w:w="-1" w:type="dxa"/>
              <w:left w:w="-1" w:type="dxa"/>
              <w:bottom w:w="-1" w:type="dxa"/>
              <w:right w:w="-1" w:type="dxa"/>
            </w:tcMar>
            <w:vAlign w:val="center"/>
          </w:tcPr>
          <w:p w14:paraId="36431E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480031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349C1CCD" w14:textId="77777777">
        <w:trPr>
          <w:jc w:val="center"/>
        </w:trPr>
        <w:tc>
          <w:tcPr>
            <w:tcW w:w="3422" w:type="dxa"/>
            <w:tcBorders>
              <w:top w:val="nil"/>
              <w:left w:val="nil"/>
              <w:bottom w:val="single" w:sz="12" w:space="0" w:color="000000"/>
              <w:right w:val="nil"/>
            </w:tcBorders>
            <w:tcMar>
              <w:top w:w="-1" w:type="dxa"/>
              <w:left w:w="-1" w:type="dxa"/>
              <w:bottom w:w="-1" w:type="dxa"/>
              <w:right w:w="-1" w:type="dxa"/>
            </w:tcMar>
            <w:vAlign w:val="center"/>
          </w:tcPr>
          <w:p w14:paraId="05D0742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r>
              <w:rPr>
                <w:rFonts w:ascii="Times New Roman" w:eastAsia="宋体" w:hAnsi="Times New Roman" w:cs="Times New Roman"/>
                <w:szCs w:val="21"/>
              </w:rPr>
              <w:t>+</w:t>
            </w:r>
            <w:r>
              <w:rPr>
                <w:rFonts w:ascii="Times New Roman" w:eastAsia="宋体" w:hAnsi="Times New Roman" w:cs="Times New Roman"/>
                <w:szCs w:val="21"/>
              </w:rPr>
              <w:t>评价</w:t>
            </w:r>
            <w:r>
              <w:rPr>
                <w:rFonts w:ascii="Times New Roman" w:eastAsia="宋体" w:hAnsi="Times New Roman" w:cs="Times New Roman"/>
                <w:szCs w:val="21"/>
              </w:rPr>
              <w:t>+</w:t>
            </w:r>
            <w:r>
              <w:rPr>
                <w:rFonts w:ascii="Times New Roman" w:eastAsia="宋体" w:hAnsi="Times New Roman" w:cs="Times New Roman"/>
                <w:szCs w:val="21"/>
              </w:rPr>
              <w:t>创造</w:t>
            </w:r>
          </w:p>
        </w:tc>
        <w:tc>
          <w:tcPr>
            <w:tcW w:w="986" w:type="dxa"/>
            <w:tcBorders>
              <w:top w:val="nil"/>
              <w:left w:val="nil"/>
              <w:bottom w:val="single" w:sz="12" w:space="0" w:color="000000"/>
              <w:right w:val="nil"/>
            </w:tcBorders>
            <w:tcMar>
              <w:top w:w="-1" w:type="dxa"/>
              <w:left w:w="-1" w:type="dxa"/>
              <w:bottom w:w="-1" w:type="dxa"/>
              <w:right w:w="-1" w:type="dxa"/>
            </w:tcMar>
            <w:vAlign w:val="center"/>
          </w:tcPr>
          <w:p w14:paraId="2905C18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109</w:t>
            </w:r>
          </w:p>
        </w:tc>
        <w:tc>
          <w:tcPr>
            <w:tcW w:w="3907" w:type="dxa"/>
            <w:tcBorders>
              <w:top w:val="nil"/>
              <w:left w:val="nil"/>
              <w:bottom w:val="single" w:sz="12" w:space="0" w:color="000000"/>
              <w:right w:val="nil"/>
            </w:tcBorders>
            <w:tcMar>
              <w:top w:w="-1" w:type="dxa"/>
              <w:left w:w="-1" w:type="dxa"/>
              <w:bottom w:w="-1" w:type="dxa"/>
              <w:right w:w="-1" w:type="dxa"/>
            </w:tcMar>
            <w:vAlign w:val="center"/>
          </w:tcPr>
          <w:p w14:paraId="5CDD65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33.6%</w:t>
            </w:r>
          </w:p>
        </w:tc>
      </w:tr>
    </w:tbl>
    <w:p w14:paraId="6409A6E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在目前具有完整提问认知层级数据的</w:t>
      </w:r>
      <w:r>
        <w:rPr>
          <w:rFonts w:ascii="Times New Roman" w:eastAsia="宋体" w:hAnsi="Times New Roman" w:cs="Times New Roman"/>
          <w:sz w:val="24"/>
        </w:rPr>
        <w:t>6</w:t>
      </w:r>
      <w:r>
        <w:rPr>
          <w:rFonts w:ascii="Times New Roman" w:eastAsia="宋体" w:hAnsi="Times New Roman" w:cs="Times New Roman"/>
          <w:sz w:val="24"/>
        </w:rPr>
        <w:t>节课中，共记录提问</w:t>
      </w:r>
      <w:r>
        <w:rPr>
          <w:rFonts w:ascii="Times New Roman" w:eastAsia="宋体" w:hAnsi="Times New Roman" w:cs="Times New Roman"/>
          <w:sz w:val="24"/>
        </w:rPr>
        <w:t>324</w:t>
      </w:r>
      <w:r>
        <w:rPr>
          <w:rFonts w:ascii="Times New Roman" w:eastAsia="宋体" w:hAnsi="Times New Roman" w:cs="Times New Roman"/>
          <w:sz w:val="24"/>
        </w:rPr>
        <w:t>次。其中理解型问题</w:t>
      </w:r>
      <w:r>
        <w:rPr>
          <w:rFonts w:ascii="Times New Roman" w:eastAsia="宋体" w:hAnsi="Times New Roman" w:cs="Times New Roman"/>
          <w:sz w:val="24"/>
        </w:rPr>
        <w:t>145</w:t>
      </w:r>
      <w:r>
        <w:rPr>
          <w:rFonts w:ascii="Times New Roman" w:eastAsia="宋体" w:hAnsi="Times New Roman" w:cs="Times New Roman"/>
          <w:sz w:val="24"/>
        </w:rPr>
        <w:t>次，占</w:t>
      </w:r>
      <w:r>
        <w:rPr>
          <w:rFonts w:ascii="Times New Roman" w:eastAsia="宋体" w:hAnsi="Times New Roman" w:cs="Times New Roman"/>
          <w:sz w:val="24"/>
        </w:rPr>
        <w:t>44.8%</w:t>
      </w:r>
      <w:r>
        <w:rPr>
          <w:rFonts w:ascii="Times New Roman" w:eastAsia="宋体" w:hAnsi="Times New Roman" w:cs="Times New Roman"/>
          <w:sz w:val="24"/>
        </w:rPr>
        <w:t>，是数量最多的类型；分析型问题</w:t>
      </w:r>
      <w:r>
        <w:rPr>
          <w:rFonts w:ascii="Times New Roman" w:eastAsia="宋体" w:hAnsi="Times New Roman" w:cs="Times New Roman"/>
          <w:sz w:val="24"/>
        </w:rPr>
        <w:t>93</w:t>
      </w:r>
      <w:r>
        <w:rPr>
          <w:rFonts w:ascii="Times New Roman" w:eastAsia="宋体" w:hAnsi="Times New Roman" w:cs="Times New Roman"/>
          <w:sz w:val="24"/>
        </w:rPr>
        <w:t>次，占</w:t>
      </w:r>
      <w:r>
        <w:rPr>
          <w:rFonts w:ascii="Times New Roman" w:eastAsia="宋体" w:hAnsi="Times New Roman" w:cs="Times New Roman"/>
          <w:sz w:val="24"/>
        </w:rPr>
        <w:t>28.7%</w:t>
      </w:r>
      <w:r>
        <w:rPr>
          <w:rFonts w:ascii="Times New Roman" w:eastAsia="宋体" w:hAnsi="Times New Roman" w:cs="Times New Roman"/>
          <w:sz w:val="24"/>
        </w:rPr>
        <w:t>；</w:t>
      </w:r>
      <w:r>
        <w:rPr>
          <w:rFonts w:ascii="Times New Roman" w:eastAsia="宋体" w:hAnsi="Times New Roman" w:cs="Times New Roman"/>
          <w:sz w:val="24"/>
        </w:rPr>
        <w:lastRenderedPageBreak/>
        <w:t>应用型</w:t>
      </w:r>
      <w:r>
        <w:rPr>
          <w:rFonts w:ascii="Times New Roman" w:eastAsia="宋体" w:hAnsi="Times New Roman" w:cs="Times New Roman"/>
          <w:sz w:val="24"/>
        </w:rPr>
        <w:t>39</w:t>
      </w:r>
      <w:r>
        <w:rPr>
          <w:rFonts w:ascii="Times New Roman" w:eastAsia="宋体" w:hAnsi="Times New Roman" w:cs="Times New Roman"/>
          <w:sz w:val="24"/>
        </w:rPr>
        <w:t>次，占</w:t>
      </w:r>
      <w:r>
        <w:rPr>
          <w:rFonts w:ascii="Times New Roman" w:eastAsia="宋体" w:hAnsi="Times New Roman" w:cs="Times New Roman"/>
          <w:sz w:val="24"/>
        </w:rPr>
        <w:t>12.0%</w:t>
      </w:r>
      <w:r>
        <w:rPr>
          <w:rFonts w:ascii="Times New Roman" w:eastAsia="宋体" w:hAnsi="Times New Roman" w:cs="Times New Roman"/>
          <w:sz w:val="24"/>
        </w:rPr>
        <w:t>；记忆型</w:t>
      </w:r>
      <w:r>
        <w:rPr>
          <w:rFonts w:ascii="Times New Roman" w:eastAsia="宋体" w:hAnsi="Times New Roman" w:cs="Times New Roman"/>
          <w:sz w:val="24"/>
        </w:rPr>
        <w:t>31</w:t>
      </w:r>
      <w:r>
        <w:rPr>
          <w:rFonts w:ascii="Times New Roman" w:eastAsia="宋体" w:hAnsi="Times New Roman" w:cs="Times New Roman"/>
          <w:sz w:val="24"/>
        </w:rPr>
        <w:t>次，占</w:t>
      </w:r>
      <w:r>
        <w:rPr>
          <w:rFonts w:ascii="Times New Roman" w:eastAsia="宋体" w:hAnsi="Times New Roman" w:cs="Times New Roman"/>
          <w:sz w:val="24"/>
        </w:rPr>
        <w:t>9.6%</w:t>
      </w:r>
      <w:r>
        <w:rPr>
          <w:rFonts w:ascii="Times New Roman" w:eastAsia="宋体" w:hAnsi="Times New Roman" w:cs="Times New Roman"/>
          <w:sz w:val="24"/>
        </w:rPr>
        <w:t>；评价型和创造型各</w:t>
      </w:r>
      <w:r>
        <w:rPr>
          <w:rFonts w:ascii="Times New Roman" w:eastAsia="宋体" w:hAnsi="Times New Roman" w:cs="Times New Roman"/>
          <w:sz w:val="24"/>
        </w:rPr>
        <w:t>8</w:t>
      </w:r>
      <w:r>
        <w:rPr>
          <w:rFonts w:ascii="Times New Roman" w:eastAsia="宋体" w:hAnsi="Times New Roman" w:cs="Times New Roman"/>
          <w:sz w:val="24"/>
        </w:rPr>
        <w:t>次，分别占</w:t>
      </w:r>
      <w:r>
        <w:rPr>
          <w:rFonts w:ascii="Times New Roman" w:eastAsia="宋体" w:hAnsi="Times New Roman" w:cs="Times New Roman"/>
          <w:sz w:val="24"/>
        </w:rPr>
        <w:t>2.5%</w:t>
      </w:r>
      <w:r>
        <w:rPr>
          <w:rFonts w:ascii="Times New Roman" w:eastAsia="宋体" w:hAnsi="Times New Roman" w:cs="Times New Roman"/>
          <w:sz w:val="24"/>
        </w:rPr>
        <w:t>。按照本研究分析</w:t>
      </w:r>
      <w:r>
        <w:rPr>
          <w:rFonts w:ascii="Times New Roman" w:eastAsia="宋体" w:hAnsi="Times New Roman" w:cs="Times New Roman"/>
          <w:sz w:val="24"/>
        </w:rPr>
        <w:t>+</w:t>
      </w:r>
      <w:r>
        <w:rPr>
          <w:rFonts w:ascii="Times New Roman" w:eastAsia="宋体" w:hAnsi="Times New Roman" w:cs="Times New Roman"/>
          <w:sz w:val="24"/>
        </w:rPr>
        <w:t>评价</w:t>
      </w:r>
      <w:r>
        <w:rPr>
          <w:rFonts w:ascii="Times New Roman" w:eastAsia="宋体" w:hAnsi="Times New Roman" w:cs="Times New Roman"/>
          <w:sz w:val="24"/>
        </w:rPr>
        <w:t>+</w:t>
      </w:r>
      <w:r>
        <w:rPr>
          <w:rFonts w:ascii="Times New Roman" w:eastAsia="宋体" w:hAnsi="Times New Roman" w:cs="Times New Roman"/>
          <w:sz w:val="24"/>
        </w:rPr>
        <w:t>创造的口径，共有高阶认知问题</w:t>
      </w:r>
      <w:r>
        <w:rPr>
          <w:rFonts w:ascii="Times New Roman" w:eastAsia="宋体" w:hAnsi="Times New Roman" w:cs="Times New Roman"/>
          <w:sz w:val="24"/>
        </w:rPr>
        <w:t>109</w:t>
      </w:r>
      <w:r>
        <w:rPr>
          <w:rFonts w:ascii="Times New Roman" w:eastAsia="宋体" w:hAnsi="Times New Roman" w:cs="Times New Roman"/>
          <w:sz w:val="24"/>
        </w:rPr>
        <w:t>次，占</w:t>
      </w:r>
      <w:r>
        <w:rPr>
          <w:rFonts w:ascii="Times New Roman" w:eastAsia="宋体" w:hAnsi="Times New Roman" w:cs="Times New Roman"/>
          <w:sz w:val="24"/>
        </w:rPr>
        <w:t>33.6%</w:t>
      </w:r>
      <w:r>
        <w:rPr>
          <w:rFonts w:ascii="Times New Roman" w:eastAsia="宋体" w:hAnsi="Times New Roman" w:cs="Times New Roman"/>
          <w:sz w:val="24"/>
        </w:rPr>
        <w:t>。</w:t>
      </w:r>
    </w:p>
    <w:p w14:paraId="6155FD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从课例差异看，物理</w:t>
      </w:r>
      <w:r>
        <w:rPr>
          <w:rFonts w:ascii="Times New Roman" w:eastAsia="宋体" w:hAnsi="Times New Roman" w:cs="Times New Roman"/>
          <w:sz w:val="24"/>
        </w:rPr>
        <w:t>1</w:t>
      </w:r>
      <w:r>
        <w:rPr>
          <w:rFonts w:ascii="Times New Roman" w:eastAsia="宋体" w:hAnsi="Times New Roman" w:cs="Times New Roman"/>
          <w:sz w:val="24"/>
        </w:rPr>
        <w:t>高阶认知比例最高，为</w:t>
      </w:r>
      <w:r>
        <w:rPr>
          <w:rFonts w:ascii="Times New Roman" w:eastAsia="宋体" w:hAnsi="Times New Roman" w:cs="Times New Roman"/>
          <w:sz w:val="24"/>
        </w:rPr>
        <w:t>53%</w:t>
      </w:r>
      <w:r>
        <w:rPr>
          <w:rFonts w:ascii="Times New Roman" w:eastAsia="宋体" w:hAnsi="Times New Roman" w:cs="Times New Roman"/>
          <w:sz w:val="24"/>
        </w:rPr>
        <w:t>，其中分析型问题占</w:t>
      </w:r>
      <w:r>
        <w:rPr>
          <w:rFonts w:ascii="Times New Roman" w:eastAsia="宋体" w:hAnsi="Times New Roman" w:cs="Times New Roman"/>
          <w:sz w:val="24"/>
        </w:rPr>
        <w:t>43%</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按次数校核后约为</w:t>
      </w:r>
      <w:r>
        <w:rPr>
          <w:rFonts w:ascii="Times New Roman" w:eastAsia="宋体" w:hAnsi="Times New Roman" w:cs="Times New Roman"/>
          <w:sz w:val="24"/>
        </w:rPr>
        <w:t>43%</w:t>
      </w:r>
      <w:r>
        <w:rPr>
          <w:rFonts w:ascii="Times New Roman" w:eastAsia="宋体" w:hAnsi="Times New Roman" w:cs="Times New Roman"/>
          <w:sz w:val="24"/>
        </w:rPr>
        <w:t>，物理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42%</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30%</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29%</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17%</w:t>
      </w:r>
      <w:r>
        <w:rPr>
          <w:rFonts w:ascii="Times New Roman" w:eastAsia="宋体" w:hAnsi="Times New Roman" w:cs="Times New Roman"/>
          <w:sz w:val="24"/>
        </w:rPr>
        <w:t>。这一差异提示，不同课例的提问结构并不一致。物理课例的分析型问题比例相对较高，语文</w:t>
      </w:r>
      <w:r>
        <w:rPr>
          <w:rFonts w:ascii="Times New Roman" w:eastAsia="宋体" w:hAnsi="Times New Roman" w:cs="Times New Roman"/>
          <w:sz w:val="24"/>
        </w:rPr>
        <w:t>2</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同时保留较高比例的理解型问题与一定比例的分析、评价和创造型问题；英语</w:t>
      </w:r>
      <w:r>
        <w:rPr>
          <w:rFonts w:ascii="Times New Roman" w:eastAsia="宋体" w:hAnsi="Times New Roman" w:cs="Times New Roman"/>
          <w:sz w:val="24"/>
        </w:rPr>
        <w:t>1</w:t>
      </w:r>
      <w:r>
        <w:rPr>
          <w:rFonts w:ascii="Times New Roman" w:eastAsia="宋体" w:hAnsi="Times New Roman" w:cs="Times New Roman"/>
          <w:sz w:val="24"/>
        </w:rPr>
        <w:t>则以理解型和应用型问题为主。</w:t>
      </w:r>
    </w:p>
    <w:p w14:paraId="3ADAFBC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从总体层级结构看，理解与分析两类问题合计占</w:t>
      </w:r>
      <w:r>
        <w:rPr>
          <w:rFonts w:ascii="Times New Roman" w:eastAsia="宋体" w:hAnsi="Times New Roman" w:cs="Times New Roman"/>
          <w:sz w:val="24"/>
        </w:rPr>
        <w:t>73.5%</w:t>
      </w:r>
      <w:r>
        <w:rPr>
          <w:rFonts w:ascii="Times New Roman" w:eastAsia="宋体" w:hAnsi="Times New Roman" w:cs="Times New Roman"/>
          <w:sz w:val="24"/>
        </w:rPr>
        <w:t>，构成</w:t>
      </w:r>
      <w:r>
        <w:rPr>
          <w:rFonts w:ascii="Times New Roman" w:eastAsia="宋体" w:hAnsi="Times New Roman" w:cs="Times New Roman"/>
          <w:sz w:val="24"/>
        </w:rPr>
        <w:t>6</w:t>
      </w:r>
      <w:r>
        <w:rPr>
          <w:rFonts w:ascii="Times New Roman" w:eastAsia="宋体" w:hAnsi="Times New Roman" w:cs="Times New Roman"/>
          <w:sz w:val="24"/>
        </w:rPr>
        <w:t>节课提问的主体。评价、创造类问题比例较低，但在语文</w:t>
      </w:r>
      <w:r>
        <w:rPr>
          <w:rFonts w:ascii="Times New Roman" w:eastAsia="宋体" w:hAnsi="Times New Roman" w:cs="Times New Roman"/>
          <w:sz w:val="24"/>
        </w:rPr>
        <w:t>1</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中均有出现。现有数据显示，课堂提问覆盖了记忆、理解、应用、分析、评价和创造等认知层级；由于只有</w:t>
      </w:r>
      <w:r>
        <w:rPr>
          <w:rFonts w:ascii="Times New Roman" w:eastAsia="宋体" w:hAnsi="Times New Roman" w:cs="Times New Roman"/>
          <w:sz w:val="24"/>
        </w:rPr>
        <w:t>6</w:t>
      </w:r>
      <w:r>
        <w:rPr>
          <w:rFonts w:ascii="Times New Roman" w:eastAsia="宋体" w:hAnsi="Times New Roman" w:cs="Times New Roman"/>
          <w:sz w:val="24"/>
        </w:rPr>
        <w:t>节课具有完整认知层级数据，该结果描述的是这些课例的提问结构。</w:t>
      </w:r>
    </w:p>
    <w:p w14:paraId="7DFAB3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报告记录的是教师所提问题的认知层级，未对高阶问题之后学生是否发生论证、质疑、观点修正等行为进行逐次编码。因此，本研究不据此直接推断学生高阶思维能力已经形成，而将其作为课堂是否提供高阶认知机会的重要过程性指标。</w:t>
      </w:r>
    </w:p>
    <w:p w14:paraId="15D462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AI</w:t>
      </w:r>
      <w:r>
        <w:rPr>
          <w:rFonts w:ascii="Times New Roman" w:eastAsia="宋体" w:hAnsi="Times New Roman" w:cs="Times New Roman"/>
          <w:kern w:val="0"/>
          <w:sz w:val="24"/>
        </w:rPr>
        <w:t>行为数据的价值还在于弥补教师主观感受的局限。课堂观察研究发现，教师往往难以准确估计自己讲授所占的时间，自认为只占二至三成的讲授实际可能达到七至八成（</w:t>
      </w:r>
      <w:r>
        <w:rPr>
          <w:rFonts w:ascii="Times New Roman" w:eastAsia="宋体" w:hAnsi="Times New Roman" w:cs="Times New Roman"/>
          <w:kern w:val="0"/>
          <w:sz w:val="24"/>
        </w:rPr>
        <w:t>Knudsen, 2017</w:t>
      </w:r>
      <w:r>
        <w:rPr>
          <w:rFonts w:ascii="Times New Roman" w:eastAsia="宋体" w:hAnsi="Times New Roman" w:cs="Times New Roman"/>
          <w:kern w:val="0"/>
          <w:sz w:val="24"/>
        </w:rPr>
        <w:t>）。希沃数据为教师提供了不依赖自我感觉的课堂结构信息，但这些信息只描述行为发生的时间和频次，教师仍需结合学习目标和学生表现解释其意义。</w:t>
      </w:r>
    </w:p>
    <w:p w14:paraId="0FE25A5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w:t>
      </w:r>
      <w:r>
        <w:rPr>
          <w:rFonts w:ascii="Times New Roman" w:eastAsia="华文楷体" w:hAnsi="Times New Roman" w:cs="Times New Roman"/>
          <w:sz w:val="24"/>
        </w:rPr>
        <w:t>AI</w:t>
      </w:r>
      <w:r>
        <w:rPr>
          <w:rFonts w:ascii="Times New Roman" w:eastAsia="华文楷体" w:hAnsi="Times New Roman" w:cs="Times New Roman"/>
          <w:sz w:val="24"/>
        </w:rPr>
        <w:t>反馈文本的质性分析</w:t>
      </w:r>
    </w:p>
    <w:p w14:paraId="79B04DB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3-82  </w:t>
      </w:r>
      <w:r>
        <w:rPr>
          <w:rFonts w:ascii="Times New Roman" w:eastAsia="黑体" w:hAnsi="Times New Roman" w:cs="Times New Roman"/>
        </w:rPr>
        <w:t>希沃</w:t>
      </w:r>
      <w:r>
        <w:rPr>
          <w:rFonts w:ascii="Times New Roman" w:eastAsia="黑体" w:hAnsi="Times New Roman" w:cs="Times New Roman"/>
        </w:rPr>
        <w:t>AI</w:t>
      </w:r>
      <w:r>
        <w:rPr>
          <w:rFonts w:ascii="Times New Roman" w:eastAsia="黑体" w:hAnsi="Times New Roman" w:cs="Times New Roman"/>
        </w:rPr>
        <w:t>原始反馈文本编码示例</w:t>
      </w:r>
    </w:p>
    <w:tbl>
      <w:tblPr>
        <w:tblW w:w="836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43E35C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BA323D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AI</w:t>
            </w:r>
            <w:r>
              <w:rPr>
                <w:rFonts w:ascii="Times New Roman" w:eastAsia="宋体" w:hAnsi="Times New Roman" w:cs="Times New Roman"/>
                <w:b/>
                <w:szCs w:val="21"/>
              </w:rPr>
              <w:t>原始反馈内容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A3341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一级编码</w:t>
            </w:r>
          </w:p>
        </w:tc>
        <w:tc>
          <w:tcPr>
            <w:tcW w:w="17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1244B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二级编码</w:t>
            </w:r>
          </w:p>
        </w:tc>
      </w:tr>
      <w:tr w:rsidR="000B1CCE" w14:paraId="6706E7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5CA4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教师主导占比较高，学生主动参与机会较少</w:t>
            </w:r>
          </w:p>
        </w:tc>
        <w:tc>
          <w:tcPr>
            <w:tcW w:w="0" w:type="auto"/>
            <w:tcBorders>
              <w:top w:val="nil"/>
              <w:left w:val="nil"/>
              <w:bottom w:val="nil"/>
              <w:right w:val="nil"/>
            </w:tcBorders>
            <w:tcMar>
              <w:top w:w="-1" w:type="dxa"/>
              <w:left w:w="-1" w:type="dxa"/>
              <w:bottom w:w="-1" w:type="dxa"/>
              <w:right w:w="-1" w:type="dxa"/>
            </w:tcMar>
            <w:vAlign w:val="center"/>
          </w:tcPr>
          <w:p w14:paraId="711314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03F848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学生参与空间</w:t>
            </w:r>
          </w:p>
        </w:tc>
      </w:tr>
      <w:tr w:rsidR="000B1CCE" w14:paraId="31253EB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F4E7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教师引导与学生活动结合有序</w:t>
            </w:r>
          </w:p>
        </w:tc>
        <w:tc>
          <w:tcPr>
            <w:tcW w:w="0" w:type="auto"/>
            <w:tcBorders>
              <w:top w:val="nil"/>
              <w:left w:val="nil"/>
              <w:bottom w:val="nil"/>
              <w:right w:val="nil"/>
            </w:tcBorders>
            <w:tcMar>
              <w:top w:w="-1" w:type="dxa"/>
              <w:left w:w="-1" w:type="dxa"/>
              <w:bottom w:w="-1" w:type="dxa"/>
              <w:right w:w="-1" w:type="dxa"/>
            </w:tcMar>
            <w:vAlign w:val="center"/>
          </w:tcPr>
          <w:p w14:paraId="645B0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144188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教学生态平衡</w:t>
            </w:r>
          </w:p>
        </w:tc>
      </w:tr>
      <w:tr w:rsidR="000B1CCE" w14:paraId="6DEF25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E40B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师生互动频繁，互动生态良好</w:t>
            </w:r>
          </w:p>
        </w:tc>
        <w:tc>
          <w:tcPr>
            <w:tcW w:w="0" w:type="auto"/>
            <w:tcBorders>
              <w:top w:val="nil"/>
              <w:left w:val="nil"/>
              <w:bottom w:val="nil"/>
              <w:right w:val="nil"/>
            </w:tcBorders>
            <w:tcMar>
              <w:top w:w="-1" w:type="dxa"/>
              <w:left w:w="-1" w:type="dxa"/>
              <w:bottom w:w="-1" w:type="dxa"/>
              <w:right w:w="-1" w:type="dxa"/>
            </w:tcMar>
            <w:vAlign w:val="center"/>
          </w:tcPr>
          <w:p w14:paraId="53AAA9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互动交流</w:t>
            </w:r>
          </w:p>
        </w:tc>
        <w:tc>
          <w:tcPr>
            <w:tcW w:w="1723" w:type="dxa"/>
            <w:tcBorders>
              <w:top w:val="nil"/>
              <w:left w:val="nil"/>
              <w:bottom w:val="nil"/>
              <w:right w:val="nil"/>
            </w:tcBorders>
            <w:tcMar>
              <w:top w:w="-1" w:type="dxa"/>
              <w:left w:w="-1" w:type="dxa"/>
              <w:bottom w:w="-1" w:type="dxa"/>
              <w:right w:w="-1" w:type="dxa"/>
            </w:tcMar>
            <w:vAlign w:val="center"/>
          </w:tcPr>
          <w:p w14:paraId="553BB0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互动充分</w:t>
            </w:r>
          </w:p>
        </w:tc>
      </w:tr>
      <w:tr w:rsidR="000B1CCE" w14:paraId="555666A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73C5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学生有自主学习空间</w:t>
            </w:r>
          </w:p>
        </w:tc>
        <w:tc>
          <w:tcPr>
            <w:tcW w:w="0" w:type="auto"/>
            <w:tcBorders>
              <w:top w:val="nil"/>
              <w:left w:val="nil"/>
              <w:bottom w:val="nil"/>
              <w:right w:val="nil"/>
            </w:tcBorders>
            <w:tcMar>
              <w:top w:w="-1" w:type="dxa"/>
              <w:left w:w="-1" w:type="dxa"/>
              <w:bottom w:w="-1" w:type="dxa"/>
              <w:right w:w="-1" w:type="dxa"/>
            </w:tcMar>
            <w:vAlign w:val="center"/>
          </w:tcPr>
          <w:p w14:paraId="167888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学习方式</w:t>
            </w:r>
          </w:p>
        </w:tc>
        <w:tc>
          <w:tcPr>
            <w:tcW w:w="1723" w:type="dxa"/>
            <w:tcBorders>
              <w:top w:val="nil"/>
              <w:left w:val="nil"/>
              <w:bottom w:val="nil"/>
              <w:right w:val="nil"/>
            </w:tcBorders>
            <w:tcMar>
              <w:top w:w="-1" w:type="dxa"/>
              <w:left w:w="-1" w:type="dxa"/>
              <w:bottom w:w="-1" w:type="dxa"/>
              <w:right w:w="-1" w:type="dxa"/>
            </w:tcMar>
            <w:vAlign w:val="center"/>
          </w:tcPr>
          <w:p w14:paraId="292396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自主参与</w:t>
            </w:r>
          </w:p>
        </w:tc>
      </w:tr>
      <w:tr w:rsidR="000B1CCE" w14:paraId="0E92AC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AC9E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需增加师生互动环节</w:t>
            </w:r>
          </w:p>
        </w:tc>
        <w:tc>
          <w:tcPr>
            <w:tcW w:w="0" w:type="auto"/>
            <w:tcBorders>
              <w:top w:val="nil"/>
              <w:left w:val="nil"/>
              <w:bottom w:val="nil"/>
              <w:right w:val="nil"/>
            </w:tcBorders>
            <w:tcMar>
              <w:top w:w="-1" w:type="dxa"/>
              <w:left w:w="-1" w:type="dxa"/>
              <w:bottom w:w="-1" w:type="dxa"/>
              <w:right w:w="-1" w:type="dxa"/>
            </w:tcMar>
            <w:vAlign w:val="center"/>
          </w:tcPr>
          <w:p w14:paraId="6F516C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nil"/>
              <w:right w:val="nil"/>
            </w:tcBorders>
            <w:tcMar>
              <w:top w:w="-1" w:type="dxa"/>
              <w:left w:w="-1" w:type="dxa"/>
              <w:bottom w:w="-1" w:type="dxa"/>
              <w:right w:w="-1" w:type="dxa"/>
            </w:tcMar>
            <w:vAlign w:val="center"/>
          </w:tcPr>
          <w:p w14:paraId="21C145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互动优化</w:t>
            </w:r>
          </w:p>
        </w:tc>
      </w:tr>
      <w:tr w:rsidR="000B1CCE" w14:paraId="698A933D" w14:textId="77777777">
        <w:trPr>
          <w:jc w:val="center"/>
        </w:trPr>
        <w:tc>
          <w:tcPr>
            <w:tcW w:w="5442" w:type="dxa"/>
            <w:tcBorders>
              <w:top w:val="nil"/>
              <w:left w:val="nil"/>
              <w:bottom w:val="single" w:sz="12" w:space="0" w:color="000000"/>
              <w:right w:val="nil"/>
            </w:tcBorders>
            <w:tcMar>
              <w:top w:w="-1" w:type="dxa"/>
              <w:left w:w="-1" w:type="dxa"/>
              <w:bottom w:w="-1" w:type="dxa"/>
              <w:right w:w="-1" w:type="dxa"/>
            </w:tcMar>
            <w:vAlign w:val="center"/>
          </w:tcPr>
          <w:p w14:paraId="2BE2A6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需增加探究和实践活动</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311E9E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single" w:sz="12" w:space="0" w:color="000000"/>
              <w:right w:val="nil"/>
            </w:tcBorders>
            <w:tcMar>
              <w:top w:w="-1" w:type="dxa"/>
              <w:left w:w="-1" w:type="dxa"/>
              <w:bottom w:w="-1" w:type="dxa"/>
              <w:right w:w="-1" w:type="dxa"/>
            </w:tcMar>
            <w:vAlign w:val="center"/>
          </w:tcPr>
          <w:p w14:paraId="7EA3B6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探究深化</w:t>
            </w:r>
          </w:p>
        </w:tc>
      </w:tr>
    </w:tbl>
    <w:p w14:paraId="043F78A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与量化数据相比，</w:t>
      </w:r>
      <w:r>
        <w:rPr>
          <w:rFonts w:ascii="Times New Roman" w:eastAsia="宋体" w:hAnsi="Times New Roman" w:cs="Times New Roman"/>
          <w:sz w:val="24"/>
        </w:rPr>
        <w:t>AI</w:t>
      </w:r>
      <w:r>
        <w:rPr>
          <w:rFonts w:ascii="Times New Roman" w:eastAsia="宋体" w:hAnsi="Times New Roman" w:cs="Times New Roman"/>
          <w:sz w:val="24"/>
        </w:rPr>
        <w:t>反馈文本更多反映系统对课堂状态的解释性判断。从</w:t>
      </w:r>
      <w:r>
        <w:rPr>
          <w:rFonts w:ascii="Times New Roman" w:eastAsia="宋体" w:hAnsi="Times New Roman" w:cs="Times New Roman"/>
          <w:sz w:val="24"/>
        </w:rPr>
        <w:lastRenderedPageBreak/>
        <w:t>现有原始反馈看，文本并未呈现单一方向，而同时包含积极描述和改进提示。例如，</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师生互动频繁，互动生态良好</w:t>
      </w:r>
      <w:r>
        <w:rPr>
          <w:rFonts w:ascii="Times New Roman" w:eastAsia="宋体" w:hAnsi="Times New Roman" w:cs="Times New Roman"/>
          <w:sz w:val="24"/>
        </w:rPr>
        <w:t>”</w:t>
      </w:r>
      <w:r>
        <w:rPr>
          <w:rFonts w:ascii="Times New Roman" w:eastAsia="宋体" w:hAnsi="Times New Roman" w:cs="Times New Roman"/>
          <w:sz w:val="24"/>
        </w:rPr>
        <w:t>、学生有自主学习空间等反馈，与部分课例中较高的学生行为占比、较长的讨论时间相呼应；另一方面，</w:t>
      </w:r>
      <w:r>
        <w:rPr>
          <w:rFonts w:ascii="Times New Roman" w:eastAsia="宋体" w:hAnsi="Times New Roman" w:cs="Times New Roman"/>
          <w:sz w:val="24"/>
        </w:rPr>
        <w:t>“</w:t>
      </w:r>
      <w:r>
        <w:rPr>
          <w:rFonts w:ascii="Times New Roman" w:eastAsia="宋体" w:hAnsi="Times New Roman" w:cs="Times New Roman"/>
          <w:sz w:val="24"/>
        </w:rPr>
        <w:t>教师主导占比较高，学生主动参与机会较少</w:t>
      </w:r>
      <w:r>
        <w:rPr>
          <w:rFonts w:ascii="Times New Roman" w:eastAsia="宋体" w:hAnsi="Times New Roman" w:cs="Times New Roman"/>
          <w:sz w:val="24"/>
        </w:rPr>
        <w:t>”</w:t>
      </w:r>
      <w:r>
        <w:rPr>
          <w:rFonts w:ascii="Times New Roman" w:eastAsia="宋体" w:hAnsi="Times New Roman" w:cs="Times New Roman"/>
          <w:sz w:val="24"/>
        </w:rPr>
        <w:t>、需增加师生互动环节、需增加探究和实践活动等内容，则反映出不同课例之间仍存在结构差异。</w:t>
      </w:r>
    </w:p>
    <w:p w14:paraId="1203A0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从编码维度看，现有</w:t>
      </w:r>
      <w:r>
        <w:rPr>
          <w:rFonts w:ascii="Times New Roman" w:eastAsia="宋体" w:hAnsi="Times New Roman" w:cs="Times New Roman"/>
          <w:sz w:val="24"/>
        </w:rPr>
        <w:t>AI</w:t>
      </w:r>
      <w:r>
        <w:rPr>
          <w:rFonts w:ascii="Times New Roman" w:eastAsia="宋体" w:hAnsi="Times New Roman" w:cs="Times New Roman"/>
          <w:sz w:val="24"/>
        </w:rPr>
        <w:t>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w:t>
      </w:r>
      <w:r>
        <w:rPr>
          <w:rFonts w:ascii="Times New Roman" w:eastAsia="宋体" w:hAnsi="Times New Roman" w:cs="Times New Roman"/>
          <w:sz w:val="24"/>
        </w:rPr>
        <w:t>10</w:t>
      </w:r>
      <w:r>
        <w:rPr>
          <w:rFonts w:ascii="Times New Roman" w:eastAsia="宋体" w:hAnsi="Times New Roman" w:cs="Times New Roman"/>
          <w:sz w:val="24"/>
        </w:rPr>
        <w:t>节课中的完整出现频次，本报告不人为计算主题频率，也不使用高频、普遍等超出资料支持范围的表述。</w:t>
      </w:r>
    </w:p>
    <w:p w14:paraId="303C39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将质性文本与量化结果对照可以发现，两类证据在若干方面具有一致性。其一，量化数据显示课例间教师</w:t>
      </w:r>
      <w:r>
        <w:rPr>
          <w:rFonts w:ascii="Times New Roman" w:eastAsia="宋体" w:hAnsi="Times New Roman" w:cs="Times New Roman"/>
          <w:sz w:val="24"/>
        </w:rPr>
        <w:t>/</w:t>
      </w:r>
      <w:r>
        <w:rPr>
          <w:rFonts w:ascii="Times New Roman" w:eastAsia="宋体" w:hAnsi="Times New Roman" w:cs="Times New Roman"/>
          <w:sz w:val="24"/>
        </w:rPr>
        <w:t>学生行为比例差异较大，质性文本同时出现教师主导占比较高和</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两类不同判断，说明</w:t>
      </w:r>
      <w:r>
        <w:rPr>
          <w:rFonts w:ascii="Times New Roman" w:eastAsia="宋体" w:hAnsi="Times New Roman" w:cs="Times New Roman"/>
          <w:sz w:val="24"/>
        </w:rPr>
        <w:t>AI</w:t>
      </w:r>
      <w:r>
        <w:rPr>
          <w:rFonts w:ascii="Times New Roman" w:eastAsia="宋体" w:hAnsi="Times New Roman" w:cs="Times New Roman"/>
          <w:sz w:val="24"/>
        </w:rPr>
        <w:t>反馈能够反映课例之间的异质性。其二，学生讨论在</w:t>
      </w:r>
      <w:r>
        <w:rPr>
          <w:rFonts w:ascii="Times New Roman" w:eastAsia="宋体" w:hAnsi="Times New Roman" w:cs="Times New Roman"/>
          <w:sz w:val="24"/>
        </w:rPr>
        <w:t>10</w:t>
      </w:r>
      <w:r>
        <w:rPr>
          <w:rFonts w:ascii="Times New Roman" w:eastAsia="宋体" w:hAnsi="Times New Roman" w:cs="Times New Roman"/>
          <w:sz w:val="24"/>
        </w:rPr>
        <w:t>节课中均有较长时间记录，质性文本中相应出现师生互动频繁、学生有自主学习空间等表述。其三，展示、实验</w:t>
      </w:r>
      <w:r>
        <w:rPr>
          <w:rFonts w:ascii="Times New Roman" w:eastAsia="宋体" w:hAnsi="Times New Roman" w:cs="Times New Roman"/>
          <w:sz w:val="24"/>
        </w:rPr>
        <w:t>/</w:t>
      </w:r>
      <w:r>
        <w:rPr>
          <w:rFonts w:ascii="Times New Roman" w:eastAsia="宋体" w:hAnsi="Times New Roman" w:cs="Times New Roman"/>
          <w:sz w:val="24"/>
        </w:rPr>
        <w:t>实践行为在行为统计中相对集中于少数课例，</w:t>
      </w:r>
      <w:r>
        <w:rPr>
          <w:rFonts w:ascii="Times New Roman" w:eastAsia="宋体" w:hAnsi="Times New Roman" w:cs="Times New Roman"/>
          <w:sz w:val="24"/>
        </w:rPr>
        <w:t>AI</w:t>
      </w:r>
      <w:r>
        <w:rPr>
          <w:rFonts w:ascii="Times New Roman" w:eastAsia="宋体" w:hAnsi="Times New Roman" w:cs="Times New Roman"/>
          <w:sz w:val="24"/>
        </w:rPr>
        <w:t>反馈中也出现需增加探究和实践活动的建议。两类证据相互补充，使课堂实施状态的描述不只停留在单一比例指标。</w:t>
      </w:r>
    </w:p>
    <w:p w14:paraId="116C49B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5</w:t>
      </w:r>
      <w:r>
        <w:rPr>
          <w:rFonts w:ascii="Times New Roman" w:eastAsia="华文楷体" w:hAnsi="Times New Roman" w:cs="Times New Roman"/>
          <w:sz w:val="24"/>
        </w:rPr>
        <w:t>）课堂实施状态的综合判断</w:t>
      </w:r>
    </w:p>
    <w:p w14:paraId="02552E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w:t>
      </w:r>
      <w:r>
        <w:rPr>
          <w:rFonts w:ascii="Times New Roman" w:eastAsia="宋体" w:hAnsi="Times New Roman" w:cs="Times New Roman"/>
          <w:sz w:val="24"/>
        </w:rPr>
        <w:t>10</w:t>
      </w:r>
      <w:r>
        <w:rPr>
          <w:rFonts w:ascii="Times New Roman" w:eastAsia="宋体" w:hAnsi="Times New Roman" w:cs="Times New Roman"/>
          <w:sz w:val="24"/>
        </w:rPr>
        <w:t>节课课堂行为数据、</w:t>
      </w:r>
      <w:r>
        <w:rPr>
          <w:rFonts w:ascii="Times New Roman" w:eastAsia="宋体" w:hAnsi="Times New Roman" w:cs="Times New Roman"/>
          <w:sz w:val="24"/>
        </w:rPr>
        <w:t>6</w:t>
      </w:r>
      <w:r>
        <w:rPr>
          <w:rFonts w:ascii="Times New Roman" w:eastAsia="宋体" w:hAnsi="Times New Roman" w:cs="Times New Roman"/>
          <w:sz w:val="24"/>
        </w:rPr>
        <w:t>节课提问认知层级数据以及希沃</w:t>
      </w:r>
      <w:r>
        <w:rPr>
          <w:rFonts w:ascii="Times New Roman" w:eastAsia="宋体" w:hAnsi="Times New Roman" w:cs="Times New Roman"/>
          <w:sz w:val="24"/>
        </w:rPr>
        <w:t>AI</w:t>
      </w:r>
      <w:r>
        <w:rPr>
          <w:rFonts w:ascii="Times New Roman" w:eastAsia="宋体" w:hAnsi="Times New Roman" w:cs="Times New Roman"/>
          <w:sz w:val="24"/>
        </w:rPr>
        <w:t>反馈文本，可以形成对课堂实施状态的几个描述性认识。第一，</w:t>
      </w:r>
      <w:r>
        <w:rPr>
          <w:rFonts w:ascii="Times New Roman" w:eastAsia="宋体" w:hAnsi="Times New Roman" w:cs="Times New Roman"/>
          <w:sz w:val="24"/>
        </w:rPr>
        <w:t>10</w:t>
      </w:r>
      <w:r>
        <w:rPr>
          <w:rFonts w:ascii="Times New Roman" w:eastAsia="宋体" w:hAnsi="Times New Roman" w:cs="Times New Roman"/>
          <w:sz w:val="24"/>
        </w:rPr>
        <w:t>节课教师行为与学生行为总体均值接近，但单课差异较大，说明课堂组织方式具有明显课例差异。第二，学生讨论是覆盖最广、持续时间最长的学生学习行为，练习、展示、实验</w:t>
      </w:r>
      <w:r>
        <w:rPr>
          <w:rFonts w:ascii="Times New Roman" w:eastAsia="宋体" w:hAnsi="Times New Roman" w:cs="Times New Roman"/>
          <w:sz w:val="24"/>
        </w:rPr>
        <w:t>/</w:t>
      </w:r>
      <w:r>
        <w:rPr>
          <w:rFonts w:ascii="Times New Roman" w:eastAsia="宋体" w:hAnsi="Times New Roman" w:cs="Times New Roman"/>
          <w:sz w:val="24"/>
        </w:rPr>
        <w:t>实践则呈现较强的学科和任务特征。第三，师生问答与学生讨论共同构成课堂互动的主要可观测形式，不同课例在两者的组合方式上存在差异。第四，在</w:t>
      </w:r>
      <w:r>
        <w:rPr>
          <w:rFonts w:ascii="Times New Roman" w:eastAsia="宋体" w:hAnsi="Times New Roman" w:cs="Times New Roman"/>
          <w:sz w:val="24"/>
        </w:rPr>
        <w:t>6</w:t>
      </w:r>
      <w:r>
        <w:rPr>
          <w:rFonts w:ascii="Times New Roman" w:eastAsia="宋体" w:hAnsi="Times New Roman" w:cs="Times New Roman"/>
          <w:sz w:val="24"/>
        </w:rPr>
        <w:t>节具有完整认知层级数据的课例中，高阶认知问题占</w:t>
      </w:r>
      <w:r>
        <w:rPr>
          <w:rFonts w:ascii="Times New Roman" w:eastAsia="宋体" w:hAnsi="Times New Roman" w:cs="Times New Roman"/>
          <w:sz w:val="24"/>
        </w:rPr>
        <w:t>33.6%</w:t>
      </w:r>
      <w:r>
        <w:rPr>
          <w:rFonts w:ascii="Times New Roman" w:eastAsia="宋体" w:hAnsi="Times New Roman" w:cs="Times New Roman"/>
          <w:sz w:val="24"/>
        </w:rPr>
        <w:t>，以分析型问题为主，评价和创造型问题比例相对较低。第五，</w:t>
      </w:r>
      <w:r>
        <w:rPr>
          <w:rFonts w:ascii="Times New Roman" w:eastAsia="宋体" w:hAnsi="Times New Roman" w:cs="Times New Roman"/>
          <w:sz w:val="24"/>
        </w:rPr>
        <w:t>AI</w:t>
      </w:r>
      <w:r>
        <w:rPr>
          <w:rFonts w:ascii="Times New Roman" w:eastAsia="宋体" w:hAnsi="Times New Roman" w:cs="Times New Roman"/>
          <w:sz w:val="24"/>
        </w:rPr>
        <w:t>质性文本既记录课堂中已有的互动、自主参与等表现，也提出增加互动、探究和实践活动等建议，其内容与行为统计呈</w:t>
      </w:r>
      <w:r>
        <w:rPr>
          <w:rFonts w:ascii="Times New Roman" w:eastAsia="宋体" w:hAnsi="Times New Roman" w:cs="Times New Roman"/>
          <w:sz w:val="24"/>
        </w:rPr>
        <w:lastRenderedPageBreak/>
        <w:t>现出一定程度的对应关系。</w:t>
      </w:r>
    </w:p>
    <w:p w14:paraId="18E0EF7F" w14:textId="77777777" w:rsidR="000B1CCE" w:rsidRDefault="00000000">
      <w:pPr>
        <w:keepNext/>
        <w:adjustRightInd w:val="0"/>
        <w:snapToGrid w:val="0"/>
        <w:spacing w:before="360" w:after="240" w:line="360" w:lineRule="auto"/>
        <w:jc w:val="left"/>
        <w:rPr>
          <w:rFonts w:ascii="Times New Roman" w:eastAsia="黑体" w:hAnsi="Times New Roman"/>
          <w:b/>
          <w:sz w:val="30"/>
          <w:szCs w:val="30"/>
        </w:rPr>
      </w:pPr>
      <w:r>
        <w:rPr>
          <w:rFonts w:ascii="Times New Roman" w:eastAsia="黑体" w:hAnsi="Times New Roman" w:cs="Times New Roman"/>
          <w:b/>
          <w:sz w:val="30"/>
        </w:rPr>
        <w:t>四、研究成果与实践成效</w:t>
      </w:r>
    </w:p>
    <w:p w14:paraId="08508D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三年持续研究，我们越来越清楚地认识到，学校课题研究的价值，在于能否把一个原本较为抽象的育人命题，转化为教师能够实施、学生能够经历、学校能够持续改进的实践系统。因此，本研究在总结阶段没有把成果简单等同于论文、课例或数据，也没有把成效仅理解为前后测分数的变化，而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w:t>
      </w:r>
      <w:r>
        <w:rPr>
          <w:rFonts w:ascii="Times New Roman" w:eastAsia="宋体" w:hAnsi="Times New Roman" w:cs="Times New Roman"/>
          <w:sz w:val="24"/>
        </w:rPr>
        <w:t>AI</w:t>
      </w:r>
      <w:r>
        <w:rPr>
          <w:rFonts w:ascii="Times New Roman" w:eastAsia="宋体" w:hAnsi="Times New Roman" w:cs="Times New Roman"/>
          <w:sz w:val="24"/>
        </w:rPr>
        <w:t>课堂行为、典型案例、开放性回答和校本研修资料进行交叉判断。这样的处理，既回应了课题的研究内容，也尽可能避免以单一数据替代复杂教育变化。</w:t>
      </w:r>
    </w:p>
    <w:p w14:paraId="1559874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（一）主要研究成果</w:t>
      </w:r>
    </w:p>
    <w:p w14:paraId="26A6F0C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4-1  </w:t>
      </w:r>
      <w:r>
        <w:rPr>
          <w:rFonts w:ascii="Times New Roman" w:eastAsia="黑体" w:hAnsi="Times New Roman" w:cs="Times New Roman"/>
        </w:rPr>
        <w:t>研究内容与主要成果的对应关系</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2754"/>
        <w:gridCol w:w="4172"/>
      </w:tblGrid>
      <w:tr w:rsidR="000B1CCE" w14:paraId="30CAC001"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6D6EE6AA"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研究关注</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293FDB2"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形成的主要成果</w:t>
            </w:r>
            <w:proofErr w:type="spellEnd"/>
          </w:p>
        </w:tc>
        <w:tc>
          <w:tcPr>
            <w:tcW w:w="4172"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12786BC3"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解决的核心问题</w:t>
            </w:r>
            <w:proofErr w:type="spellEnd"/>
          </w:p>
        </w:tc>
      </w:tr>
      <w:tr w:rsidR="000B1CCE" w14:paraId="4F72DA1C"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D34A7A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学生怎样学</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80F86FC" w14:textId="77777777" w:rsidR="000B1CCE" w:rsidRDefault="00000000">
            <w:pPr>
              <w:pStyle w:val="TableText"/>
              <w:snapToGrid w:val="0"/>
              <w:spacing w:before="20" w:after="20" w:line="240" w:lineRule="auto"/>
              <w:jc w:val="center"/>
            </w:pPr>
            <w:r>
              <w:rPr>
                <w:rFonts w:ascii="Times New Roman" w:hAnsi="Times New Roman" w:cs="Times New Roman"/>
                <w:sz w:val="21"/>
              </w:rPr>
              <w:t>“</w:t>
            </w:r>
            <w:proofErr w:type="spellStart"/>
            <w:proofErr w:type="gramStart"/>
            <w:r>
              <w:rPr>
                <w:rFonts w:ascii="Times New Roman" w:hAnsi="Times New Roman" w:cs="Times New Roman"/>
                <w:sz w:val="21"/>
              </w:rPr>
              <w:t>五环</w:t>
            </w:r>
            <w:r>
              <w:rPr>
                <w:rFonts w:ascii="Times New Roman" w:hAnsi="Times New Roman" w:cs="Times New Roman"/>
                <w:sz w:val="21"/>
              </w:rPr>
              <w:t>”</w:t>
            </w:r>
            <w:r>
              <w:rPr>
                <w:rFonts w:ascii="Times New Roman" w:hAnsi="Times New Roman" w:cs="Times New Roman"/>
                <w:sz w:val="21"/>
              </w:rPr>
              <w:t>学习模型</w:t>
            </w:r>
            <w:proofErr w:type="spellEnd"/>
            <w:proofErr w:type="gramEnd"/>
          </w:p>
        </w:tc>
        <w:tc>
          <w:tcPr>
            <w:tcW w:w="4172" w:type="dxa"/>
            <w:tcBorders>
              <w:top w:val="nil"/>
              <w:left w:val="nil"/>
              <w:bottom w:val="nil"/>
              <w:right w:val="nil"/>
            </w:tcBorders>
            <w:tcMar>
              <w:top w:w="80" w:type="dxa"/>
              <w:left w:w="100" w:type="dxa"/>
              <w:bottom w:w="80" w:type="dxa"/>
              <w:right w:w="100" w:type="dxa"/>
            </w:tcMar>
            <w:vAlign w:val="center"/>
          </w:tcPr>
          <w:p w14:paraId="26BA2D91"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把高阶能力要求转化为学生可经历的学习过程</w:t>
            </w:r>
          </w:p>
        </w:tc>
      </w:tr>
      <w:tr w:rsidR="000B1CCE" w14:paraId="587E6EE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426342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教师怎样教</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8AA5BD5"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w:t>
            </w:r>
            <w:r>
              <w:rPr>
                <w:rFonts w:ascii="Times New Roman" w:hAnsi="Times New Roman" w:cs="Times New Roman"/>
                <w:sz w:val="21"/>
                <w:lang w:eastAsia="zh-CN"/>
              </w:rPr>
              <w:t>四步调节</w:t>
            </w:r>
            <w:r>
              <w:rPr>
                <w:rFonts w:ascii="Times New Roman" w:hAnsi="Times New Roman" w:cs="Times New Roman"/>
                <w:sz w:val="21"/>
                <w:lang w:eastAsia="zh-CN"/>
              </w:rPr>
              <w:t>”</w:t>
            </w:r>
            <w:r>
              <w:rPr>
                <w:rFonts w:ascii="Times New Roman" w:hAnsi="Times New Roman" w:cs="Times New Roman"/>
                <w:sz w:val="21"/>
                <w:lang w:eastAsia="zh-CN"/>
              </w:rPr>
              <w:t>教学模型</w:t>
            </w:r>
          </w:p>
        </w:tc>
        <w:tc>
          <w:tcPr>
            <w:tcW w:w="4172" w:type="dxa"/>
            <w:tcBorders>
              <w:top w:val="nil"/>
              <w:left w:val="nil"/>
              <w:bottom w:val="nil"/>
              <w:right w:val="nil"/>
            </w:tcBorders>
            <w:tcMar>
              <w:top w:w="80" w:type="dxa"/>
              <w:left w:w="100" w:type="dxa"/>
              <w:bottom w:w="80" w:type="dxa"/>
              <w:right w:w="100" w:type="dxa"/>
            </w:tcMar>
            <w:vAlign w:val="center"/>
          </w:tcPr>
          <w:p w14:paraId="4A91DAA9"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把教师支持转化为基于学习证据的持续调节</w:t>
            </w:r>
          </w:p>
        </w:tc>
      </w:tr>
      <w:tr w:rsidR="000B1CCE" w14:paraId="46A106CD"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5711772"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教与学怎样协同</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5E9D1221" w14:textId="77777777" w:rsidR="000B1CCE" w:rsidRDefault="00000000">
            <w:pPr>
              <w:pStyle w:val="TableText"/>
              <w:snapToGrid w:val="0"/>
              <w:spacing w:before="20" w:after="20" w:line="240" w:lineRule="auto"/>
              <w:jc w:val="center"/>
            </w:pPr>
            <w:r>
              <w:rPr>
                <w:rFonts w:ascii="Times New Roman" w:hAnsi="Times New Roman" w:cs="Times New Roman"/>
                <w:sz w:val="21"/>
              </w:rPr>
              <w:t>高阶能力培育总模型</w:t>
            </w:r>
            <w:r>
              <w:rPr>
                <w:rFonts w:ascii="Times New Roman" w:hAnsi="Times New Roman" w:cs="Times New Roman"/>
                <w:sz w:val="21"/>
              </w:rPr>
              <w:t>2.0</w:t>
            </w:r>
          </w:p>
        </w:tc>
        <w:tc>
          <w:tcPr>
            <w:tcW w:w="4172" w:type="dxa"/>
            <w:tcBorders>
              <w:top w:val="nil"/>
              <w:left w:val="nil"/>
              <w:bottom w:val="nil"/>
              <w:right w:val="nil"/>
            </w:tcBorders>
            <w:tcMar>
              <w:top w:w="80" w:type="dxa"/>
              <w:left w:w="100" w:type="dxa"/>
              <w:bottom w:w="80" w:type="dxa"/>
              <w:right w:w="100" w:type="dxa"/>
            </w:tcMar>
            <w:vAlign w:val="center"/>
          </w:tcPr>
          <w:p w14:paraId="4ACD7226"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建立能力目标、学习、教学、场域、证据与改进之间的整体关系</w:t>
            </w:r>
          </w:p>
        </w:tc>
      </w:tr>
      <w:tr w:rsidR="000B1CCE" w14:paraId="7992E4E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A8ECF0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在哪里实践</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3A7F563"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学科教学与科创教育</w:t>
            </w:r>
            <w:r>
              <w:rPr>
                <w:rFonts w:ascii="Times New Roman" w:hAnsi="Times New Roman" w:cs="Times New Roman"/>
                <w:sz w:val="21"/>
                <w:lang w:eastAsia="zh-CN"/>
              </w:rPr>
              <w:t>“</w:t>
            </w:r>
            <w:r>
              <w:rPr>
                <w:rFonts w:ascii="Times New Roman" w:hAnsi="Times New Roman" w:cs="Times New Roman"/>
                <w:sz w:val="21"/>
                <w:lang w:eastAsia="zh-CN"/>
              </w:rPr>
              <w:t>两域转化</w:t>
            </w:r>
            <w:r>
              <w:rPr>
                <w:rFonts w:ascii="Times New Roman" w:hAnsi="Times New Roman" w:cs="Times New Roman"/>
                <w:sz w:val="21"/>
                <w:lang w:eastAsia="zh-CN"/>
              </w:rPr>
              <w:t>”</w:t>
            </w:r>
            <w:r>
              <w:rPr>
                <w:rFonts w:ascii="Times New Roman" w:hAnsi="Times New Roman" w:cs="Times New Roman"/>
                <w:sz w:val="21"/>
                <w:lang w:eastAsia="zh-CN"/>
              </w:rPr>
              <w:t>路径</w:t>
            </w:r>
          </w:p>
        </w:tc>
        <w:tc>
          <w:tcPr>
            <w:tcW w:w="4172" w:type="dxa"/>
            <w:tcBorders>
              <w:top w:val="nil"/>
              <w:left w:val="nil"/>
              <w:bottom w:val="nil"/>
              <w:right w:val="nil"/>
            </w:tcBorders>
            <w:tcMar>
              <w:top w:w="80" w:type="dxa"/>
              <w:left w:w="100" w:type="dxa"/>
              <w:bottom w:w="80" w:type="dxa"/>
              <w:right w:w="100" w:type="dxa"/>
            </w:tcMar>
            <w:vAlign w:val="center"/>
          </w:tcPr>
          <w:p w14:paraId="1D7DAE42"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解决同一模型在不同教育场域中的适切应用</w:t>
            </w:r>
          </w:p>
        </w:tc>
      </w:tr>
      <w:tr w:rsidR="000B1CCE" w14:paraId="434572C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364645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高阶学习怎样呈现</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D69F8CF"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357ACE34"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把抽象能力转化为可识别、可分析的真实学习形态</w:t>
            </w:r>
          </w:p>
        </w:tc>
      </w:tr>
      <w:tr w:rsidR="000B1CCE" w14:paraId="7EB5914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A51775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如何判断变化</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25B204B"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CF283C1"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使学生、教师和学校变化有据可查、相互印证</w:t>
            </w:r>
          </w:p>
        </w:tc>
      </w:tr>
      <w:tr w:rsidR="000B1CCE" w14:paraId="78A12D99" w14:textId="77777777">
        <w:trPr>
          <w:jc w:val="center"/>
        </w:trPr>
        <w:tc>
          <w:tcPr>
            <w:tcW w:w="1596" w:type="dxa"/>
            <w:tcBorders>
              <w:top w:val="nil"/>
              <w:left w:val="nil"/>
              <w:bottom w:val="single" w:sz="12" w:space="0" w:color="000000"/>
              <w:right w:val="nil"/>
            </w:tcBorders>
            <w:tcMar>
              <w:top w:w="80" w:type="dxa"/>
              <w:left w:w="100" w:type="dxa"/>
              <w:bottom w:w="80" w:type="dxa"/>
              <w:right w:w="100" w:type="dxa"/>
            </w:tcMar>
            <w:vAlign w:val="center"/>
          </w:tcPr>
          <w:p w14:paraId="16924B0D"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如何沉淀推广</w:t>
            </w:r>
            <w:proofErr w:type="spellEnd"/>
          </w:p>
        </w:tc>
        <w:tc>
          <w:tcPr>
            <w:tcW w:w="2754" w:type="dxa"/>
            <w:tcBorders>
              <w:top w:val="nil"/>
              <w:left w:val="nil"/>
              <w:bottom w:val="single" w:sz="12" w:space="0" w:color="000000"/>
              <w:right w:val="nil"/>
            </w:tcBorders>
            <w:tcMar>
              <w:top w:w="80" w:type="dxa"/>
              <w:left w:w="100" w:type="dxa"/>
              <w:bottom w:w="80" w:type="dxa"/>
              <w:right w:w="100" w:type="dxa"/>
            </w:tcMar>
            <w:vAlign w:val="center"/>
          </w:tcPr>
          <w:p w14:paraId="0555DC83"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典型案例与校本研究资源</w:t>
            </w:r>
          </w:p>
        </w:tc>
        <w:tc>
          <w:tcPr>
            <w:tcW w:w="4172" w:type="dxa"/>
            <w:tcBorders>
              <w:top w:val="nil"/>
              <w:left w:val="nil"/>
              <w:bottom w:val="single" w:sz="12" w:space="0" w:color="000000"/>
              <w:right w:val="nil"/>
            </w:tcBorders>
            <w:tcMar>
              <w:top w:w="80" w:type="dxa"/>
              <w:left w:w="100" w:type="dxa"/>
              <w:bottom w:w="80" w:type="dxa"/>
              <w:right w:w="100" w:type="dxa"/>
            </w:tcMar>
            <w:vAlign w:val="center"/>
          </w:tcPr>
          <w:p w14:paraId="49F93633"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把课题实践转化为可复用、可研修、可持续改进的校本资源</w:t>
            </w:r>
          </w:p>
        </w:tc>
      </w:tr>
    </w:tbl>
    <w:p w14:paraId="5A5F361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指向高阶能力发展的五环学习模型</w:t>
      </w:r>
    </w:p>
    <w:p w14:paraId="11AA5B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围绕学生怎样学这一核心问题，本研究以可见的学习为基本视角，把高阶能</w:t>
      </w:r>
      <w:r>
        <w:rPr>
          <w:rFonts w:ascii="Times New Roman" w:eastAsia="宋体" w:hAnsi="Times New Roman" w:cs="Times New Roman"/>
          <w:sz w:val="24"/>
        </w:rPr>
        <w:lastRenderedPageBreak/>
        <w:t>力从结果性目标前移到学习过程之中，形成目标引领、任务驱动、探究展学、反馈迭代和反思迁移的五环学习模型。其价值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4F8648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多轮课堂与项目实践中，我们进一步发现，五环的稳定性来自其学习逻辑。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w:t>
      </w:r>
      <w:r>
        <w:rPr>
          <w:rFonts w:ascii="Times New Roman" w:eastAsia="宋体" w:hAnsi="Times New Roman" w:cs="Times New Roman"/>
          <w:b/>
          <w:sz w:val="24"/>
        </w:rPr>
        <w:t>由此，五环由最初的实践路径逐步深化为一个能够解释高阶学习怎样发生、怎样进阶、怎样被看见的学习模型。</w:t>
      </w:r>
    </w:p>
    <w:p w14:paraId="6D87C84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基于学习证据的四步调节教学模型</w:t>
      </w:r>
    </w:p>
    <w:p w14:paraId="0D1C5C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教师怎样教这一问题，本研究在实践中逐步形成诊断发现、干预设计、实施推进和评估改进的四步调节教学模型。这一模型从教师专业行动的角度回答，面对同一学习任务，教师怎样识别学生当前状态、怎样提供适切支持、怎样根据现场学习动态调整、怎样判断自己的教学是否真正产生了影响。</w:t>
      </w:r>
    </w:p>
    <w:p w14:paraId="1415D0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强调从学生已有知识、初始表达、任务表现和学习困难中识别真实起点；干预设计强调依据差异选择任务、问题、资源和支架；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p>
    <w:p w14:paraId="23FDDF6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双模型协同运行的高阶能力培育总模型</w:t>
      </w:r>
    </w:p>
    <w:p w14:paraId="5D7161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在学习模型和教学模型分别清晰之后，本研究进一步完成了总模型的结构性整合，形成可见的学习视域下中学生高阶能力培育模型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。总模型以中学生高阶能力发展为核心，把学生学习、教师教学、实践场域、典型样态、多源证据和模型改进纳入同一结构。其关键是建立不同研究成果之间稳定的内在关系，学习</w:t>
      </w:r>
      <w:r>
        <w:rPr>
          <w:rFonts w:ascii="Times New Roman" w:eastAsia="宋体" w:hAnsi="Times New Roman" w:cs="Times New Roman"/>
          <w:sz w:val="24"/>
        </w:rPr>
        <w:lastRenderedPageBreak/>
        <w:t>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61A4B3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因此，总模型</w:t>
      </w:r>
      <w:r>
        <w:rPr>
          <w:rFonts w:ascii="Times New Roman" w:eastAsia="宋体" w:hAnsi="Times New Roman" w:cs="Times New Roman"/>
          <w:sz w:val="24"/>
        </w:rPr>
        <w:t>2.0</w:t>
      </w:r>
      <w:r>
        <w:rPr>
          <w:rFonts w:ascii="Times New Roman" w:eastAsia="宋体" w:hAnsi="Times New Roman" w:cs="Times New Roman"/>
          <w:sz w:val="24"/>
        </w:rPr>
        <w:t>的迭代具有明确的结构性，由前期较为侧重学习路径，发展为能力目标统领、学习与教学协同、两域实践转化、典型样态呈现、多源证据支持和持续迭代优化的完整系统。学习模型和教学模型本身没有为了升级而频繁更名，而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971EC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学科教学与科创教育两域转化的实践路径</w:t>
      </w:r>
    </w:p>
    <w:p w14:paraId="6E8595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否成立，最终要接受真实教育情境的检验。课题组将学科教学与科创教育确定为两个主要实践域，并坚持同一目标、共同逻辑和场域转化的原则。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15D4D3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两域转化避免了两个极端，一是把高阶能力培育局限在少数项目和竞赛活动中，二是把统一流程机械套用到所有课堂。通过日常课堂的持续积累与科创项目的综合实践，学校逐步形成了课堂日常培育与项目综合运用相互补充的实践格局，也使模型在不同学科、不同任务和不同学生群体中获得了更充分的实践检验。</w:t>
      </w:r>
    </w:p>
    <w:p w14:paraId="20C8769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五种高阶学习典型样态</w:t>
      </w:r>
    </w:p>
    <w:p w14:paraId="4579B52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692670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五种样态为高阶学习的具体形态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02BCA35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6.</w:t>
      </w:r>
      <w:r>
        <w:rPr>
          <w:rFonts w:ascii="Times New Roman" w:eastAsia="黑体" w:hAnsi="Times New Roman" w:cs="Times New Roman"/>
          <w:b/>
          <w:sz w:val="24"/>
        </w:rPr>
        <w:t>高阶能力评价与多源证据体系</w:t>
      </w:r>
    </w:p>
    <w:p w14:paraId="19D21C71"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高阶能力具有明显的内隐性和过程性，单凭一次问卷、一次评课或一项课堂行为指标，都不足以作出充分判断。</w:t>
      </w:r>
      <w:r>
        <w:rPr>
          <w:rFonts w:ascii="Times New Roman" w:eastAsia="宋体" w:hAnsi="Times New Roman" w:cs="Times New Roman"/>
          <w:sz w:val="24"/>
        </w:rPr>
        <w:t>为此，本研究没有另外建立一套脱离实践的评价体系，而把评价嵌入模型运行过程，形成与七维能力、进阶尺度、五环和五见相一致的评价框架。七维能力明确评什么，进阶尺度帮助判断发展到什么程度，五环说明在哪里观察，而五见进一步明确依据什么作出判断。</w:t>
      </w:r>
    </w:p>
    <w:p w14:paraId="2C99CF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教学反思和开放性回答；学校层面则通过两域实践、校本研修组织、课例研究、数据会诊和资源沉淀考察课题是否由个体实践走向组织化运行。不同证据各自回答不同问题，并通过纵向比较、过程追踪和多元互证形成综合判断。本研究把</w:t>
      </w:r>
      <w:r>
        <w:rPr>
          <w:rFonts w:ascii="Times New Roman" w:eastAsia="宋体" w:hAnsi="Times New Roman" w:cs="Times New Roman"/>
          <w:sz w:val="24"/>
        </w:rPr>
        <w:t>AI</w:t>
      </w:r>
      <w:r>
        <w:rPr>
          <w:rFonts w:ascii="Times New Roman" w:eastAsia="宋体" w:hAnsi="Times New Roman" w:cs="Times New Roman"/>
          <w:sz w:val="24"/>
        </w:rPr>
        <w:t>课堂行为作为过程性证据使用。</w:t>
      </w:r>
    </w:p>
    <w:p w14:paraId="23BA580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7.</w:t>
      </w:r>
      <w:r>
        <w:rPr>
          <w:rFonts w:ascii="Times New Roman" w:eastAsia="黑体" w:hAnsi="Times New Roman" w:cs="Times New Roman"/>
          <w:b/>
          <w:sz w:val="24"/>
        </w:rPr>
        <w:t>典型案例与校本研究资源</w:t>
      </w:r>
    </w:p>
    <w:p w14:paraId="3ED038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551DCB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同时，教师五维评课、希沃</w:t>
      </w:r>
      <w:r>
        <w:rPr>
          <w:rFonts w:ascii="Times New Roman" w:eastAsia="宋体" w:hAnsi="Times New Roman" w:cs="Times New Roman"/>
          <w:sz w:val="24"/>
        </w:rPr>
        <w:t>AI</w:t>
      </w:r>
      <w:r>
        <w:rPr>
          <w:rFonts w:ascii="Times New Roman" w:eastAsia="宋体" w:hAnsi="Times New Roman" w:cs="Times New Roman"/>
          <w:sz w:val="24"/>
        </w:rPr>
        <w:t>课堂行为分析、学生和教师问卷、开放性回答三级编码等研究资料，也逐步由课题数据转化为学校教研可使用的诊断资源。</w:t>
      </w:r>
      <w:r>
        <w:rPr>
          <w:rFonts w:ascii="Times New Roman" w:eastAsia="宋体" w:hAnsi="Times New Roman" w:cs="Times New Roman"/>
          <w:sz w:val="24"/>
        </w:rPr>
        <w:lastRenderedPageBreak/>
        <w:t>这些资源使后续校本研修不必从经验描述重新开始，而能够基于已有模型、工具和案例开展进一步验证与改进，为课题成果的持续使用提供了现实基础。</w:t>
      </w:r>
    </w:p>
    <w:p w14:paraId="730D59F5"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（二）学生高阶能力与学习方式的积极变化</w:t>
      </w:r>
    </w:p>
    <w:p w14:paraId="6240F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学生发展是检验本课题实践价值的核心依据。成效分析以</w:t>
      </w:r>
      <w:r>
        <w:rPr>
          <w:rFonts w:ascii="Times New Roman" w:eastAsia="宋体" w:hAnsi="Times New Roman" w:cs="Times New Roman"/>
          <w:sz w:val="24"/>
        </w:rPr>
        <w:t>1346</w:t>
      </w:r>
      <w:r>
        <w:rPr>
          <w:rFonts w:ascii="Times New Roman" w:eastAsia="宋体" w:hAnsi="Times New Roman" w:cs="Times New Roman"/>
          <w:sz w:val="24"/>
        </w:rPr>
        <w:t>对前后测一一对应记录为主要样本，其中初中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对。高阶思维与高阶社会情感分别报告，不合并为单一总分。统计采用双侧配对</w:t>
      </w:r>
      <w:r>
        <w:rPr>
          <w:rFonts w:ascii="Times New Roman" w:eastAsia="宋体" w:hAnsi="Times New Roman" w:cs="Times New Roman"/>
          <w:sz w:val="24"/>
        </w:rPr>
        <w:t>t</w:t>
      </w:r>
      <w:r>
        <w:rPr>
          <w:rFonts w:ascii="Times New Roman" w:eastAsia="宋体" w:hAnsi="Times New Roman" w:cs="Times New Roman"/>
          <w:sz w:val="24"/>
        </w:rPr>
        <w:t>检验，并对总体及分维度检验进行</w:t>
      </w:r>
      <w:r>
        <w:rPr>
          <w:rFonts w:ascii="Times New Roman" w:eastAsia="宋体" w:hAnsi="Times New Roman" w:cs="Times New Roman"/>
          <w:sz w:val="24"/>
        </w:rPr>
        <w:t>Holm</w:t>
      </w:r>
      <w:r>
        <w:rPr>
          <w:rFonts w:ascii="Times New Roman" w:eastAsia="宋体" w:hAnsi="Times New Roman" w:cs="Times New Roman"/>
          <w:sz w:val="24"/>
        </w:rPr>
        <w:t>校正，同时报告</w:t>
      </w:r>
      <w:r>
        <w:rPr>
          <w:rFonts w:ascii="Times New Roman" w:eastAsia="宋体" w:hAnsi="Times New Roman" w:cs="Times New Roman"/>
          <w:sz w:val="24"/>
        </w:rPr>
        <w:t>95%</w:t>
      </w:r>
      <w:r>
        <w:rPr>
          <w:rFonts w:ascii="Times New Roman" w:eastAsia="宋体" w:hAnsi="Times New Roman" w:cs="Times New Roman"/>
          <w:sz w:val="24"/>
        </w:rPr>
        <w:t>置信区间和配对效应量。学生问卷沿用分析、评价、创造三个高阶思维维度，成效统计按原量表维度报告。</w:t>
      </w:r>
    </w:p>
    <w:p w14:paraId="7178E1B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高阶思维总体小幅提升</w:t>
      </w:r>
    </w:p>
    <w:p w14:paraId="4577FE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高阶思维总体均分由前测</w:t>
      </w:r>
      <w:r>
        <w:rPr>
          <w:rFonts w:ascii="Times New Roman" w:eastAsia="宋体" w:hAnsi="Times New Roman" w:cs="Times New Roman"/>
          <w:sz w:val="24"/>
        </w:rPr>
        <w:t>3.934</w:t>
      </w:r>
      <w:r>
        <w:rPr>
          <w:rFonts w:ascii="Times New Roman" w:eastAsia="宋体" w:hAnsi="Times New Roman" w:cs="Times New Roman"/>
          <w:sz w:val="24"/>
        </w:rPr>
        <w:t>提高至后测</w:t>
      </w:r>
      <w:r>
        <w:rPr>
          <w:rFonts w:ascii="Times New Roman" w:eastAsia="宋体" w:hAnsi="Times New Roman" w:cs="Times New Roman"/>
          <w:sz w:val="24"/>
        </w:rPr>
        <w:t>4.030</w:t>
      </w:r>
      <w:r>
        <w:rPr>
          <w:rFonts w:ascii="Times New Roman" w:eastAsia="宋体" w:hAnsi="Times New Roman" w:cs="Times New Roman"/>
          <w:sz w:val="24"/>
        </w:rPr>
        <w:t>，平均增加</w:t>
      </w:r>
      <w:r>
        <w:rPr>
          <w:rFonts w:ascii="Times New Roman" w:eastAsia="宋体" w:hAnsi="Times New Roman" w:cs="Times New Roman"/>
          <w:sz w:val="24"/>
        </w:rPr>
        <w:t>0.095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0.038—0.153</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p=0.004</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=0.089</w:t>
      </w:r>
      <w:r>
        <w:rPr>
          <w:rFonts w:ascii="Times New Roman" w:eastAsia="宋体" w:hAnsi="Times New Roman" w:cs="Times New Roman"/>
          <w:sz w:val="24"/>
        </w:rPr>
        <w:t>。</w:t>
      </w:r>
      <w:r>
        <w:rPr>
          <w:rFonts w:ascii="Times New Roman" w:eastAsia="宋体" w:hAnsi="Times New Roman" w:cs="Times New Roman"/>
          <w:b/>
          <w:sz w:val="24"/>
        </w:rPr>
        <w:t>这表明学生高阶思维自评在研究实施期间呈现小幅但具有统计意义的积极变化。</w:t>
      </w:r>
      <w:r>
        <w:rPr>
          <w:rFonts w:ascii="Times New Roman" w:eastAsia="宋体" w:hAnsi="Times New Roman" w:cs="Times New Roman"/>
          <w:sz w:val="24"/>
        </w:rPr>
        <w:t>我们没有因为样本量较大和统计显著就把结果表述为大幅提升，而同时关注效应量较小这一事实。其意义更多在于，经过持续的任务、探究、论证、反馈和迁移实践，学生对自己进行复杂问题分析、依据证据作出判断以及生成多种解决办法的评价出现了稳定的正向变化。</w:t>
      </w:r>
    </w:p>
    <w:p w14:paraId="277A9A18"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4-1  </w:t>
      </w:r>
      <w:r>
        <w:rPr>
          <w:rFonts w:ascii="Times New Roman" w:eastAsia="黑体" w:hAnsi="Times New Roman" w:cs="Times New Roman"/>
        </w:rPr>
        <w:t>学生高阶能力总体前后测均值比较</w:t>
      </w:r>
    </w:p>
    <w:p w14:paraId="25764AB6" w14:textId="77777777" w:rsidR="000B1CCE" w:rsidRDefault="00000000">
      <w:pPr>
        <w:keepNext/>
        <w:spacing w:before="12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0"/>
                    <a:stretch>
                      <a:fillRect/>
                    </a:stretch>
                  </pic:blipFill>
                  <pic:spPr>
                    <a:xfrm>
                      <a:off x="0" y="0"/>
                      <a:ext cx="4229735" cy="2561590"/>
                    </a:xfrm>
                    <a:prstGeom prst="rect">
                      <a:avLst/>
                    </a:prstGeom>
                  </pic:spPr>
                </pic:pic>
              </a:graphicData>
            </a:graphic>
          </wp:inline>
        </w:drawing>
      </w:r>
    </w:p>
    <w:p w14:paraId="461CE03D" w14:textId="77777777" w:rsidR="000B1CCE" w:rsidRDefault="00000000">
      <w:pPr>
        <w:spacing w:before="40" w:after="160"/>
        <w:jc w:val="left"/>
      </w:pPr>
      <w:r>
        <w:rPr>
          <w:rFonts w:ascii="Times New Roman" w:eastAsia="华文楷体" w:hAnsi="Times New Roman" w:cs="Times New Roman"/>
          <w:sz w:val="18"/>
        </w:rPr>
        <w:t>高阶思维与高阶社会情感分别统计，均为</w:t>
      </w:r>
      <w:r>
        <w:rPr>
          <w:rFonts w:ascii="Times New Roman" w:eastAsia="华文楷体" w:hAnsi="Times New Roman" w:cs="Times New Roman"/>
          <w:sz w:val="18"/>
        </w:rPr>
        <w:t>1—5</w:t>
      </w:r>
      <w:r>
        <w:rPr>
          <w:rFonts w:ascii="Times New Roman" w:eastAsia="华文楷体" w:hAnsi="Times New Roman" w:cs="Times New Roman"/>
          <w:sz w:val="18"/>
        </w:rPr>
        <w:t>分题均分。</w:t>
      </w:r>
    </w:p>
    <w:p w14:paraId="5CD35F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分维度看，分析由</w:t>
      </w:r>
      <w:r>
        <w:rPr>
          <w:rFonts w:ascii="Times New Roman" w:eastAsia="宋体" w:hAnsi="Times New Roman" w:cs="Times New Roman"/>
          <w:sz w:val="24"/>
        </w:rPr>
        <w:t>3.941</w:t>
      </w:r>
      <w:r>
        <w:rPr>
          <w:rFonts w:ascii="Times New Roman" w:eastAsia="宋体" w:hAnsi="Times New Roman" w:cs="Times New Roman"/>
          <w:sz w:val="24"/>
        </w:rPr>
        <w:t>提高至</w:t>
      </w:r>
      <w:r>
        <w:rPr>
          <w:rFonts w:ascii="Times New Roman" w:eastAsia="宋体" w:hAnsi="Times New Roman" w:cs="Times New Roman"/>
          <w:sz w:val="24"/>
        </w:rPr>
        <w:t>4.028</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lastRenderedPageBreak/>
        <w:t>dz</w:t>
      </w:r>
      <w:proofErr w:type="spellEnd"/>
      <w:r>
        <w:rPr>
          <w:rFonts w:ascii="Times New Roman" w:eastAsia="宋体" w:hAnsi="Times New Roman" w:cs="Times New Roman"/>
          <w:sz w:val="24"/>
        </w:rPr>
        <w:t>=0.077</w:t>
      </w:r>
      <w:r>
        <w:rPr>
          <w:rFonts w:ascii="Times New Roman" w:eastAsia="宋体" w:hAnsi="Times New Roman" w:cs="Times New Roman"/>
          <w:sz w:val="24"/>
        </w:rPr>
        <w:t>；评价由</w:t>
      </w:r>
      <w:r>
        <w:rPr>
          <w:rFonts w:ascii="Times New Roman" w:eastAsia="宋体" w:hAnsi="Times New Roman" w:cs="Times New Roman"/>
          <w:sz w:val="24"/>
        </w:rPr>
        <w:t>3.986</w:t>
      </w:r>
      <w:r>
        <w:rPr>
          <w:rFonts w:ascii="Times New Roman" w:eastAsia="宋体" w:hAnsi="Times New Roman" w:cs="Times New Roman"/>
          <w:sz w:val="24"/>
        </w:rPr>
        <w:t>提高至</w:t>
      </w:r>
      <w:r>
        <w:rPr>
          <w:rFonts w:ascii="Times New Roman" w:eastAsia="宋体" w:hAnsi="Times New Roman" w:cs="Times New Roman"/>
          <w:sz w:val="24"/>
        </w:rPr>
        <w:t>4.072</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=0.079</w:t>
      </w:r>
      <w:r>
        <w:rPr>
          <w:rFonts w:ascii="Times New Roman" w:eastAsia="宋体" w:hAnsi="Times New Roman" w:cs="Times New Roman"/>
          <w:sz w:val="24"/>
        </w:rPr>
        <w:t>；创造由</w:t>
      </w:r>
      <w:r>
        <w:rPr>
          <w:rFonts w:ascii="Times New Roman" w:eastAsia="宋体" w:hAnsi="Times New Roman" w:cs="Times New Roman"/>
          <w:sz w:val="24"/>
        </w:rPr>
        <w:t>3.877</w:t>
      </w:r>
      <w:r>
        <w:rPr>
          <w:rFonts w:ascii="Times New Roman" w:eastAsia="宋体" w:hAnsi="Times New Roman" w:cs="Times New Roman"/>
          <w:sz w:val="24"/>
        </w:rPr>
        <w:t>提高至</w:t>
      </w:r>
      <w:r>
        <w:rPr>
          <w:rFonts w:ascii="Times New Roman" w:eastAsia="宋体" w:hAnsi="Times New Roman" w:cs="Times New Roman"/>
          <w:sz w:val="24"/>
        </w:rPr>
        <w:t>3.989</w:t>
      </w:r>
      <w:r>
        <w:rPr>
          <w:rFonts w:ascii="Times New Roman" w:eastAsia="宋体" w:hAnsi="Times New Roman" w:cs="Times New Roman"/>
          <w:sz w:val="24"/>
        </w:rPr>
        <w:t>，平均增加</w:t>
      </w:r>
      <w:r>
        <w:rPr>
          <w:rFonts w:ascii="Times New Roman" w:eastAsia="宋体" w:hAnsi="Times New Roman" w:cs="Times New Roman"/>
          <w:sz w:val="24"/>
        </w:rPr>
        <w:t>0.112</w:t>
      </w:r>
      <w:r>
        <w:rPr>
          <w:rFonts w:ascii="Times New Roman" w:eastAsia="宋体" w:hAnsi="Times New Roman" w:cs="Times New Roman"/>
          <w:sz w:val="24"/>
        </w:rPr>
        <w:t>分，校正后</w:t>
      </w:r>
      <w:r>
        <w:rPr>
          <w:rFonts w:ascii="Times New Roman" w:eastAsia="宋体" w:hAnsi="Times New Roman" w:cs="Times New Roman"/>
          <w:sz w:val="24"/>
        </w:rPr>
        <w:t>p=0.001</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=0.097</w:t>
      </w:r>
      <w:r>
        <w:rPr>
          <w:rFonts w:ascii="Times New Roman" w:eastAsia="宋体" w:hAnsi="Times New Roman" w:cs="Times New Roman"/>
          <w:sz w:val="24"/>
        </w:rPr>
        <w:t>。三个维度变化方向一致，其中创造维度增分在数值上相对更高。结合量表题项，其变化主要涉及尝试多种方法、迁移运用、整合知识和提出多种解决办法等行为。</w:t>
      </w:r>
    </w:p>
    <w:p w14:paraId="3411D47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4-2  </w:t>
      </w:r>
      <w:r>
        <w:rPr>
          <w:rFonts w:ascii="Times New Roman" w:eastAsia="黑体" w:hAnsi="Times New Roman" w:cs="Times New Roman"/>
        </w:rPr>
        <w:t>学生高阶能力前后测主要结果（</w:t>
      </w:r>
      <w:r>
        <w:rPr>
          <w:rFonts w:ascii="Times New Roman" w:eastAsia="黑体" w:hAnsi="Times New Roman" w:cs="Times New Roman"/>
        </w:rPr>
        <w:t>n=1346</w:t>
      </w:r>
      <w:r>
        <w:rPr>
          <w:rFonts w:ascii="Times New Roman" w:eastAsia="黑体" w:hAnsi="Times New Roman" w:cs="Times New Roman"/>
        </w:rPr>
        <w:t>）</w:t>
      </w:r>
    </w:p>
    <w:tbl>
      <w:tblPr>
        <w:tblW w:w="8503"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33"/>
        <w:gridCol w:w="1068"/>
        <w:gridCol w:w="1068"/>
        <w:gridCol w:w="1138"/>
        <w:gridCol w:w="1701"/>
        <w:gridCol w:w="995"/>
      </w:tblGrid>
      <w:tr w:rsidR="000B1CCE" w14:paraId="355B535F"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2B0FB224"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维度</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1431E6A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前测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96B14E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后测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7C0E83AA"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均值差</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3DDFA1B"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Holm</w:t>
            </w:r>
            <w:r>
              <w:rPr>
                <w:rFonts w:ascii="Times New Roman" w:hAnsi="Times New Roman" w:cs="Times New Roman"/>
                <w:b/>
                <w:sz w:val="21"/>
              </w:rPr>
              <w:t>校正</w:t>
            </w:r>
            <w:r>
              <w:rPr>
                <w:rFonts w:ascii="Times New Roman" w:hAnsi="Times New Roman" w:cs="Times New Roman"/>
                <w:b/>
                <w:sz w:val="21"/>
              </w:rPr>
              <w:t>p</w:t>
            </w:r>
            <w:proofErr w:type="spellEnd"/>
          </w:p>
        </w:tc>
        <w:tc>
          <w:tcPr>
            <w:tcW w:w="995"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05D0C67D"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dz</w:t>
            </w:r>
            <w:proofErr w:type="spellEnd"/>
          </w:p>
        </w:tc>
      </w:tr>
      <w:tr w:rsidR="000B1CCE" w14:paraId="7BD4EFA9"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B9A3291"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高阶思维总体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359289FE" w14:textId="77777777" w:rsidR="000B1CCE" w:rsidRDefault="00000000">
            <w:pPr>
              <w:pStyle w:val="TableText"/>
              <w:snapToGrid w:val="0"/>
              <w:spacing w:before="20" w:after="20" w:line="240" w:lineRule="auto"/>
              <w:jc w:val="center"/>
            </w:pPr>
            <w:r>
              <w:rPr>
                <w:rFonts w:ascii="Times New Roman" w:hAnsi="Times New Roman" w:cs="Times New Roman"/>
                <w:sz w:val="21"/>
              </w:rPr>
              <w:t>3.934</w:t>
            </w:r>
          </w:p>
        </w:tc>
        <w:tc>
          <w:tcPr>
            <w:tcW w:w="0" w:type="auto"/>
            <w:tcBorders>
              <w:top w:val="nil"/>
              <w:left w:val="nil"/>
              <w:bottom w:val="nil"/>
              <w:right w:val="nil"/>
            </w:tcBorders>
            <w:tcMar>
              <w:top w:w="80" w:type="dxa"/>
              <w:left w:w="100" w:type="dxa"/>
              <w:bottom w:w="80" w:type="dxa"/>
              <w:right w:w="100" w:type="dxa"/>
            </w:tcMar>
            <w:vAlign w:val="center"/>
          </w:tcPr>
          <w:p w14:paraId="51C49A48" w14:textId="77777777" w:rsidR="000B1CCE" w:rsidRDefault="00000000">
            <w:pPr>
              <w:pStyle w:val="TableText"/>
              <w:snapToGrid w:val="0"/>
              <w:spacing w:before="20" w:after="20" w:line="240" w:lineRule="auto"/>
              <w:jc w:val="center"/>
            </w:pPr>
            <w:r>
              <w:rPr>
                <w:rFonts w:ascii="Times New Roman" w:hAnsi="Times New Roman" w:cs="Times New Roman"/>
                <w:sz w:val="21"/>
              </w:rPr>
              <w:t>4.030</w:t>
            </w:r>
          </w:p>
        </w:tc>
        <w:tc>
          <w:tcPr>
            <w:tcW w:w="0" w:type="auto"/>
            <w:tcBorders>
              <w:top w:val="nil"/>
              <w:left w:val="nil"/>
              <w:bottom w:val="nil"/>
              <w:right w:val="nil"/>
            </w:tcBorders>
            <w:tcMar>
              <w:top w:w="80" w:type="dxa"/>
              <w:left w:w="100" w:type="dxa"/>
              <w:bottom w:w="80" w:type="dxa"/>
              <w:right w:w="100" w:type="dxa"/>
            </w:tcMar>
            <w:vAlign w:val="center"/>
          </w:tcPr>
          <w:p w14:paraId="7E5FA128" w14:textId="77777777" w:rsidR="000B1CCE" w:rsidRDefault="00000000">
            <w:pPr>
              <w:pStyle w:val="TableText"/>
              <w:snapToGrid w:val="0"/>
              <w:spacing w:before="20" w:after="20" w:line="240" w:lineRule="auto"/>
              <w:jc w:val="center"/>
            </w:pPr>
            <w:r>
              <w:rPr>
                <w:rFonts w:ascii="Times New Roman" w:hAnsi="Times New Roman" w:cs="Times New Roman"/>
                <w:sz w:val="21"/>
              </w:rPr>
              <w:t>+0.095</w:t>
            </w:r>
          </w:p>
        </w:tc>
        <w:tc>
          <w:tcPr>
            <w:tcW w:w="0" w:type="auto"/>
            <w:tcBorders>
              <w:top w:val="nil"/>
              <w:left w:val="nil"/>
              <w:bottom w:val="nil"/>
              <w:right w:val="nil"/>
            </w:tcBorders>
            <w:tcMar>
              <w:top w:w="80" w:type="dxa"/>
              <w:left w:w="100" w:type="dxa"/>
              <w:bottom w:w="80" w:type="dxa"/>
              <w:right w:w="100" w:type="dxa"/>
            </w:tcMar>
            <w:vAlign w:val="center"/>
          </w:tcPr>
          <w:p w14:paraId="35B6760A" w14:textId="77777777" w:rsidR="000B1CCE" w:rsidRDefault="00000000">
            <w:pPr>
              <w:pStyle w:val="TableText"/>
              <w:snapToGrid w:val="0"/>
              <w:spacing w:before="20" w:after="20" w:line="240" w:lineRule="auto"/>
              <w:jc w:val="center"/>
            </w:pPr>
            <w:r>
              <w:rPr>
                <w:rFonts w:ascii="Times New Roman" w:hAnsi="Times New Roman" w:cs="Times New Roman"/>
                <w:sz w:val="21"/>
              </w:rPr>
              <w:t>0.004</w:t>
            </w:r>
          </w:p>
        </w:tc>
        <w:tc>
          <w:tcPr>
            <w:tcW w:w="995" w:type="dxa"/>
            <w:tcBorders>
              <w:top w:val="nil"/>
              <w:left w:val="nil"/>
              <w:bottom w:val="nil"/>
              <w:right w:val="nil"/>
            </w:tcBorders>
            <w:tcMar>
              <w:top w:w="80" w:type="dxa"/>
              <w:left w:w="100" w:type="dxa"/>
              <w:bottom w:w="80" w:type="dxa"/>
              <w:right w:w="100" w:type="dxa"/>
            </w:tcMar>
            <w:vAlign w:val="center"/>
          </w:tcPr>
          <w:p w14:paraId="33DB36E0" w14:textId="77777777" w:rsidR="000B1CCE" w:rsidRDefault="00000000">
            <w:pPr>
              <w:pStyle w:val="TableText"/>
              <w:snapToGrid w:val="0"/>
              <w:spacing w:before="20" w:after="20" w:line="240" w:lineRule="auto"/>
              <w:jc w:val="center"/>
            </w:pPr>
            <w:r>
              <w:rPr>
                <w:rFonts w:ascii="Times New Roman" w:hAnsi="Times New Roman" w:cs="Times New Roman"/>
                <w:sz w:val="21"/>
              </w:rPr>
              <w:t>0.089</w:t>
            </w:r>
          </w:p>
        </w:tc>
      </w:tr>
      <w:tr w:rsidR="000B1CCE" w14:paraId="65901DC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B20C1"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分析</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6724576A" w14:textId="77777777" w:rsidR="000B1CCE" w:rsidRDefault="00000000">
            <w:pPr>
              <w:pStyle w:val="TableText"/>
              <w:snapToGrid w:val="0"/>
              <w:spacing w:before="20" w:after="20" w:line="240" w:lineRule="auto"/>
              <w:jc w:val="center"/>
            </w:pPr>
            <w:r>
              <w:rPr>
                <w:rFonts w:ascii="Times New Roman" w:hAnsi="Times New Roman" w:cs="Times New Roman"/>
                <w:sz w:val="21"/>
              </w:rPr>
              <w:t>3.941</w:t>
            </w:r>
          </w:p>
        </w:tc>
        <w:tc>
          <w:tcPr>
            <w:tcW w:w="0" w:type="auto"/>
            <w:tcBorders>
              <w:top w:val="nil"/>
              <w:left w:val="nil"/>
              <w:bottom w:val="nil"/>
              <w:right w:val="nil"/>
            </w:tcBorders>
            <w:tcMar>
              <w:top w:w="80" w:type="dxa"/>
              <w:left w:w="100" w:type="dxa"/>
              <w:bottom w:w="80" w:type="dxa"/>
              <w:right w:w="100" w:type="dxa"/>
            </w:tcMar>
            <w:vAlign w:val="center"/>
          </w:tcPr>
          <w:p w14:paraId="783A6C66" w14:textId="77777777" w:rsidR="000B1CCE" w:rsidRDefault="00000000">
            <w:pPr>
              <w:pStyle w:val="TableText"/>
              <w:snapToGrid w:val="0"/>
              <w:spacing w:before="20" w:after="20" w:line="240" w:lineRule="auto"/>
              <w:jc w:val="center"/>
            </w:pPr>
            <w:r>
              <w:rPr>
                <w:rFonts w:ascii="Times New Roman" w:hAnsi="Times New Roman" w:cs="Times New Roman"/>
                <w:sz w:val="21"/>
              </w:rPr>
              <w:t>4.028</w:t>
            </w:r>
          </w:p>
        </w:tc>
        <w:tc>
          <w:tcPr>
            <w:tcW w:w="0" w:type="auto"/>
            <w:tcBorders>
              <w:top w:val="nil"/>
              <w:left w:val="nil"/>
              <w:bottom w:val="nil"/>
              <w:right w:val="nil"/>
            </w:tcBorders>
            <w:tcMar>
              <w:top w:w="80" w:type="dxa"/>
              <w:left w:w="100" w:type="dxa"/>
              <w:bottom w:w="80" w:type="dxa"/>
              <w:right w:w="100" w:type="dxa"/>
            </w:tcMar>
            <w:vAlign w:val="center"/>
          </w:tcPr>
          <w:p w14:paraId="745D7EA9"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41D1121B"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0CB06144" w14:textId="77777777" w:rsidR="000B1CCE" w:rsidRDefault="00000000">
            <w:pPr>
              <w:pStyle w:val="TableText"/>
              <w:snapToGrid w:val="0"/>
              <w:spacing w:before="20" w:after="20" w:line="240" w:lineRule="auto"/>
              <w:jc w:val="center"/>
            </w:pPr>
            <w:r>
              <w:rPr>
                <w:rFonts w:ascii="Times New Roman" w:hAnsi="Times New Roman" w:cs="Times New Roman"/>
                <w:sz w:val="21"/>
              </w:rPr>
              <w:t>0.077</w:t>
            </w:r>
          </w:p>
        </w:tc>
      </w:tr>
      <w:tr w:rsidR="000B1CCE" w14:paraId="6C41928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4D45933"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评价</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16EF2E9" w14:textId="77777777" w:rsidR="000B1CCE" w:rsidRDefault="00000000">
            <w:pPr>
              <w:pStyle w:val="TableText"/>
              <w:snapToGrid w:val="0"/>
              <w:spacing w:before="20" w:after="20" w:line="240" w:lineRule="auto"/>
              <w:jc w:val="center"/>
            </w:pPr>
            <w:r>
              <w:rPr>
                <w:rFonts w:ascii="Times New Roman" w:hAnsi="Times New Roman" w:cs="Times New Roman"/>
                <w:sz w:val="21"/>
              </w:rPr>
              <w:t>3.986</w:t>
            </w:r>
          </w:p>
        </w:tc>
        <w:tc>
          <w:tcPr>
            <w:tcW w:w="0" w:type="auto"/>
            <w:tcBorders>
              <w:top w:val="nil"/>
              <w:left w:val="nil"/>
              <w:bottom w:val="nil"/>
              <w:right w:val="nil"/>
            </w:tcBorders>
            <w:tcMar>
              <w:top w:w="80" w:type="dxa"/>
              <w:left w:w="100" w:type="dxa"/>
              <w:bottom w:w="80" w:type="dxa"/>
              <w:right w:w="100" w:type="dxa"/>
            </w:tcMar>
            <w:vAlign w:val="center"/>
          </w:tcPr>
          <w:p w14:paraId="5869B85F" w14:textId="77777777" w:rsidR="000B1CCE" w:rsidRDefault="00000000">
            <w:pPr>
              <w:pStyle w:val="TableText"/>
              <w:snapToGrid w:val="0"/>
              <w:spacing w:before="20" w:after="20" w:line="240" w:lineRule="auto"/>
              <w:jc w:val="center"/>
            </w:pPr>
            <w:r>
              <w:rPr>
                <w:rFonts w:ascii="Times New Roman" w:hAnsi="Times New Roman" w:cs="Times New Roman"/>
                <w:sz w:val="21"/>
              </w:rPr>
              <w:t>4.072</w:t>
            </w:r>
          </w:p>
        </w:tc>
        <w:tc>
          <w:tcPr>
            <w:tcW w:w="0" w:type="auto"/>
            <w:tcBorders>
              <w:top w:val="nil"/>
              <w:left w:val="nil"/>
              <w:bottom w:val="nil"/>
              <w:right w:val="nil"/>
            </w:tcBorders>
            <w:tcMar>
              <w:top w:w="80" w:type="dxa"/>
              <w:left w:w="100" w:type="dxa"/>
              <w:bottom w:w="80" w:type="dxa"/>
              <w:right w:w="100" w:type="dxa"/>
            </w:tcMar>
            <w:vAlign w:val="center"/>
          </w:tcPr>
          <w:p w14:paraId="6AD30BA5"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3D72B1CD"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741BDEDC" w14:textId="77777777" w:rsidR="000B1CCE" w:rsidRDefault="00000000">
            <w:pPr>
              <w:pStyle w:val="TableText"/>
              <w:snapToGrid w:val="0"/>
              <w:spacing w:before="20" w:after="20" w:line="240" w:lineRule="auto"/>
              <w:jc w:val="center"/>
            </w:pPr>
            <w:r>
              <w:rPr>
                <w:rFonts w:ascii="Times New Roman" w:hAnsi="Times New Roman" w:cs="Times New Roman"/>
                <w:sz w:val="21"/>
              </w:rPr>
              <w:t>0.079</w:t>
            </w:r>
          </w:p>
        </w:tc>
      </w:tr>
      <w:tr w:rsidR="000B1CCE" w14:paraId="010695DC"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A9E7758"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创造</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C553706" w14:textId="77777777" w:rsidR="000B1CCE" w:rsidRDefault="00000000">
            <w:pPr>
              <w:pStyle w:val="TableText"/>
              <w:snapToGrid w:val="0"/>
              <w:spacing w:before="20" w:after="20" w:line="240" w:lineRule="auto"/>
              <w:jc w:val="center"/>
            </w:pPr>
            <w:r>
              <w:rPr>
                <w:rFonts w:ascii="Times New Roman" w:hAnsi="Times New Roman" w:cs="Times New Roman"/>
                <w:sz w:val="21"/>
              </w:rPr>
              <w:t>3.877</w:t>
            </w:r>
          </w:p>
        </w:tc>
        <w:tc>
          <w:tcPr>
            <w:tcW w:w="0" w:type="auto"/>
            <w:tcBorders>
              <w:top w:val="nil"/>
              <w:left w:val="nil"/>
              <w:bottom w:val="nil"/>
              <w:right w:val="nil"/>
            </w:tcBorders>
            <w:tcMar>
              <w:top w:w="80" w:type="dxa"/>
              <w:left w:w="100" w:type="dxa"/>
              <w:bottom w:w="80" w:type="dxa"/>
              <w:right w:w="100" w:type="dxa"/>
            </w:tcMar>
            <w:vAlign w:val="center"/>
          </w:tcPr>
          <w:p w14:paraId="0C2CA2AC" w14:textId="77777777" w:rsidR="000B1CCE" w:rsidRDefault="00000000">
            <w:pPr>
              <w:pStyle w:val="TableText"/>
              <w:snapToGrid w:val="0"/>
              <w:spacing w:before="20" w:after="20" w:line="240" w:lineRule="auto"/>
              <w:jc w:val="center"/>
            </w:pPr>
            <w:r>
              <w:rPr>
                <w:rFonts w:ascii="Times New Roman" w:hAnsi="Times New Roman" w:cs="Times New Roman"/>
                <w:sz w:val="21"/>
              </w:rPr>
              <w:t>3.989</w:t>
            </w:r>
          </w:p>
        </w:tc>
        <w:tc>
          <w:tcPr>
            <w:tcW w:w="0" w:type="auto"/>
            <w:tcBorders>
              <w:top w:val="nil"/>
              <w:left w:val="nil"/>
              <w:bottom w:val="nil"/>
              <w:right w:val="nil"/>
            </w:tcBorders>
            <w:tcMar>
              <w:top w:w="80" w:type="dxa"/>
              <w:left w:w="100" w:type="dxa"/>
              <w:bottom w:w="80" w:type="dxa"/>
              <w:right w:w="100" w:type="dxa"/>
            </w:tcMar>
            <w:vAlign w:val="center"/>
          </w:tcPr>
          <w:p w14:paraId="27694A85" w14:textId="77777777" w:rsidR="000B1CCE" w:rsidRDefault="00000000">
            <w:pPr>
              <w:pStyle w:val="TableText"/>
              <w:snapToGrid w:val="0"/>
              <w:spacing w:before="20" w:after="20" w:line="240" w:lineRule="auto"/>
              <w:jc w:val="center"/>
            </w:pPr>
            <w:r>
              <w:rPr>
                <w:rFonts w:ascii="Times New Roman" w:hAnsi="Times New Roman" w:cs="Times New Roman"/>
                <w:sz w:val="21"/>
              </w:rPr>
              <w:t>+0.112</w:t>
            </w:r>
          </w:p>
        </w:tc>
        <w:tc>
          <w:tcPr>
            <w:tcW w:w="0" w:type="auto"/>
            <w:tcBorders>
              <w:top w:val="nil"/>
              <w:left w:val="nil"/>
              <w:bottom w:val="nil"/>
              <w:right w:val="nil"/>
            </w:tcBorders>
            <w:tcMar>
              <w:top w:w="80" w:type="dxa"/>
              <w:left w:w="100" w:type="dxa"/>
              <w:bottom w:w="80" w:type="dxa"/>
              <w:right w:w="100" w:type="dxa"/>
            </w:tcMar>
            <w:vAlign w:val="center"/>
          </w:tcPr>
          <w:p w14:paraId="0D5CA656" w14:textId="77777777" w:rsidR="000B1CCE" w:rsidRDefault="00000000">
            <w:pPr>
              <w:pStyle w:val="TableText"/>
              <w:snapToGrid w:val="0"/>
              <w:spacing w:before="20" w:after="20" w:line="240" w:lineRule="auto"/>
              <w:jc w:val="center"/>
            </w:pPr>
            <w:r>
              <w:rPr>
                <w:rFonts w:ascii="Times New Roman" w:hAnsi="Times New Roman" w:cs="Times New Roman"/>
                <w:sz w:val="21"/>
              </w:rPr>
              <w:t>0.001</w:t>
            </w:r>
          </w:p>
        </w:tc>
        <w:tc>
          <w:tcPr>
            <w:tcW w:w="995" w:type="dxa"/>
            <w:tcBorders>
              <w:top w:val="nil"/>
              <w:left w:val="nil"/>
              <w:bottom w:val="nil"/>
              <w:right w:val="nil"/>
            </w:tcBorders>
            <w:tcMar>
              <w:top w:w="80" w:type="dxa"/>
              <w:left w:w="100" w:type="dxa"/>
              <w:bottom w:w="80" w:type="dxa"/>
              <w:right w:w="100" w:type="dxa"/>
            </w:tcMar>
            <w:vAlign w:val="center"/>
          </w:tcPr>
          <w:p w14:paraId="3665F8CD" w14:textId="77777777" w:rsidR="000B1CCE" w:rsidRDefault="00000000">
            <w:pPr>
              <w:pStyle w:val="TableText"/>
              <w:snapToGrid w:val="0"/>
              <w:spacing w:before="20" w:after="20" w:line="240" w:lineRule="auto"/>
              <w:jc w:val="center"/>
            </w:pPr>
            <w:r>
              <w:rPr>
                <w:rFonts w:ascii="Times New Roman" w:hAnsi="Times New Roman" w:cs="Times New Roman"/>
                <w:sz w:val="21"/>
              </w:rPr>
              <w:t>0.097</w:t>
            </w:r>
          </w:p>
        </w:tc>
      </w:tr>
      <w:tr w:rsidR="000B1CCE" w14:paraId="6714FCC9"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4AFD40A"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高阶社会情感总体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866698A" w14:textId="77777777" w:rsidR="000B1CCE" w:rsidRDefault="00000000">
            <w:pPr>
              <w:pStyle w:val="TableText"/>
              <w:snapToGrid w:val="0"/>
              <w:spacing w:before="20" w:after="20" w:line="240" w:lineRule="auto"/>
              <w:jc w:val="center"/>
            </w:pPr>
            <w:r>
              <w:rPr>
                <w:rFonts w:ascii="Times New Roman" w:hAnsi="Times New Roman" w:cs="Times New Roman"/>
                <w:sz w:val="21"/>
              </w:rPr>
              <w:t>4.032</w:t>
            </w:r>
          </w:p>
        </w:tc>
        <w:tc>
          <w:tcPr>
            <w:tcW w:w="0" w:type="auto"/>
            <w:tcBorders>
              <w:top w:val="nil"/>
              <w:left w:val="nil"/>
              <w:bottom w:val="nil"/>
              <w:right w:val="nil"/>
            </w:tcBorders>
            <w:tcMar>
              <w:top w:w="80" w:type="dxa"/>
              <w:left w:w="100" w:type="dxa"/>
              <w:bottom w:w="80" w:type="dxa"/>
              <w:right w:w="100" w:type="dxa"/>
            </w:tcMar>
            <w:vAlign w:val="center"/>
          </w:tcPr>
          <w:p w14:paraId="2BEB9359" w14:textId="77777777" w:rsidR="000B1CCE" w:rsidRDefault="00000000">
            <w:pPr>
              <w:pStyle w:val="TableText"/>
              <w:snapToGrid w:val="0"/>
              <w:spacing w:before="20" w:after="20" w:line="240" w:lineRule="auto"/>
              <w:jc w:val="center"/>
            </w:pPr>
            <w:r>
              <w:rPr>
                <w:rFonts w:ascii="Times New Roman" w:hAnsi="Times New Roman" w:cs="Times New Roman"/>
                <w:sz w:val="21"/>
              </w:rPr>
              <w:t>4.400</w:t>
            </w:r>
          </w:p>
        </w:tc>
        <w:tc>
          <w:tcPr>
            <w:tcW w:w="0" w:type="auto"/>
            <w:tcBorders>
              <w:top w:val="nil"/>
              <w:left w:val="nil"/>
              <w:bottom w:val="nil"/>
              <w:right w:val="nil"/>
            </w:tcBorders>
            <w:tcMar>
              <w:top w:w="80" w:type="dxa"/>
              <w:left w:w="100" w:type="dxa"/>
              <w:bottom w:w="80" w:type="dxa"/>
              <w:right w:w="100" w:type="dxa"/>
            </w:tcMar>
            <w:vAlign w:val="center"/>
          </w:tcPr>
          <w:p w14:paraId="07808A5D" w14:textId="77777777" w:rsidR="000B1CCE" w:rsidRDefault="00000000">
            <w:pPr>
              <w:pStyle w:val="TableText"/>
              <w:snapToGrid w:val="0"/>
              <w:spacing w:before="20" w:after="20" w:line="240" w:lineRule="auto"/>
              <w:jc w:val="center"/>
            </w:pPr>
            <w:r>
              <w:rPr>
                <w:rFonts w:ascii="Times New Roman" w:hAnsi="Times New Roman" w:cs="Times New Roman"/>
                <w:sz w:val="21"/>
              </w:rPr>
              <w:t>+0.368</w:t>
            </w:r>
          </w:p>
        </w:tc>
        <w:tc>
          <w:tcPr>
            <w:tcW w:w="0" w:type="auto"/>
            <w:tcBorders>
              <w:top w:val="nil"/>
              <w:left w:val="nil"/>
              <w:bottom w:val="nil"/>
              <w:right w:val="nil"/>
            </w:tcBorders>
            <w:tcMar>
              <w:top w:w="80" w:type="dxa"/>
              <w:left w:w="100" w:type="dxa"/>
              <w:bottom w:w="80" w:type="dxa"/>
              <w:right w:w="100" w:type="dxa"/>
            </w:tcMar>
            <w:vAlign w:val="center"/>
          </w:tcPr>
          <w:p w14:paraId="6948BAC5"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2631FF1F" w14:textId="77777777" w:rsidR="000B1CCE" w:rsidRDefault="00000000">
            <w:pPr>
              <w:pStyle w:val="TableText"/>
              <w:snapToGrid w:val="0"/>
              <w:spacing w:before="20" w:after="20" w:line="240" w:lineRule="auto"/>
              <w:jc w:val="center"/>
            </w:pPr>
            <w:r>
              <w:rPr>
                <w:rFonts w:ascii="Times New Roman" w:hAnsi="Times New Roman" w:cs="Times New Roman"/>
                <w:sz w:val="21"/>
              </w:rPr>
              <w:t>1.099</w:t>
            </w:r>
          </w:p>
        </w:tc>
      </w:tr>
      <w:tr w:rsidR="000B1CCE" w14:paraId="06B39BD6"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B32918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责任担当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E0587BD" w14:textId="77777777" w:rsidR="000B1CCE" w:rsidRDefault="00000000">
            <w:pPr>
              <w:pStyle w:val="TableText"/>
              <w:snapToGrid w:val="0"/>
              <w:spacing w:before="20" w:after="20" w:line="240" w:lineRule="auto"/>
              <w:jc w:val="center"/>
            </w:pPr>
            <w:r>
              <w:rPr>
                <w:rFonts w:ascii="Times New Roman" w:hAnsi="Times New Roman" w:cs="Times New Roman"/>
                <w:sz w:val="21"/>
              </w:rPr>
              <w:t>4.049</w:t>
            </w:r>
          </w:p>
        </w:tc>
        <w:tc>
          <w:tcPr>
            <w:tcW w:w="0" w:type="auto"/>
            <w:tcBorders>
              <w:top w:val="nil"/>
              <w:left w:val="nil"/>
              <w:bottom w:val="nil"/>
              <w:right w:val="nil"/>
            </w:tcBorders>
            <w:tcMar>
              <w:top w:w="80" w:type="dxa"/>
              <w:left w:w="100" w:type="dxa"/>
              <w:bottom w:w="80" w:type="dxa"/>
              <w:right w:w="100" w:type="dxa"/>
            </w:tcMar>
            <w:vAlign w:val="center"/>
          </w:tcPr>
          <w:p w14:paraId="45353121" w14:textId="77777777" w:rsidR="000B1CCE" w:rsidRDefault="00000000">
            <w:pPr>
              <w:pStyle w:val="TableText"/>
              <w:snapToGrid w:val="0"/>
              <w:spacing w:before="20" w:after="20" w:line="240" w:lineRule="auto"/>
              <w:jc w:val="center"/>
            </w:pPr>
            <w:r>
              <w:rPr>
                <w:rFonts w:ascii="Times New Roman" w:hAnsi="Times New Roman" w:cs="Times New Roman"/>
                <w:sz w:val="21"/>
              </w:rPr>
              <w:t>4.404</w:t>
            </w:r>
          </w:p>
        </w:tc>
        <w:tc>
          <w:tcPr>
            <w:tcW w:w="0" w:type="auto"/>
            <w:tcBorders>
              <w:top w:val="nil"/>
              <w:left w:val="nil"/>
              <w:bottom w:val="nil"/>
              <w:right w:val="nil"/>
            </w:tcBorders>
            <w:tcMar>
              <w:top w:w="80" w:type="dxa"/>
              <w:left w:w="100" w:type="dxa"/>
              <w:bottom w:w="80" w:type="dxa"/>
              <w:right w:w="100" w:type="dxa"/>
            </w:tcMar>
            <w:vAlign w:val="center"/>
          </w:tcPr>
          <w:p w14:paraId="24AAA62B" w14:textId="77777777" w:rsidR="000B1CCE" w:rsidRDefault="00000000">
            <w:pPr>
              <w:pStyle w:val="TableText"/>
              <w:snapToGrid w:val="0"/>
              <w:spacing w:before="20" w:after="20" w:line="240" w:lineRule="auto"/>
              <w:jc w:val="center"/>
            </w:pPr>
            <w:r>
              <w:rPr>
                <w:rFonts w:ascii="Times New Roman" w:hAnsi="Times New Roman" w:cs="Times New Roman"/>
                <w:sz w:val="21"/>
              </w:rPr>
              <w:t>+0.354</w:t>
            </w:r>
          </w:p>
        </w:tc>
        <w:tc>
          <w:tcPr>
            <w:tcW w:w="0" w:type="auto"/>
            <w:tcBorders>
              <w:top w:val="nil"/>
              <w:left w:val="nil"/>
              <w:bottom w:val="nil"/>
              <w:right w:val="nil"/>
            </w:tcBorders>
            <w:tcMar>
              <w:top w:w="80" w:type="dxa"/>
              <w:left w:w="100" w:type="dxa"/>
              <w:bottom w:w="80" w:type="dxa"/>
              <w:right w:w="100" w:type="dxa"/>
            </w:tcMar>
            <w:vAlign w:val="center"/>
          </w:tcPr>
          <w:p w14:paraId="41B577AB"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69BCAFDD" w14:textId="77777777" w:rsidR="000B1CCE" w:rsidRDefault="00000000">
            <w:pPr>
              <w:pStyle w:val="TableText"/>
              <w:snapToGrid w:val="0"/>
              <w:spacing w:before="20" w:after="20" w:line="240" w:lineRule="auto"/>
              <w:jc w:val="center"/>
            </w:pPr>
            <w:r>
              <w:rPr>
                <w:rFonts w:ascii="Times New Roman" w:hAnsi="Times New Roman" w:cs="Times New Roman"/>
                <w:sz w:val="21"/>
              </w:rPr>
              <w:t>0.965</w:t>
            </w:r>
          </w:p>
        </w:tc>
      </w:tr>
      <w:tr w:rsidR="000B1CCE" w14:paraId="614118E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36E1F75"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情绪调节</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22B9A69E" w14:textId="77777777" w:rsidR="000B1CCE" w:rsidRDefault="00000000">
            <w:pPr>
              <w:pStyle w:val="TableText"/>
              <w:snapToGrid w:val="0"/>
              <w:spacing w:before="20" w:after="20" w:line="240" w:lineRule="auto"/>
              <w:jc w:val="center"/>
            </w:pPr>
            <w:r>
              <w:rPr>
                <w:rFonts w:ascii="Times New Roman" w:hAnsi="Times New Roman" w:cs="Times New Roman"/>
                <w:sz w:val="21"/>
              </w:rPr>
              <w:t>3.938</w:t>
            </w:r>
          </w:p>
        </w:tc>
        <w:tc>
          <w:tcPr>
            <w:tcW w:w="0" w:type="auto"/>
            <w:tcBorders>
              <w:top w:val="nil"/>
              <w:left w:val="nil"/>
              <w:bottom w:val="nil"/>
              <w:right w:val="nil"/>
            </w:tcBorders>
            <w:tcMar>
              <w:top w:w="80" w:type="dxa"/>
              <w:left w:w="100" w:type="dxa"/>
              <w:bottom w:w="80" w:type="dxa"/>
              <w:right w:w="100" w:type="dxa"/>
            </w:tcMar>
            <w:vAlign w:val="center"/>
          </w:tcPr>
          <w:p w14:paraId="4739D071" w14:textId="77777777" w:rsidR="000B1CCE" w:rsidRDefault="00000000">
            <w:pPr>
              <w:pStyle w:val="TableText"/>
              <w:snapToGrid w:val="0"/>
              <w:spacing w:before="20" w:after="20" w:line="240" w:lineRule="auto"/>
              <w:jc w:val="center"/>
            </w:pPr>
            <w:r>
              <w:rPr>
                <w:rFonts w:ascii="Times New Roman" w:hAnsi="Times New Roman" w:cs="Times New Roman"/>
                <w:sz w:val="21"/>
              </w:rPr>
              <w:t>4.328</w:t>
            </w:r>
          </w:p>
        </w:tc>
        <w:tc>
          <w:tcPr>
            <w:tcW w:w="0" w:type="auto"/>
            <w:tcBorders>
              <w:top w:val="nil"/>
              <w:left w:val="nil"/>
              <w:bottom w:val="nil"/>
              <w:right w:val="nil"/>
            </w:tcBorders>
            <w:tcMar>
              <w:top w:w="80" w:type="dxa"/>
              <w:left w:w="100" w:type="dxa"/>
              <w:bottom w:w="80" w:type="dxa"/>
              <w:right w:w="100" w:type="dxa"/>
            </w:tcMar>
            <w:vAlign w:val="center"/>
          </w:tcPr>
          <w:p w14:paraId="0FFE5F1D" w14:textId="77777777" w:rsidR="000B1CCE" w:rsidRDefault="00000000">
            <w:pPr>
              <w:pStyle w:val="TableText"/>
              <w:snapToGrid w:val="0"/>
              <w:spacing w:before="20" w:after="20" w:line="240" w:lineRule="auto"/>
              <w:jc w:val="center"/>
            </w:pPr>
            <w:r>
              <w:rPr>
                <w:rFonts w:ascii="Times New Roman" w:hAnsi="Times New Roman" w:cs="Times New Roman"/>
                <w:sz w:val="21"/>
              </w:rPr>
              <w:t>+0.389</w:t>
            </w:r>
          </w:p>
        </w:tc>
        <w:tc>
          <w:tcPr>
            <w:tcW w:w="0" w:type="auto"/>
            <w:tcBorders>
              <w:top w:val="nil"/>
              <w:left w:val="nil"/>
              <w:bottom w:val="nil"/>
              <w:right w:val="nil"/>
            </w:tcBorders>
            <w:tcMar>
              <w:top w:w="80" w:type="dxa"/>
              <w:left w:w="100" w:type="dxa"/>
              <w:bottom w:w="80" w:type="dxa"/>
              <w:right w:w="100" w:type="dxa"/>
            </w:tcMar>
            <w:vAlign w:val="center"/>
          </w:tcPr>
          <w:p w14:paraId="2C9389C4"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331900D1" w14:textId="77777777" w:rsidR="000B1CCE" w:rsidRDefault="00000000">
            <w:pPr>
              <w:pStyle w:val="TableText"/>
              <w:snapToGrid w:val="0"/>
              <w:spacing w:before="20" w:after="20" w:line="240" w:lineRule="auto"/>
              <w:jc w:val="center"/>
            </w:pPr>
            <w:r>
              <w:rPr>
                <w:rFonts w:ascii="Times New Roman" w:hAnsi="Times New Roman" w:cs="Times New Roman"/>
                <w:sz w:val="21"/>
              </w:rPr>
              <w:t>1.097</w:t>
            </w:r>
          </w:p>
        </w:tc>
      </w:tr>
      <w:tr w:rsidR="000B1CCE" w14:paraId="535C07DD"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9647078"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合作共情</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3D3B6151" w14:textId="77777777" w:rsidR="000B1CCE" w:rsidRDefault="00000000">
            <w:pPr>
              <w:pStyle w:val="TableText"/>
              <w:snapToGrid w:val="0"/>
              <w:spacing w:before="20" w:after="20" w:line="240" w:lineRule="auto"/>
              <w:jc w:val="center"/>
            </w:pPr>
            <w:r>
              <w:rPr>
                <w:rFonts w:ascii="Times New Roman" w:hAnsi="Times New Roman" w:cs="Times New Roman"/>
                <w:sz w:val="21"/>
              </w:rPr>
              <w:t>4.117</w:t>
            </w:r>
          </w:p>
        </w:tc>
        <w:tc>
          <w:tcPr>
            <w:tcW w:w="0" w:type="auto"/>
            <w:tcBorders>
              <w:top w:val="nil"/>
              <w:left w:val="nil"/>
              <w:bottom w:val="nil"/>
              <w:right w:val="nil"/>
            </w:tcBorders>
            <w:tcMar>
              <w:top w:w="80" w:type="dxa"/>
              <w:left w:w="100" w:type="dxa"/>
              <w:bottom w:w="80" w:type="dxa"/>
              <w:right w:w="100" w:type="dxa"/>
            </w:tcMar>
            <w:vAlign w:val="center"/>
          </w:tcPr>
          <w:p w14:paraId="2A114355" w14:textId="77777777" w:rsidR="000B1CCE" w:rsidRDefault="00000000">
            <w:pPr>
              <w:pStyle w:val="TableText"/>
              <w:snapToGrid w:val="0"/>
              <w:spacing w:before="20" w:after="20" w:line="240" w:lineRule="auto"/>
              <w:jc w:val="center"/>
            </w:pPr>
            <w:r>
              <w:rPr>
                <w:rFonts w:ascii="Times New Roman" w:hAnsi="Times New Roman" w:cs="Times New Roman"/>
                <w:sz w:val="21"/>
              </w:rPr>
              <w:t>4.482</w:t>
            </w:r>
          </w:p>
        </w:tc>
        <w:tc>
          <w:tcPr>
            <w:tcW w:w="0" w:type="auto"/>
            <w:tcBorders>
              <w:top w:val="nil"/>
              <w:left w:val="nil"/>
              <w:bottom w:val="nil"/>
              <w:right w:val="nil"/>
            </w:tcBorders>
            <w:tcMar>
              <w:top w:w="80" w:type="dxa"/>
              <w:left w:w="100" w:type="dxa"/>
              <w:bottom w:w="80" w:type="dxa"/>
              <w:right w:w="100" w:type="dxa"/>
            </w:tcMar>
            <w:vAlign w:val="center"/>
          </w:tcPr>
          <w:p w14:paraId="7350E4B9"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0" w:type="auto"/>
            <w:tcBorders>
              <w:top w:val="nil"/>
              <w:left w:val="nil"/>
              <w:bottom w:val="nil"/>
              <w:right w:val="nil"/>
            </w:tcBorders>
            <w:tcMar>
              <w:top w:w="80" w:type="dxa"/>
              <w:left w:w="100" w:type="dxa"/>
              <w:bottom w:w="80" w:type="dxa"/>
              <w:right w:w="100" w:type="dxa"/>
            </w:tcMar>
            <w:vAlign w:val="center"/>
          </w:tcPr>
          <w:p w14:paraId="01638D0A"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63266776" w14:textId="77777777" w:rsidR="000B1CCE" w:rsidRDefault="00000000">
            <w:pPr>
              <w:pStyle w:val="TableText"/>
              <w:snapToGrid w:val="0"/>
              <w:spacing w:before="20" w:after="20" w:line="240" w:lineRule="auto"/>
              <w:jc w:val="center"/>
            </w:pPr>
            <w:r>
              <w:rPr>
                <w:rFonts w:ascii="Times New Roman" w:hAnsi="Times New Roman" w:cs="Times New Roman"/>
                <w:sz w:val="21"/>
              </w:rPr>
              <w:t>0.941</w:t>
            </w:r>
          </w:p>
        </w:tc>
      </w:tr>
      <w:tr w:rsidR="000B1CCE" w14:paraId="570F9233" w14:textId="77777777">
        <w:trPr>
          <w:jc w:val="center"/>
        </w:trPr>
        <w:tc>
          <w:tcPr>
            <w:tcW w:w="2533" w:type="dxa"/>
            <w:tcBorders>
              <w:top w:val="nil"/>
              <w:left w:val="nil"/>
              <w:bottom w:val="single" w:sz="12" w:space="0" w:color="000000"/>
              <w:right w:val="nil"/>
            </w:tcBorders>
            <w:tcMar>
              <w:top w:w="80" w:type="dxa"/>
              <w:left w:w="100" w:type="dxa"/>
              <w:bottom w:w="80" w:type="dxa"/>
              <w:right w:w="100" w:type="dxa"/>
            </w:tcMar>
            <w:vAlign w:val="center"/>
          </w:tcPr>
          <w:p w14:paraId="0CA6811B"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包容创新</w:t>
            </w:r>
            <w:proofErr w:type="spellEnd"/>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6AB397C9" w14:textId="77777777" w:rsidR="000B1CCE" w:rsidRDefault="00000000">
            <w:pPr>
              <w:pStyle w:val="TableText"/>
              <w:snapToGrid w:val="0"/>
              <w:spacing w:before="20" w:after="20" w:line="240" w:lineRule="auto"/>
              <w:jc w:val="center"/>
            </w:pPr>
            <w:r>
              <w:rPr>
                <w:rFonts w:ascii="Times New Roman" w:hAnsi="Times New Roman" w:cs="Times New Roman"/>
                <w:sz w:val="21"/>
              </w:rPr>
              <w:t>4.022</w:t>
            </w:r>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06D2F5F4" w14:textId="77777777" w:rsidR="000B1CCE" w:rsidRDefault="00000000">
            <w:pPr>
              <w:pStyle w:val="TableText"/>
              <w:snapToGrid w:val="0"/>
              <w:spacing w:before="20" w:after="20" w:line="240" w:lineRule="auto"/>
              <w:jc w:val="center"/>
            </w:pPr>
            <w:r>
              <w:rPr>
                <w:rFonts w:ascii="Times New Roman" w:hAnsi="Times New Roman" w:cs="Times New Roman"/>
                <w:sz w:val="21"/>
              </w:rPr>
              <w:t>4.387</w:t>
            </w:r>
          </w:p>
        </w:tc>
        <w:tc>
          <w:tcPr>
            <w:tcW w:w="1138" w:type="dxa"/>
            <w:tcBorders>
              <w:top w:val="nil"/>
              <w:left w:val="nil"/>
              <w:bottom w:val="single" w:sz="12" w:space="0" w:color="000000"/>
              <w:right w:val="nil"/>
            </w:tcBorders>
            <w:tcMar>
              <w:top w:w="80" w:type="dxa"/>
              <w:left w:w="100" w:type="dxa"/>
              <w:bottom w:w="80" w:type="dxa"/>
              <w:right w:w="100" w:type="dxa"/>
            </w:tcMar>
            <w:vAlign w:val="center"/>
          </w:tcPr>
          <w:p w14:paraId="663255C0"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1701" w:type="dxa"/>
            <w:tcBorders>
              <w:top w:val="nil"/>
              <w:left w:val="nil"/>
              <w:bottom w:val="single" w:sz="12" w:space="0" w:color="000000"/>
              <w:right w:val="nil"/>
            </w:tcBorders>
            <w:tcMar>
              <w:top w:w="80" w:type="dxa"/>
              <w:left w:w="100" w:type="dxa"/>
              <w:bottom w:w="80" w:type="dxa"/>
              <w:right w:w="100" w:type="dxa"/>
            </w:tcMar>
            <w:vAlign w:val="center"/>
          </w:tcPr>
          <w:p w14:paraId="341084DC"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single" w:sz="12" w:space="0" w:color="000000"/>
              <w:right w:val="nil"/>
            </w:tcBorders>
            <w:tcMar>
              <w:top w:w="80" w:type="dxa"/>
              <w:left w:w="100" w:type="dxa"/>
              <w:bottom w:w="80" w:type="dxa"/>
              <w:right w:w="100" w:type="dxa"/>
            </w:tcMar>
            <w:vAlign w:val="center"/>
          </w:tcPr>
          <w:p w14:paraId="78C5CB27" w14:textId="77777777" w:rsidR="000B1CCE" w:rsidRDefault="00000000">
            <w:pPr>
              <w:pStyle w:val="TableText"/>
              <w:snapToGrid w:val="0"/>
              <w:spacing w:before="20" w:after="20" w:line="240" w:lineRule="auto"/>
              <w:jc w:val="center"/>
            </w:pPr>
            <w:r>
              <w:rPr>
                <w:rFonts w:ascii="Times New Roman" w:hAnsi="Times New Roman" w:cs="Times New Roman"/>
                <w:sz w:val="21"/>
              </w:rPr>
              <w:t>0.958</w:t>
            </w:r>
          </w:p>
        </w:tc>
      </w:tr>
    </w:tbl>
    <w:p w14:paraId="0B68921C" w14:textId="77777777" w:rsidR="000B1CCE" w:rsidRDefault="00000000">
      <w:pPr>
        <w:spacing w:before="40" w:after="160"/>
        <w:jc w:val="left"/>
      </w:pPr>
      <w:r>
        <w:rPr>
          <w:rFonts w:ascii="Times New Roman" w:eastAsia="华文楷体" w:hAnsi="Times New Roman" w:cs="Times New Roman"/>
          <w:sz w:val="18"/>
        </w:rPr>
        <w:t>均值差为后测减前测；高阶思维与高阶社会情感分别统计，不合并为单一总分。</w:t>
      </w:r>
    </w:p>
    <w:p w14:paraId="45B9FF0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高阶社会情感提升较为明显</w:t>
      </w:r>
    </w:p>
    <w:p w14:paraId="0B78CA78"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与高阶思维相比，学生高阶社会情感自评呈现更为明显的变化。</w:t>
      </w:r>
      <w:r>
        <w:rPr>
          <w:rFonts w:ascii="Times New Roman" w:eastAsia="宋体" w:hAnsi="Times New Roman" w:cs="Times New Roman"/>
          <w:sz w:val="24"/>
        </w:rPr>
        <w:t>总体均分由</w:t>
      </w:r>
      <w:r>
        <w:rPr>
          <w:rFonts w:ascii="Times New Roman" w:eastAsia="宋体" w:hAnsi="Times New Roman" w:cs="Times New Roman"/>
          <w:sz w:val="24"/>
        </w:rPr>
        <w:t>4.032</w:t>
      </w:r>
      <w:r>
        <w:rPr>
          <w:rFonts w:ascii="Times New Roman" w:eastAsia="宋体" w:hAnsi="Times New Roman" w:cs="Times New Roman"/>
          <w:sz w:val="24"/>
        </w:rPr>
        <w:t>提高至</w:t>
      </w:r>
      <w:r>
        <w:rPr>
          <w:rFonts w:ascii="Times New Roman" w:eastAsia="宋体" w:hAnsi="Times New Roman" w:cs="Times New Roman"/>
          <w:sz w:val="24"/>
        </w:rPr>
        <w:t>4.400</w:t>
      </w:r>
      <w:r>
        <w:rPr>
          <w:rFonts w:ascii="Times New Roman" w:eastAsia="宋体" w:hAnsi="Times New Roman" w:cs="Times New Roman"/>
          <w:sz w:val="24"/>
        </w:rPr>
        <w:t>，平均增加</w:t>
      </w:r>
      <w:r>
        <w:rPr>
          <w:rFonts w:ascii="Times New Roman" w:eastAsia="宋体" w:hAnsi="Times New Roman" w:cs="Times New Roman"/>
          <w:sz w:val="24"/>
        </w:rPr>
        <w:t>0.368</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0.350—0.386</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p&lt;0.001</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=1.099</w:t>
      </w:r>
      <w:r>
        <w:rPr>
          <w:rFonts w:ascii="Times New Roman" w:eastAsia="宋体" w:hAnsi="Times New Roman" w:cs="Times New Roman"/>
          <w:sz w:val="24"/>
        </w:rPr>
        <w:t>。四个维度均呈显著正向变化，责任担当由</w:t>
      </w:r>
      <w:r>
        <w:rPr>
          <w:rFonts w:ascii="Times New Roman" w:eastAsia="宋体" w:hAnsi="Times New Roman" w:cs="Times New Roman"/>
          <w:sz w:val="24"/>
        </w:rPr>
        <w:t>4.049</w:t>
      </w:r>
      <w:r>
        <w:rPr>
          <w:rFonts w:ascii="Times New Roman" w:eastAsia="宋体" w:hAnsi="Times New Roman" w:cs="Times New Roman"/>
          <w:sz w:val="24"/>
        </w:rPr>
        <w:t>提高至</w:t>
      </w:r>
      <w:r>
        <w:rPr>
          <w:rFonts w:ascii="Times New Roman" w:eastAsia="宋体" w:hAnsi="Times New Roman" w:cs="Times New Roman"/>
          <w:sz w:val="24"/>
        </w:rPr>
        <w:t>4.404</w:t>
      </w:r>
      <w:r>
        <w:rPr>
          <w:rFonts w:ascii="Times New Roman" w:eastAsia="宋体" w:hAnsi="Times New Roman" w:cs="Times New Roman"/>
          <w:sz w:val="24"/>
        </w:rPr>
        <w:t>，平均增加</w:t>
      </w:r>
      <w:r>
        <w:rPr>
          <w:rFonts w:ascii="Times New Roman" w:eastAsia="宋体" w:hAnsi="Times New Roman" w:cs="Times New Roman"/>
          <w:sz w:val="24"/>
        </w:rPr>
        <w:t>0.354</w:t>
      </w:r>
      <w:r>
        <w:rPr>
          <w:rFonts w:ascii="Times New Roman" w:eastAsia="宋体" w:hAnsi="Times New Roman" w:cs="Times New Roman"/>
          <w:sz w:val="24"/>
        </w:rPr>
        <w:t>分；情绪调节由</w:t>
      </w:r>
      <w:r>
        <w:rPr>
          <w:rFonts w:ascii="Times New Roman" w:eastAsia="宋体" w:hAnsi="Times New Roman" w:cs="Times New Roman"/>
          <w:sz w:val="24"/>
        </w:rPr>
        <w:t>3.938</w:t>
      </w:r>
      <w:r>
        <w:rPr>
          <w:rFonts w:ascii="Times New Roman" w:eastAsia="宋体" w:hAnsi="Times New Roman" w:cs="Times New Roman"/>
          <w:sz w:val="24"/>
        </w:rPr>
        <w:t>提高至</w:t>
      </w:r>
      <w:r>
        <w:rPr>
          <w:rFonts w:ascii="Times New Roman" w:eastAsia="宋体" w:hAnsi="Times New Roman" w:cs="Times New Roman"/>
          <w:sz w:val="24"/>
        </w:rPr>
        <w:t>4.328</w:t>
      </w:r>
      <w:r>
        <w:rPr>
          <w:rFonts w:ascii="Times New Roman" w:eastAsia="宋体" w:hAnsi="Times New Roman" w:cs="Times New Roman"/>
          <w:sz w:val="24"/>
        </w:rPr>
        <w:t>，平均增加</w:t>
      </w:r>
      <w:r>
        <w:rPr>
          <w:rFonts w:ascii="Times New Roman" w:eastAsia="宋体" w:hAnsi="Times New Roman" w:cs="Times New Roman"/>
          <w:sz w:val="24"/>
        </w:rPr>
        <w:t>0.389</w:t>
      </w:r>
      <w:r>
        <w:rPr>
          <w:rFonts w:ascii="Times New Roman" w:eastAsia="宋体" w:hAnsi="Times New Roman" w:cs="Times New Roman"/>
          <w:sz w:val="24"/>
        </w:rPr>
        <w:t>分；合作共情由</w:t>
      </w:r>
      <w:r>
        <w:rPr>
          <w:rFonts w:ascii="Times New Roman" w:eastAsia="宋体" w:hAnsi="Times New Roman" w:cs="Times New Roman"/>
          <w:sz w:val="24"/>
        </w:rPr>
        <w:t>4.117</w:t>
      </w:r>
      <w:r>
        <w:rPr>
          <w:rFonts w:ascii="Times New Roman" w:eastAsia="宋体" w:hAnsi="Times New Roman" w:cs="Times New Roman"/>
          <w:sz w:val="24"/>
        </w:rPr>
        <w:t>提高至</w:t>
      </w:r>
      <w:r>
        <w:rPr>
          <w:rFonts w:ascii="Times New Roman" w:eastAsia="宋体" w:hAnsi="Times New Roman" w:cs="Times New Roman"/>
          <w:sz w:val="24"/>
        </w:rPr>
        <w:t>4.482</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分；包容创新由</w:t>
      </w:r>
      <w:r>
        <w:rPr>
          <w:rFonts w:ascii="Times New Roman" w:eastAsia="宋体" w:hAnsi="Times New Roman" w:cs="Times New Roman"/>
          <w:sz w:val="24"/>
        </w:rPr>
        <w:t>4.022</w:t>
      </w:r>
      <w:r>
        <w:rPr>
          <w:rFonts w:ascii="Times New Roman" w:eastAsia="宋体" w:hAnsi="Times New Roman" w:cs="Times New Roman"/>
          <w:sz w:val="24"/>
        </w:rPr>
        <w:t>提高至</w:t>
      </w:r>
      <w:r>
        <w:rPr>
          <w:rFonts w:ascii="Times New Roman" w:eastAsia="宋体" w:hAnsi="Times New Roman" w:cs="Times New Roman"/>
          <w:sz w:val="24"/>
        </w:rPr>
        <w:t>4.387</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w:t>
      </w:r>
    </w:p>
    <w:p w14:paraId="33FC0FC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这一结果与课题实践的任务特征具有一定一致性。无论学科课堂还是科创项目，学生都需要在较长的学习链条中承担任务、面对不确定性和失败、回应不同观点并持续调整方案。</w:t>
      </w:r>
      <w:r>
        <w:rPr>
          <w:rFonts w:ascii="Times New Roman" w:eastAsia="宋体" w:hAnsi="Times New Roman" w:cs="Times New Roman"/>
          <w:b/>
          <w:sz w:val="24"/>
        </w:rPr>
        <w:t>因此，责任承担、情绪调节、合作协商和包容不同想法是完成复杂任务所必需的学习资源。</w:t>
      </w:r>
      <w:r>
        <w:rPr>
          <w:rFonts w:ascii="Times New Roman" w:eastAsia="宋体" w:hAnsi="Times New Roman" w:cs="Times New Roman"/>
          <w:sz w:val="24"/>
        </w:rPr>
        <w:t>尤其值得关注的是，情绪调节的平均增分在四个社会情感维度中数值最高，合作共情后测均分最高，说明学生在面对困难、</w:t>
      </w:r>
      <w:r>
        <w:rPr>
          <w:rFonts w:ascii="Times New Roman" w:eastAsia="宋体" w:hAnsi="Times New Roman" w:cs="Times New Roman"/>
          <w:sz w:val="24"/>
        </w:rPr>
        <w:lastRenderedPageBreak/>
        <w:t>分歧和协作任务时的自我评价发生了较为明显的积极变化。</w:t>
      </w:r>
    </w:p>
    <w:p w14:paraId="67F6D368"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4-2  </w:t>
      </w:r>
      <w:r>
        <w:rPr>
          <w:rFonts w:ascii="Times New Roman" w:eastAsia="黑体" w:hAnsi="Times New Roman" w:cs="Times New Roman"/>
        </w:rPr>
        <w:t>学生七个测量维度前后测均值比较</w:t>
      </w:r>
    </w:p>
    <w:p w14:paraId="031935DF" w14:textId="77777777" w:rsidR="000B1CCE" w:rsidRDefault="00000000">
      <w:pPr>
        <w:keepNext/>
        <w:spacing w:before="12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21"/>
                    <a:stretch>
                      <a:fillRect/>
                    </a:stretch>
                  </pic:blipFill>
                  <pic:spPr>
                    <a:xfrm>
                      <a:off x="0" y="0"/>
                      <a:ext cx="4427855" cy="2171700"/>
                    </a:xfrm>
                    <a:prstGeom prst="rect">
                      <a:avLst/>
                    </a:prstGeom>
                  </pic:spPr>
                </pic:pic>
              </a:graphicData>
            </a:graphic>
          </wp:inline>
        </w:drawing>
      </w:r>
    </w:p>
    <w:p w14:paraId="79344D80" w14:textId="77777777" w:rsidR="000B1CCE" w:rsidRDefault="00000000">
      <w:pPr>
        <w:spacing w:before="40" w:after="160"/>
        <w:jc w:val="left"/>
      </w:pPr>
      <w:r>
        <w:rPr>
          <w:rFonts w:ascii="Times New Roman" w:eastAsia="华文楷体" w:hAnsi="Times New Roman" w:cs="Times New Roman"/>
          <w:sz w:val="18"/>
        </w:rPr>
        <w:t>模型</w:t>
      </w:r>
      <w:r>
        <w:rPr>
          <w:rFonts w:ascii="Times New Roman" w:eastAsia="华文楷体" w:hAnsi="Times New Roman" w:cs="Times New Roman"/>
          <w:sz w:val="18"/>
        </w:rPr>
        <w:t>2.0</w:t>
      </w:r>
      <w:r>
        <w:rPr>
          <w:rFonts w:ascii="Times New Roman" w:eastAsia="华文楷体" w:hAnsi="Times New Roman" w:cs="Times New Roman"/>
          <w:sz w:val="18"/>
        </w:rPr>
        <w:t>强调迁移作为能力运用指向；本图严格沿用学生问卷原测量维度创造进行统计呈现。</w:t>
      </w:r>
    </w:p>
    <w:p w14:paraId="668E2F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高阶学习方式逐步深化</w:t>
      </w:r>
    </w:p>
    <w:p w14:paraId="77B2A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问卷回答的是学生总体上是否发生变化，过程证据则进一步帮助我们理解变化可能怎样发生。希沃</w:t>
      </w:r>
      <w:r>
        <w:rPr>
          <w:rFonts w:ascii="Times New Roman" w:eastAsia="宋体" w:hAnsi="Times New Roman" w:cs="Times New Roman"/>
          <w:sz w:val="24"/>
        </w:rPr>
        <w:t>AI</w:t>
      </w:r>
      <w:r>
        <w:rPr>
          <w:rFonts w:ascii="Times New Roman" w:eastAsia="宋体" w:hAnsi="Times New Roman" w:cs="Times New Roman"/>
          <w:sz w:val="24"/>
        </w:rPr>
        <w:t>对</w:t>
      </w:r>
      <w:r>
        <w:rPr>
          <w:rFonts w:ascii="Times New Roman" w:eastAsia="宋体" w:hAnsi="Times New Roman" w:cs="Times New Roman"/>
          <w:sz w:val="24"/>
        </w:rPr>
        <w:t>10</w:t>
      </w:r>
      <w:r>
        <w:rPr>
          <w:rFonts w:ascii="Times New Roman" w:eastAsia="宋体" w:hAnsi="Times New Roman" w:cs="Times New Roman"/>
          <w:sz w:val="24"/>
        </w:rPr>
        <w:t>节典型课例的课堂行为分析显示，学生行为平均占比约</w:t>
      </w:r>
      <w:r>
        <w:rPr>
          <w:rFonts w:ascii="Times New Roman" w:eastAsia="宋体" w:hAnsi="Times New Roman" w:cs="Times New Roman"/>
          <w:sz w:val="24"/>
        </w:rPr>
        <w:t>49.8%</w:t>
      </w:r>
      <w:r>
        <w:rPr>
          <w:rFonts w:ascii="Times New Roman" w:eastAsia="宋体" w:hAnsi="Times New Roman" w:cs="Times New Roman"/>
          <w:sz w:val="24"/>
        </w:rPr>
        <w:t>，其中学生讨论平均占比</w:t>
      </w:r>
      <w:r>
        <w:rPr>
          <w:rFonts w:ascii="Times New Roman" w:eastAsia="宋体" w:hAnsi="Times New Roman" w:cs="Times New Roman"/>
          <w:sz w:val="24"/>
        </w:rPr>
        <w:t>39.78%</w:t>
      </w:r>
      <w:r>
        <w:rPr>
          <w:rFonts w:ascii="Times New Roman" w:eastAsia="宋体" w:hAnsi="Times New Roman" w:cs="Times New Roman"/>
          <w:sz w:val="24"/>
        </w:rPr>
        <w:t>，说明课堂已经形成较为明显的学生参与和同伴交流基础；同时，</w:t>
      </w:r>
      <w:r>
        <w:rPr>
          <w:rFonts w:ascii="Times New Roman" w:eastAsia="宋体" w:hAnsi="Times New Roman" w:cs="Times New Roman"/>
          <w:sz w:val="24"/>
        </w:rPr>
        <w:t>6</w:t>
      </w:r>
      <w:r>
        <w:rPr>
          <w:rFonts w:ascii="Times New Roman" w:eastAsia="宋体" w:hAnsi="Times New Roman" w:cs="Times New Roman"/>
          <w:sz w:val="24"/>
        </w:rPr>
        <w:t>节具有完整认知层级记录的课例中，高阶认知问题占比约</w:t>
      </w:r>
      <w:r>
        <w:rPr>
          <w:rFonts w:ascii="Times New Roman" w:eastAsia="宋体" w:hAnsi="Times New Roman" w:cs="Times New Roman"/>
          <w:sz w:val="24"/>
        </w:rPr>
        <w:t>35.9%</w:t>
      </w:r>
      <w:r>
        <w:rPr>
          <w:rFonts w:ascii="Times New Roman" w:eastAsia="宋体" w:hAnsi="Times New Roman" w:cs="Times New Roman"/>
          <w:sz w:val="24"/>
        </w:rPr>
        <w:t>，其中分析型问题约</w:t>
      </w:r>
      <w:r>
        <w:rPr>
          <w:rFonts w:ascii="Times New Roman" w:eastAsia="宋体" w:hAnsi="Times New Roman" w:cs="Times New Roman"/>
          <w:sz w:val="24"/>
        </w:rPr>
        <w:t>25.8%</w:t>
      </w:r>
      <w:r>
        <w:rPr>
          <w:rFonts w:ascii="Times New Roman" w:eastAsia="宋体" w:hAnsi="Times New Roman" w:cs="Times New Roman"/>
          <w:sz w:val="24"/>
        </w:rPr>
        <w:t>，评价与创造类问题合计约</w:t>
      </w:r>
      <w:r>
        <w:rPr>
          <w:rFonts w:ascii="Times New Roman" w:eastAsia="宋体" w:hAnsi="Times New Roman" w:cs="Times New Roman"/>
          <w:sz w:val="24"/>
        </w:rPr>
        <w:t>8.6%</w:t>
      </w:r>
      <w:r>
        <w:rPr>
          <w:rFonts w:ascii="Times New Roman" w:eastAsia="宋体" w:hAnsi="Times New Roman" w:cs="Times New Roman"/>
          <w:sz w:val="24"/>
        </w:rPr>
        <w:t>。这些数据表明，学生获得了较多进入问题分析、观点比较和高阶认知活动的机会。</w:t>
      </w:r>
    </w:p>
    <w:p w14:paraId="1AB828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学生逐步形成从表达观点到说明依据、从一次完成到反馈修订、从具体任务到方法迁移的学习变化。</w:t>
      </w:r>
    </w:p>
    <w:p w14:paraId="260238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同时，过程数据显示，</w:t>
      </w:r>
      <w:r>
        <w:rPr>
          <w:rFonts w:ascii="Times New Roman" w:eastAsia="宋体" w:hAnsi="Times New Roman" w:cs="Times New Roman"/>
          <w:sz w:val="24"/>
        </w:rPr>
        <w:t>AI</w:t>
      </w:r>
      <w:r>
        <w:rPr>
          <w:rFonts w:ascii="Times New Roman" w:eastAsia="宋体" w:hAnsi="Times New Roman" w:cs="Times New Roman"/>
          <w:sz w:val="24"/>
        </w:rPr>
        <w:t>识别中的探究实践平均占比约</w:t>
      </w:r>
      <w:r>
        <w:rPr>
          <w:rFonts w:ascii="Times New Roman" w:eastAsia="宋体" w:hAnsi="Times New Roman" w:cs="Times New Roman"/>
          <w:sz w:val="24"/>
        </w:rPr>
        <w:t>0.91%</w:t>
      </w:r>
      <w:r>
        <w:rPr>
          <w:rFonts w:ascii="Times New Roman" w:eastAsia="宋体" w:hAnsi="Times New Roman" w:cs="Times New Roman"/>
          <w:sz w:val="24"/>
        </w:rPr>
        <w:t>、学生展示约</w:t>
      </w:r>
      <w:r>
        <w:rPr>
          <w:rFonts w:ascii="Times New Roman" w:eastAsia="宋体" w:hAnsi="Times New Roman" w:cs="Times New Roman"/>
          <w:sz w:val="24"/>
        </w:rPr>
        <w:t>0.25%</w:t>
      </w:r>
      <w:r>
        <w:rPr>
          <w:rFonts w:ascii="Times New Roman" w:eastAsia="宋体" w:hAnsi="Times New Roman" w:cs="Times New Roman"/>
          <w:sz w:val="24"/>
        </w:rPr>
        <w:t>，评价与创造类问题比例也仍然偏低。这说明学生参与可见已经较为充分，但思维深度可见和能力生成可见仍需继续加强。换言之，本研究呈现的是积极发展趋势。这种既呈现成效又保留问题的解释，更符合学校真实课堂改进的连续性。</w:t>
      </w:r>
    </w:p>
    <w:p w14:paraId="3E474C3A"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lastRenderedPageBreak/>
        <w:t>（三）教师高阶能力培育实践的持续改进</w:t>
      </w:r>
    </w:p>
    <w:p w14:paraId="504435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教师是模型能否稳定进入日常课堂的关键。教师成效的判断不能只依据一次培训后的态度反馈，本研究因此把教师前后测问卷、五维评课、希沃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课堂行为、开放性回答和教学反思结合起来。量化结果主要回答教师自我认知与实践是否发生统计意义上的变化，课堂专业评价和</w:t>
      </w:r>
      <w:r>
        <w:rPr>
          <w:rFonts w:ascii="Times New Roman" w:eastAsia="宋体" w:hAnsi="Times New Roman" w:cs="Times New Roman"/>
          <w:sz w:val="24"/>
        </w:rPr>
        <w:t>AI</w:t>
      </w:r>
      <w:r>
        <w:rPr>
          <w:rFonts w:ascii="Times New Roman" w:eastAsia="宋体" w:hAnsi="Times New Roman" w:cs="Times New Roman"/>
          <w:sz w:val="24"/>
        </w:rPr>
        <w:t>行为帮助观察教学支持是否具有高阶学习特征，开放性回答则进一步呈现教师专业语言和关注重点的变化。</w:t>
      </w:r>
    </w:p>
    <w:p w14:paraId="63BD717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对高阶能力培育的认识更加具体</w:t>
      </w:r>
    </w:p>
    <w:p w14:paraId="75B78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教师配对分析纳入</w:t>
      </w:r>
      <w:r>
        <w:rPr>
          <w:rFonts w:ascii="Times New Roman" w:eastAsia="宋体" w:hAnsi="Times New Roman" w:cs="Times New Roman"/>
          <w:sz w:val="24"/>
        </w:rPr>
        <w:t>129</w:t>
      </w:r>
      <w:r>
        <w:rPr>
          <w:rFonts w:ascii="Times New Roman" w:eastAsia="宋体" w:hAnsi="Times New Roman" w:cs="Times New Roman"/>
          <w:sz w:val="24"/>
        </w:rPr>
        <w:t>组前后测记录。认知与价值认同前测均分为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，整体保持在较高水平，差异未达到统计显著。这一结果说明，参与研究的教师在课题实施前已普遍认同高阶能力培育的重要性，研究期间更主要的任务是推动理念由一般认同走向可操作的课堂理解。</w:t>
      </w:r>
    </w:p>
    <w:p w14:paraId="1D2F2D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问结构并不完全相同，本研究不以主题频次增减证明教师发生了多大程度的改变，但这些具体表达至少显示，教师讨论高阶能力时，开始更多进入目标、任务、学习行为和反馈证据等实践层面。</w:t>
      </w:r>
    </w:p>
    <w:p w14:paraId="35E158C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课堂实践与教学自我效能呈积极趋势</w:t>
      </w:r>
    </w:p>
    <w:p w14:paraId="211744C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分；教学自我效能由</w:t>
      </w:r>
      <w:r>
        <w:rPr>
          <w:rFonts w:ascii="Times New Roman" w:eastAsia="宋体" w:hAnsi="Times New Roman" w:cs="Times New Roman"/>
          <w:sz w:val="24"/>
        </w:rPr>
        <w:t>4.08</w:t>
      </w:r>
      <w:r>
        <w:rPr>
          <w:rFonts w:ascii="Times New Roman" w:eastAsia="宋体" w:hAnsi="Times New Roman" w:cs="Times New Roman"/>
          <w:sz w:val="24"/>
        </w:rPr>
        <w:t>提高至</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分；现实阻碍由</w:t>
      </w:r>
      <w:r>
        <w:rPr>
          <w:rFonts w:ascii="Times New Roman" w:eastAsia="宋体" w:hAnsi="Times New Roman" w:cs="Times New Roman"/>
          <w:sz w:val="24"/>
        </w:rPr>
        <w:t>3.64</w:t>
      </w:r>
      <w:r>
        <w:rPr>
          <w:rFonts w:ascii="Times New Roman" w:eastAsia="宋体" w:hAnsi="Times New Roman" w:cs="Times New Roman"/>
          <w:sz w:val="24"/>
        </w:rPr>
        <w:t>下降至</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分。上述三个方向分别表现为实践自评略有提高、自我效能略有提高、困难感受有所减轻，但配对检验均未达到统计显著，</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均为</w:t>
      </w:r>
      <w:r>
        <w:rPr>
          <w:rFonts w:ascii="Times New Roman" w:eastAsia="宋体" w:hAnsi="Times New Roman" w:cs="Times New Roman"/>
          <w:sz w:val="24"/>
        </w:rPr>
        <w:t>0.852</w:t>
      </w:r>
      <w:r>
        <w:rPr>
          <w:rFonts w:ascii="Times New Roman" w:eastAsia="宋体" w:hAnsi="Times New Roman" w:cs="Times New Roman"/>
          <w:sz w:val="24"/>
        </w:rPr>
        <w:t>。</w:t>
      </w:r>
      <w:r>
        <w:rPr>
          <w:rFonts w:ascii="Times New Roman" w:eastAsia="宋体" w:hAnsi="Times New Roman" w:cs="Times New Roman"/>
          <w:b/>
          <w:sz w:val="24"/>
        </w:rPr>
        <w:t>因此，本研究不据此宣称教师教学能力显著提升，而把它解释为高基线背景下的积极变化趋势。</w:t>
      </w:r>
    </w:p>
    <w:p w14:paraId="14B542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提示，教师专业变化比学生短期学习表现具有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w:t>
      </w:r>
      <w:r>
        <w:rPr>
          <w:rFonts w:ascii="Times New Roman" w:eastAsia="宋体" w:hAnsi="Times New Roman" w:cs="Times New Roman"/>
          <w:sz w:val="24"/>
        </w:rPr>
        <w:lastRenderedPageBreak/>
        <w:t>呈现，比简单追求所有指标显著更能体现研究的可信度。</w:t>
      </w:r>
    </w:p>
    <w:p w14:paraId="08CAF6C2" w14:textId="77777777" w:rsidR="000B1CCE" w:rsidRDefault="00000000">
      <w:pPr>
        <w:keepNext/>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4-3  </w:t>
      </w:r>
      <w:r>
        <w:rPr>
          <w:rFonts w:ascii="Times New Roman" w:eastAsia="黑体" w:hAnsi="Times New Roman" w:cs="Times New Roman"/>
        </w:rPr>
        <w:t>教师前后测四个维度的配对比较（</w:t>
      </w:r>
      <w:r>
        <w:rPr>
          <w:rFonts w:ascii="Times New Roman" w:eastAsia="黑体" w:hAnsi="Times New Roman" w:cs="Times New Roman"/>
        </w:rPr>
        <w:t>n=129</w:t>
      </w:r>
      <w:r>
        <w:rPr>
          <w:rFonts w:ascii="Times New Roman" w:eastAsia="黑体" w:hAnsi="Times New Roman" w:cs="Times New Roman"/>
        </w:rPr>
        <w:t>）</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42"/>
        <w:gridCol w:w="1667"/>
        <w:gridCol w:w="1667"/>
        <w:gridCol w:w="1642"/>
        <w:gridCol w:w="1688"/>
      </w:tblGrid>
      <w:tr w:rsidR="000B1CCE" w14:paraId="268B6310" w14:textId="77777777">
        <w:trPr>
          <w:tblHeader/>
          <w:jc w:val="center"/>
        </w:trPr>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D692E24" w14:textId="77777777" w:rsidR="000B1CCE" w:rsidRDefault="00000000">
            <w:pPr>
              <w:spacing w:before="20" w:after="20"/>
              <w:jc w:val="center"/>
            </w:pPr>
            <w:r>
              <w:rPr>
                <w:rFonts w:ascii="Times New Roman" w:eastAsia="宋体" w:hAnsi="Times New Roman" w:cs="Times New Roman"/>
                <w:b/>
              </w:rPr>
              <w:t>维度</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71C07B9" w14:textId="77777777" w:rsidR="000B1CCE" w:rsidRDefault="00000000">
            <w:pPr>
              <w:spacing w:before="20" w:after="20"/>
              <w:jc w:val="center"/>
            </w:pPr>
            <w:r>
              <w:rPr>
                <w:rFonts w:ascii="Times New Roman" w:eastAsia="宋体" w:hAnsi="Times New Roman" w:cs="Times New Roman"/>
                <w:b/>
              </w:rPr>
              <w:t>前测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09612C96" w14:textId="77777777" w:rsidR="000B1CCE" w:rsidRDefault="00000000">
            <w:pPr>
              <w:spacing w:before="20" w:after="20"/>
              <w:jc w:val="center"/>
            </w:pPr>
            <w:r>
              <w:rPr>
                <w:rFonts w:ascii="Times New Roman" w:eastAsia="宋体" w:hAnsi="Times New Roman" w:cs="Times New Roman"/>
                <w:b/>
              </w:rPr>
              <w:t>后测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FF82B04" w14:textId="77777777" w:rsidR="000B1CCE" w:rsidRDefault="00000000">
            <w:pPr>
              <w:spacing w:before="20" w:after="20"/>
              <w:jc w:val="center"/>
            </w:pPr>
            <w:r>
              <w:rPr>
                <w:rFonts w:ascii="Times New Roman" w:eastAsia="宋体" w:hAnsi="Times New Roman" w:cs="Times New Roman"/>
                <w:b/>
              </w:rPr>
              <w:t>变化方向</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1E971EF5" w14:textId="77777777" w:rsidR="000B1CCE" w:rsidRDefault="00000000">
            <w:pPr>
              <w:spacing w:before="20" w:after="20"/>
              <w:jc w:val="cente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30D2FA90"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4C643048" w14:textId="77777777" w:rsidR="000B1CCE" w:rsidRDefault="00000000">
            <w:pPr>
              <w:spacing w:before="20" w:after="20"/>
              <w:jc w:val="center"/>
            </w:pPr>
            <w:r>
              <w:rPr>
                <w:rFonts w:ascii="Times New Roman" w:eastAsia="宋体" w:hAnsi="Times New Roman" w:cs="Times New Roman"/>
              </w:rPr>
              <w:t>认知与价值认同</w:t>
            </w:r>
          </w:p>
        </w:tc>
        <w:tc>
          <w:tcPr>
            <w:tcW w:w="1881" w:type="dxa"/>
            <w:tcBorders>
              <w:top w:val="nil"/>
              <w:left w:val="nil"/>
              <w:bottom w:val="nil"/>
              <w:right w:val="nil"/>
            </w:tcBorders>
            <w:tcMar>
              <w:top w:w="70" w:type="dxa"/>
              <w:left w:w="90" w:type="dxa"/>
              <w:bottom w:w="70" w:type="dxa"/>
              <w:right w:w="90" w:type="dxa"/>
            </w:tcMar>
            <w:vAlign w:val="center"/>
          </w:tcPr>
          <w:p w14:paraId="3A9D2155" w14:textId="77777777" w:rsidR="000B1CCE" w:rsidRDefault="00000000">
            <w:pPr>
              <w:spacing w:before="20" w:after="20"/>
              <w:jc w:val="center"/>
            </w:pPr>
            <w:r>
              <w:rPr>
                <w:rFonts w:ascii="Times New Roman" w:eastAsia="宋体" w:hAnsi="Times New Roman" w:cs="Times New Roman"/>
              </w:rPr>
              <w:t>4.36</w:t>
            </w:r>
          </w:p>
        </w:tc>
        <w:tc>
          <w:tcPr>
            <w:tcW w:w="1881" w:type="dxa"/>
            <w:tcBorders>
              <w:top w:val="nil"/>
              <w:left w:val="nil"/>
              <w:bottom w:val="nil"/>
              <w:right w:val="nil"/>
            </w:tcBorders>
            <w:tcMar>
              <w:top w:w="70" w:type="dxa"/>
              <w:left w:w="90" w:type="dxa"/>
              <w:bottom w:w="70" w:type="dxa"/>
              <w:right w:w="90" w:type="dxa"/>
            </w:tcMar>
            <w:vAlign w:val="center"/>
          </w:tcPr>
          <w:p w14:paraId="3914984A" w14:textId="77777777" w:rsidR="000B1CCE" w:rsidRDefault="00000000">
            <w:pPr>
              <w:spacing w:before="20" w:after="20"/>
              <w:jc w:val="center"/>
            </w:pPr>
            <w:r>
              <w:rPr>
                <w:rFonts w:ascii="Times New Roman" w:eastAsia="宋体" w:hAnsi="Times New Roman" w:cs="Times New Roman"/>
              </w:rPr>
              <w:t>4.35</w:t>
            </w:r>
          </w:p>
        </w:tc>
        <w:tc>
          <w:tcPr>
            <w:tcW w:w="1881" w:type="dxa"/>
            <w:tcBorders>
              <w:top w:val="nil"/>
              <w:left w:val="nil"/>
              <w:bottom w:val="nil"/>
              <w:right w:val="nil"/>
            </w:tcBorders>
            <w:tcMar>
              <w:top w:w="70" w:type="dxa"/>
              <w:left w:w="90" w:type="dxa"/>
              <w:bottom w:w="70" w:type="dxa"/>
              <w:right w:w="90" w:type="dxa"/>
            </w:tcMar>
            <w:vAlign w:val="center"/>
          </w:tcPr>
          <w:p w14:paraId="662323A0" w14:textId="77777777" w:rsidR="000B1CCE" w:rsidRDefault="00000000">
            <w:pPr>
              <w:spacing w:before="20" w:after="20"/>
              <w:jc w:val="center"/>
            </w:pPr>
            <w:r>
              <w:rPr>
                <w:rFonts w:ascii="Times New Roman" w:eastAsia="宋体" w:hAnsi="Times New Roman" w:cs="Times New Roman"/>
              </w:rPr>
              <w:t>基本稳定</w:t>
            </w:r>
          </w:p>
        </w:tc>
        <w:tc>
          <w:tcPr>
            <w:tcW w:w="1881" w:type="dxa"/>
            <w:tcBorders>
              <w:top w:val="nil"/>
              <w:left w:val="nil"/>
              <w:bottom w:val="nil"/>
              <w:right w:val="nil"/>
            </w:tcBorders>
            <w:tcMar>
              <w:top w:w="70" w:type="dxa"/>
              <w:left w:w="90" w:type="dxa"/>
              <w:bottom w:w="70" w:type="dxa"/>
              <w:right w:w="90" w:type="dxa"/>
            </w:tcMar>
            <w:vAlign w:val="center"/>
          </w:tcPr>
          <w:p w14:paraId="6D1A9BAC" w14:textId="77777777" w:rsidR="000B1CCE" w:rsidRDefault="00000000">
            <w:pPr>
              <w:spacing w:before="20" w:after="20"/>
              <w:jc w:val="center"/>
            </w:pPr>
            <w:r>
              <w:rPr>
                <w:rFonts w:ascii="Times New Roman" w:eastAsia="宋体" w:hAnsi="Times New Roman" w:cs="Times New Roman"/>
              </w:rPr>
              <w:t>0.940</w:t>
            </w:r>
          </w:p>
        </w:tc>
      </w:tr>
      <w:tr w:rsidR="000B1CCE" w14:paraId="338DB16D"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28E34181" w14:textId="77777777" w:rsidR="000B1CCE" w:rsidRDefault="00000000">
            <w:pPr>
              <w:spacing w:before="20" w:after="20"/>
              <w:jc w:val="center"/>
            </w:pPr>
            <w:r>
              <w:rPr>
                <w:rFonts w:ascii="Times New Roman" w:eastAsia="宋体" w:hAnsi="Times New Roman" w:cs="Times New Roman"/>
              </w:rPr>
              <w:t>课堂教学实践</w:t>
            </w:r>
          </w:p>
        </w:tc>
        <w:tc>
          <w:tcPr>
            <w:tcW w:w="1881" w:type="dxa"/>
            <w:tcBorders>
              <w:top w:val="nil"/>
              <w:left w:val="nil"/>
              <w:bottom w:val="nil"/>
              <w:right w:val="nil"/>
            </w:tcBorders>
            <w:tcMar>
              <w:top w:w="70" w:type="dxa"/>
              <w:left w:w="90" w:type="dxa"/>
              <w:bottom w:w="70" w:type="dxa"/>
              <w:right w:w="90" w:type="dxa"/>
            </w:tcMar>
            <w:vAlign w:val="center"/>
          </w:tcPr>
          <w:p w14:paraId="3154A783" w14:textId="77777777" w:rsidR="000B1CCE" w:rsidRDefault="00000000">
            <w:pPr>
              <w:spacing w:before="20" w:after="20"/>
              <w:jc w:val="center"/>
            </w:pPr>
            <w:r>
              <w:rPr>
                <w:rFonts w:ascii="Times New Roman" w:eastAsia="宋体" w:hAnsi="Times New Roman" w:cs="Times New Roman"/>
              </w:rPr>
              <w:t>4.22</w:t>
            </w:r>
          </w:p>
        </w:tc>
        <w:tc>
          <w:tcPr>
            <w:tcW w:w="1881" w:type="dxa"/>
            <w:tcBorders>
              <w:top w:val="nil"/>
              <w:left w:val="nil"/>
              <w:bottom w:val="nil"/>
              <w:right w:val="nil"/>
            </w:tcBorders>
            <w:tcMar>
              <w:top w:w="70" w:type="dxa"/>
              <w:left w:w="90" w:type="dxa"/>
              <w:bottom w:w="70" w:type="dxa"/>
              <w:right w:w="90" w:type="dxa"/>
            </w:tcMar>
            <w:vAlign w:val="center"/>
          </w:tcPr>
          <w:p w14:paraId="17AB2888" w14:textId="77777777" w:rsidR="000B1CCE" w:rsidRDefault="00000000">
            <w:pPr>
              <w:spacing w:before="20" w:after="20"/>
              <w:jc w:val="center"/>
            </w:pPr>
            <w:r>
              <w:rPr>
                <w:rFonts w:ascii="Times New Roman" w:eastAsia="宋体" w:hAnsi="Times New Roman" w:cs="Times New Roman"/>
              </w:rPr>
              <w:t>4.32</w:t>
            </w:r>
          </w:p>
        </w:tc>
        <w:tc>
          <w:tcPr>
            <w:tcW w:w="1881" w:type="dxa"/>
            <w:tcBorders>
              <w:top w:val="nil"/>
              <w:left w:val="nil"/>
              <w:bottom w:val="nil"/>
              <w:right w:val="nil"/>
            </w:tcBorders>
            <w:tcMar>
              <w:top w:w="70" w:type="dxa"/>
              <w:left w:w="90" w:type="dxa"/>
              <w:bottom w:w="70" w:type="dxa"/>
              <w:right w:w="90" w:type="dxa"/>
            </w:tcMar>
            <w:vAlign w:val="center"/>
          </w:tcPr>
          <w:p w14:paraId="1C3E9804"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285A842E" w14:textId="77777777" w:rsidR="000B1CCE" w:rsidRDefault="00000000">
            <w:pPr>
              <w:spacing w:before="20" w:after="20"/>
              <w:jc w:val="center"/>
            </w:pPr>
            <w:r>
              <w:rPr>
                <w:rFonts w:ascii="Times New Roman" w:eastAsia="宋体" w:hAnsi="Times New Roman" w:cs="Times New Roman"/>
              </w:rPr>
              <w:t>0.852</w:t>
            </w:r>
          </w:p>
        </w:tc>
      </w:tr>
      <w:tr w:rsidR="000B1CCE" w14:paraId="2D0C2F97"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5DDC7ED5" w14:textId="77777777" w:rsidR="000B1CCE" w:rsidRDefault="00000000">
            <w:pPr>
              <w:spacing w:before="20" w:after="20"/>
              <w:jc w:val="center"/>
            </w:pPr>
            <w:r>
              <w:rPr>
                <w:rFonts w:ascii="Times New Roman" w:eastAsia="宋体" w:hAnsi="Times New Roman" w:cs="Times New Roman"/>
              </w:rPr>
              <w:t>教学自我效能</w:t>
            </w:r>
          </w:p>
        </w:tc>
        <w:tc>
          <w:tcPr>
            <w:tcW w:w="1881" w:type="dxa"/>
            <w:tcBorders>
              <w:top w:val="nil"/>
              <w:left w:val="nil"/>
              <w:bottom w:val="nil"/>
              <w:right w:val="nil"/>
            </w:tcBorders>
            <w:tcMar>
              <w:top w:w="70" w:type="dxa"/>
              <w:left w:w="90" w:type="dxa"/>
              <w:bottom w:w="70" w:type="dxa"/>
              <w:right w:w="90" w:type="dxa"/>
            </w:tcMar>
            <w:vAlign w:val="center"/>
          </w:tcPr>
          <w:p w14:paraId="6EFAA238" w14:textId="77777777" w:rsidR="000B1CCE" w:rsidRDefault="00000000">
            <w:pPr>
              <w:spacing w:before="20" w:after="20"/>
              <w:jc w:val="center"/>
            </w:pPr>
            <w:r>
              <w:rPr>
                <w:rFonts w:ascii="Times New Roman" w:eastAsia="宋体" w:hAnsi="Times New Roman" w:cs="Times New Roman"/>
              </w:rPr>
              <w:t>4.08</w:t>
            </w:r>
          </w:p>
        </w:tc>
        <w:tc>
          <w:tcPr>
            <w:tcW w:w="1881" w:type="dxa"/>
            <w:tcBorders>
              <w:top w:val="nil"/>
              <w:left w:val="nil"/>
              <w:bottom w:val="nil"/>
              <w:right w:val="nil"/>
            </w:tcBorders>
            <w:tcMar>
              <w:top w:w="70" w:type="dxa"/>
              <w:left w:w="90" w:type="dxa"/>
              <w:bottom w:w="70" w:type="dxa"/>
              <w:right w:w="90" w:type="dxa"/>
            </w:tcMar>
            <w:vAlign w:val="center"/>
          </w:tcPr>
          <w:p w14:paraId="202E2D51" w14:textId="77777777" w:rsidR="000B1CCE" w:rsidRDefault="00000000">
            <w:pPr>
              <w:spacing w:before="20" w:after="20"/>
              <w:jc w:val="center"/>
            </w:pPr>
            <w:r>
              <w:rPr>
                <w:rFonts w:ascii="Times New Roman" w:eastAsia="宋体" w:hAnsi="Times New Roman" w:cs="Times New Roman"/>
              </w:rPr>
              <w:t>4.16</w:t>
            </w:r>
          </w:p>
        </w:tc>
        <w:tc>
          <w:tcPr>
            <w:tcW w:w="1881" w:type="dxa"/>
            <w:tcBorders>
              <w:top w:val="nil"/>
              <w:left w:val="nil"/>
              <w:bottom w:val="nil"/>
              <w:right w:val="nil"/>
            </w:tcBorders>
            <w:tcMar>
              <w:top w:w="70" w:type="dxa"/>
              <w:left w:w="90" w:type="dxa"/>
              <w:bottom w:w="70" w:type="dxa"/>
              <w:right w:w="90" w:type="dxa"/>
            </w:tcMar>
            <w:vAlign w:val="center"/>
          </w:tcPr>
          <w:p w14:paraId="268D305A"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1184C1D1" w14:textId="77777777" w:rsidR="000B1CCE" w:rsidRDefault="00000000">
            <w:pPr>
              <w:spacing w:before="20" w:after="20"/>
              <w:jc w:val="center"/>
            </w:pPr>
            <w:r>
              <w:rPr>
                <w:rFonts w:ascii="Times New Roman" w:eastAsia="宋体" w:hAnsi="Times New Roman" w:cs="Times New Roman"/>
              </w:rPr>
              <w:t>0.852</w:t>
            </w:r>
          </w:p>
        </w:tc>
      </w:tr>
      <w:tr w:rsidR="000B1CCE" w14:paraId="7FBD2F7D" w14:textId="77777777">
        <w:trPr>
          <w:jc w:val="center"/>
        </w:trPr>
        <w:tc>
          <w:tcPr>
            <w:tcW w:w="1881" w:type="dxa"/>
            <w:tcBorders>
              <w:top w:val="nil"/>
              <w:left w:val="nil"/>
              <w:bottom w:val="single" w:sz="12" w:space="0" w:color="000000"/>
              <w:right w:val="nil"/>
            </w:tcBorders>
            <w:tcMar>
              <w:top w:w="70" w:type="dxa"/>
              <w:left w:w="90" w:type="dxa"/>
              <w:bottom w:w="70" w:type="dxa"/>
              <w:right w:w="90" w:type="dxa"/>
            </w:tcMar>
            <w:vAlign w:val="center"/>
          </w:tcPr>
          <w:p w14:paraId="478A8454" w14:textId="77777777" w:rsidR="000B1CCE" w:rsidRDefault="00000000">
            <w:pPr>
              <w:spacing w:before="20" w:after="20"/>
              <w:jc w:val="center"/>
            </w:pPr>
            <w:r>
              <w:rPr>
                <w:rFonts w:ascii="Times New Roman" w:eastAsia="宋体" w:hAnsi="Times New Roman" w:cs="Times New Roman"/>
              </w:rPr>
              <w:t>现实阻碍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8036781" w14:textId="77777777" w:rsidR="000B1CCE" w:rsidRDefault="00000000">
            <w:pPr>
              <w:spacing w:before="20" w:after="20"/>
              <w:jc w:val="center"/>
            </w:pPr>
            <w:r>
              <w:rPr>
                <w:rFonts w:ascii="Times New Roman" w:eastAsia="宋体" w:hAnsi="Times New Roman" w:cs="Times New Roman"/>
              </w:rPr>
              <w:t>3.64</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5A6834D" w14:textId="77777777" w:rsidR="000B1CCE" w:rsidRDefault="00000000">
            <w:pPr>
              <w:spacing w:before="20" w:after="20"/>
              <w:jc w:val="center"/>
            </w:pPr>
            <w:r>
              <w:rPr>
                <w:rFonts w:ascii="Times New Roman" w:eastAsia="宋体" w:hAnsi="Times New Roman" w:cs="Times New Roman"/>
              </w:rPr>
              <w:t>3.51</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0007E6BC" w14:textId="77777777" w:rsidR="000B1CCE" w:rsidRDefault="00000000">
            <w:pPr>
              <w:spacing w:before="20" w:after="20"/>
              <w:jc w:val="center"/>
            </w:pPr>
            <w:r>
              <w:rPr>
                <w:rFonts w:ascii="Times New Roman" w:eastAsia="宋体" w:hAnsi="Times New Roman" w:cs="Times New Roman"/>
              </w:rPr>
              <w:t>略有下降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4A2B71E5" w14:textId="77777777" w:rsidR="000B1CCE" w:rsidRDefault="00000000">
            <w:pPr>
              <w:spacing w:before="20" w:after="20"/>
              <w:jc w:val="center"/>
            </w:pPr>
            <w:r>
              <w:rPr>
                <w:rFonts w:ascii="Times New Roman" w:eastAsia="宋体" w:hAnsi="Times New Roman" w:cs="Times New Roman"/>
              </w:rPr>
              <w:t>0.852</w:t>
            </w:r>
          </w:p>
        </w:tc>
      </w:tr>
    </w:tbl>
    <w:p w14:paraId="17D3B8F6" w14:textId="77777777" w:rsidR="000B1CCE" w:rsidRDefault="00000000">
      <w:pPr>
        <w:spacing w:before="40" w:after="160"/>
        <w:jc w:val="left"/>
      </w:pPr>
      <w:r>
        <w:rPr>
          <w:rFonts w:ascii="Times New Roman" w:eastAsia="华文楷体" w:hAnsi="Times New Roman" w:cs="Times New Roman"/>
          <w:sz w:val="18"/>
        </w:rPr>
        <w:t>现实阻碍得分越低表示主观感知阻碍越少。基于现有</w:t>
      </w:r>
      <w:r>
        <w:rPr>
          <w:rFonts w:ascii="Times New Roman" w:eastAsia="华文楷体" w:hAnsi="Times New Roman" w:cs="Times New Roman"/>
          <w:sz w:val="18"/>
        </w:rPr>
        <w:t>129</w:t>
      </w:r>
      <w:r>
        <w:rPr>
          <w:rFonts w:ascii="Times New Roman" w:eastAsia="华文楷体" w:hAnsi="Times New Roman" w:cs="Times New Roman"/>
          <w:sz w:val="18"/>
        </w:rPr>
        <w:t>组匹配关系，结果作条件性解释；四个维度均未达到统计显著。</w:t>
      </w:r>
    </w:p>
    <w:p w14:paraId="306B741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教学支持更加关注高阶学习的发生</w:t>
      </w:r>
    </w:p>
    <w:p w14:paraId="255124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教师五维评课为观察教学支持质量提供了专业证据。课题组选取</w:t>
      </w:r>
      <w:r>
        <w:rPr>
          <w:rFonts w:ascii="Times New Roman" w:eastAsia="宋体" w:hAnsi="Times New Roman" w:cs="Times New Roman"/>
          <w:sz w:val="24"/>
        </w:rPr>
        <w:t>10</w:t>
      </w:r>
      <w:r>
        <w:rPr>
          <w:rFonts w:ascii="Times New Roman" w:eastAsia="宋体" w:hAnsi="Times New Roman" w:cs="Times New Roman"/>
          <w:sz w:val="24"/>
        </w:rPr>
        <w:t>节研究课，共获得</w:t>
      </w:r>
      <w:r>
        <w:rPr>
          <w:rFonts w:ascii="Times New Roman" w:eastAsia="宋体" w:hAnsi="Times New Roman" w:cs="Times New Roman"/>
          <w:sz w:val="24"/>
        </w:rPr>
        <w:t>46</w:t>
      </w:r>
      <w:r>
        <w:rPr>
          <w:rFonts w:ascii="Times New Roman" w:eastAsia="宋体" w:hAnsi="Times New Roman" w:cs="Times New Roman"/>
          <w:sz w:val="24"/>
        </w:rPr>
        <w:t>份有效评课表。研究课总分均值为</w:t>
      </w:r>
      <w:r>
        <w:rPr>
          <w:rFonts w:ascii="Times New Roman" w:eastAsia="宋体" w:hAnsi="Times New Roman" w:cs="Times New Roman"/>
          <w:sz w:val="24"/>
        </w:rPr>
        <w:t>90.83</w:t>
      </w:r>
      <w:r>
        <w:rPr>
          <w:rFonts w:ascii="Times New Roman" w:eastAsia="宋体" w:hAnsi="Times New Roman" w:cs="Times New Roman"/>
          <w:sz w:val="24"/>
        </w:rPr>
        <w:t>分，</w:t>
      </w:r>
      <w:r>
        <w:rPr>
          <w:rFonts w:ascii="Times New Roman" w:eastAsia="宋体" w:hAnsi="Times New Roman" w:cs="Times New Roman"/>
          <w:sz w:val="24"/>
        </w:rPr>
        <w:t>SD=4.85</w:t>
      </w:r>
      <w:r>
        <w:rPr>
          <w:rFonts w:ascii="Times New Roman" w:eastAsia="宋体" w:hAnsi="Times New Roman" w:cs="Times New Roman"/>
          <w:sz w:val="24"/>
        </w:rPr>
        <w:t>，</w:t>
      </w:r>
      <w:r>
        <w:rPr>
          <w:rFonts w:ascii="Times New Roman" w:eastAsia="宋体" w:hAnsi="Times New Roman" w:cs="Times New Roman"/>
          <w:sz w:val="24"/>
        </w:rPr>
        <w:t>90</w:t>
      </w:r>
      <w:r>
        <w:rPr>
          <w:rFonts w:ascii="Times New Roman" w:eastAsia="宋体" w:hAnsi="Times New Roman" w:cs="Times New Roman"/>
          <w:sz w:val="24"/>
        </w:rPr>
        <w:t>分及以上评价</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w:t>
      </w:r>
      <w:r>
        <w:rPr>
          <w:rFonts w:ascii="Times New Roman" w:eastAsia="宋体" w:hAnsi="Times New Roman" w:cs="Times New Roman"/>
          <w:sz w:val="24"/>
        </w:rPr>
        <w:t>分及以上累计</w:t>
      </w:r>
      <w:r>
        <w:rPr>
          <w:rFonts w:ascii="Times New Roman" w:eastAsia="宋体" w:hAnsi="Times New Roman" w:cs="Times New Roman"/>
          <w:sz w:val="24"/>
        </w:rPr>
        <w:t>45</w:t>
      </w:r>
      <w:r>
        <w:rPr>
          <w:rFonts w:ascii="Times New Roman" w:eastAsia="宋体" w:hAnsi="Times New Roman" w:cs="Times New Roman"/>
          <w:sz w:val="24"/>
        </w:rPr>
        <w:t>份，占</w:t>
      </w:r>
      <w:r>
        <w:rPr>
          <w:rFonts w:ascii="Times New Roman" w:eastAsia="宋体" w:hAnsi="Times New Roman" w:cs="Times New Roman"/>
          <w:sz w:val="24"/>
        </w:rPr>
        <w:t>97.83%</w:t>
      </w:r>
      <w:r>
        <w:rPr>
          <w:rFonts w:ascii="Times New Roman" w:eastAsia="宋体" w:hAnsi="Times New Roman" w:cs="Times New Roman"/>
          <w:sz w:val="24"/>
        </w:rPr>
        <w:t>。五个维度达成度均超过</w:t>
      </w:r>
      <w:r>
        <w:rPr>
          <w:rFonts w:ascii="Times New Roman" w:eastAsia="宋体" w:hAnsi="Times New Roman" w:cs="Times New Roman"/>
          <w:sz w:val="24"/>
        </w:rPr>
        <w:t>88%</w:t>
      </w:r>
      <w:r>
        <w:rPr>
          <w:rFonts w:ascii="Times New Roman" w:eastAsia="宋体" w:hAnsi="Times New Roman" w:cs="Times New Roman"/>
          <w:sz w:val="24"/>
        </w:rPr>
        <w:t>，社会情感支持</w:t>
      </w:r>
      <w:r>
        <w:rPr>
          <w:rFonts w:ascii="Times New Roman" w:eastAsia="宋体" w:hAnsi="Times New Roman" w:cs="Times New Roman"/>
          <w:sz w:val="24"/>
        </w:rPr>
        <w:t>94.80%</w:t>
      </w:r>
      <w:r>
        <w:rPr>
          <w:rFonts w:ascii="Times New Roman" w:eastAsia="宋体" w:hAnsi="Times New Roman" w:cs="Times New Roman"/>
          <w:sz w:val="24"/>
        </w:rPr>
        <w:t>，学科内容建构</w:t>
      </w:r>
      <w:r>
        <w:rPr>
          <w:rFonts w:ascii="Times New Roman" w:eastAsia="宋体" w:hAnsi="Times New Roman" w:cs="Times New Roman"/>
          <w:sz w:val="24"/>
        </w:rPr>
        <w:t>92.70%</w:t>
      </w:r>
      <w:r>
        <w:rPr>
          <w:rFonts w:ascii="Times New Roman" w:eastAsia="宋体" w:hAnsi="Times New Roman" w:cs="Times New Roman"/>
          <w:sz w:val="24"/>
        </w:rPr>
        <w:t>，认知参与</w:t>
      </w:r>
      <w:r>
        <w:rPr>
          <w:rFonts w:ascii="Times New Roman" w:eastAsia="宋体" w:hAnsi="Times New Roman" w:cs="Times New Roman"/>
          <w:sz w:val="24"/>
        </w:rPr>
        <w:t>89.70%</w:t>
      </w:r>
      <w:r>
        <w:rPr>
          <w:rFonts w:ascii="Times New Roman" w:eastAsia="宋体" w:hAnsi="Times New Roman" w:cs="Times New Roman"/>
          <w:sz w:val="24"/>
        </w:rPr>
        <w:t>，课堂互动</w:t>
      </w:r>
      <w:r>
        <w:rPr>
          <w:rFonts w:ascii="Times New Roman" w:eastAsia="宋体" w:hAnsi="Times New Roman" w:cs="Times New Roman"/>
          <w:sz w:val="24"/>
        </w:rPr>
        <w:t>88.70%</w:t>
      </w:r>
      <w:r>
        <w:rPr>
          <w:rFonts w:ascii="Times New Roman" w:eastAsia="宋体" w:hAnsi="Times New Roman" w:cs="Times New Roman"/>
          <w:sz w:val="24"/>
        </w:rPr>
        <w:t>，形成性评价</w:t>
      </w:r>
      <w:r>
        <w:rPr>
          <w:rFonts w:ascii="Times New Roman" w:eastAsia="宋体" w:hAnsi="Times New Roman" w:cs="Times New Roman"/>
          <w:sz w:val="24"/>
        </w:rPr>
        <w:t>88.40%</w:t>
      </w:r>
      <w:r>
        <w:rPr>
          <w:rFonts w:ascii="Times New Roman" w:eastAsia="宋体" w:hAnsi="Times New Roman" w:cs="Times New Roman"/>
          <w:sz w:val="24"/>
        </w:rPr>
        <w:t>。</w:t>
      </w:r>
    </w:p>
    <w:p w14:paraId="34FB62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说明，课题实践后的研究课已经形成较为完整的高阶学习支持结构，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用于帮助教师识别教学支持的优势结构与薄弱环节。</w:t>
      </w:r>
    </w:p>
    <w:p w14:paraId="2AEE063C"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4-3  </w:t>
      </w:r>
      <w:r>
        <w:rPr>
          <w:rFonts w:ascii="Times New Roman" w:eastAsia="黑体" w:hAnsi="Times New Roman" w:cs="Times New Roman"/>
        </w:rPr>
        <w:t>研究课教师五维评课达成度</w:t>
      </w:r>
    </w:p>
    <w:p w14:paraId="08720065" w14:textId="77777777" w:rsidR="000B1CCE" w:rsidRDefault="00000000">
      <w:pPr>
        <w:keepNext/>
        <w:spacing w:before="120"/>
        <w:jc w:val="center"/>
      </w:pPr>
      <w:r>
        <w:rPr>
          <w:noProof/>
        </w:rPr>
        <w:lastRenderedPageBreak/>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2"/>
                    <a:stretch>
                      <a:fillRect/>
                    </a:stretch>
                  </pic:blipFill>
                  <pic:spPr>
                    <a:xfrm>
                      <a:off x="0" y="0"/>
                      <a:ext cx="4352925" cy="2272665"/>
                    </a:xfrm>
                    <a:prstGeom prst="rect">
                      <a:avLst/>
                    </a:prstGeom>
                  </pic:spPr>
                </pic:pic>
              </a:graphicData>
            </a:graphic>
          </wp:inline>
        </w:drawing>
      </w:r>
    </w:p>
    <w:p w14:paraId="1885D8F1" w14:textId="77777777" w:rsidR="000B1CCE" w:rsidRDefault="00000000">
      <w:pPr>
        <w:spacing w:before="40" w:after="160"/>
        <w:jc w:val="left"/>
      </w:pPr>
      <w:r>
        <w:rPr>
          <w:rFonts w:ascii="Times New Roman" w:eastAsia="华文楷体" w:hAnsi="Times New Roman" w:cs="Times New Roman"/>
          <w:sz w:val="18"/>
        </w:rPr>
        <w:t>10</w:t>
      </w:r>
      <w:r>
        <w:rPr>
          <w:rFonts w:ascii="Times New Roman" w:eastAsia="华文楷体" w:hAnsi="Times New Roman" w:cs="Times New Roman"/>
          <w:sz w:val="18"/>
        </w:rPr>
        <w:t>节研究课共</w:t>
      </w:r>
      <w:r>
        <w:rPr>
          <w:rFonts w:ascii="Times New Roman" w:eastAsia="华文楷体" w:hAnsi="Times New Roman" w:cs="Times New Roman"/>
          <w:sz w:val="18"/>
        </w:rPr>
        <w:t>46</w:t>
      </w:r>
      <w:r>
        <w:rPr>
          <w:rFonts w:ascii="Times New Roman" w:eastAsia="华文楷体" w:hAnsi="Times New Roman" w:cs="Times New Roman"/>
          <w:sz w:val="18"/>
        </w:rPr>
        <w:t>份有效评课表；各维度满分</w:t>
      </w:r>
      <w:r>
        <w:rPr>
          <w:rFonts w:ascii="Times New Roman" w:eastAsia="华文楷体" w:hAnsi="Times New Roman" w:cs="Times New Roman"/>
          <w:sz w:val="18"/>
        </w:rPr>
        <w:t>20</w:t>
      </w:r>
      <w:r>
        <w:rPr>
          <w:rFonts w:ascii="Times New Roman" w:eastAsia="华文楷体" w:hAnsi="Times New Roman" w:cs="Times New Roman"/>
          <w:sz w:val="18"/>
        </w:rPr>
        <w:t>分，达成度</w:t>
      </w:r>
      <w:r>
        <w:rPr>
          <w:rFonts w:ascii="Times New Roman" w:eastAsia="华文楷体" w:hAnsi="Times New Roman" w:cs="Times New Roman"/>
          <w:sz w:val="18"/>
        </w:rPr>
        <w:t>=</w:t>
      </w:r>
      <w:r>
        <w:rPr>
          <w:rFonts w:ascii="Times New Roman" w:eastAsia="华文楷体" w:hAnsi="Times New Roman" w:cs="Times New Roman"/>
          <w:sz w:val="18"/>
        </w:rPr>
        <w:t>维度均值</w:t>
      </w:r>
      <w:r>
        <w:rPr>
          <w:rFonts w:ascii="Times New Roman" w:eastAsia="华文楷体" w:hAnsi="Times New Roman" w:cs="Times New Roman"/>
          <w:sz w:val="18"/>
        </w:rPr>
        <w:t>÷20×100%</w:t>
      </w:r>
      <w:r>
        <w:rPr>
          <w:rFonts w:ascii="Times New Roman" w:eastAsia="华文楷体" w:hAnsi="Times New Roman" w:cs="Times New Roman"/>
          <w:sz w:val="18"/>
        </w:rPr>
        <w:t>。</w:t>
      </w:r>
    </w:p>
    <w:p w14:paraId="61E05C8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教学方式由经验推进转向循证调节</w:t>
      </w:r>
    </w:p>
    <w:p w14:paraId="7749C1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w:t>
      </w:r>
      <w:r>
        <w:rPr>
          <w:rFonts w:ascii="Times New Roman" w:eastAsia="宋体" w:hAnsi="Times New Roman" w:cs="Times New Roman"/>
          <w:sz w:val="24"/>
        </w:rPr>
        <w:t>AI</w:t>
      </w:r>
      <w:r>
        <w:rPr>
          <w:rFonts w:ascii="Times New Roman" w:eastAsia="宋体" w:hAnsi="Times New Roman" w:cs="Times New Roman"/>
          <w:sz w:val="24"/>
        </w:rPr>
        <w:t>课堂行为数据进一步呈现了教师教学组织的实际状态。</w:t>
      </w:r>
      <w:r>
        <w:rPr>
          <w:rFonts w:ascii="Times New Roman" w:eastAsia="宋体" w:hAnsi="Times New Roman" w:cs="Times New Roman"/>
          <w:sz w:val="24"/>
        </w:rPr>
        <w:t>10</w:t>
      </w:r>
      <w:r>
        <w:rPr>
          <w:rFonts w:ascii="Times New Roman" w:eastAsia="宋体" w:hAnsi="Times New Roman" w:cs="Times New Roman"/>
          <w:sz w:val="24"/>
        </w:rPr>
        <w:t>节课中，教师行为平均占比</w:t>
      </w:r>
      <w:r>
        <w:rPr>
          <w:rFonts w:ascii="Times New Roman" w:eastAsia="宋体" w:hAnsi="Times New Roman" w:cs="Times New Roman"/>
          <w:sz w:val="24"/>
        </w:rPr>
        <w:t>50.2%</w:t>
      </w:r>
      <w:r>
        <w:rPr>
          <w:rFonts w:ascii="Times New Roman" w:eastAsia="宋体" w:hAnsi="Times New Roman" w:cs="Times New Roman"/>
          <w:sz w:val="24"/>
        </w:rPr>
        <w:t>，学生行为平均占比</w:t>
      </w:r>
      <w:r>
        <w:rPr>
          <w:rFonts w:ascii="Times New Roman" w:eastAsia="宋体" w:hAnsi="Times New Roman" w:cs="Times New Roman"/>
          <w:sz w:val="24"/>
        </w:rPr>
        <w:t>49.8%</w:t>
      </w:r>
      <w:r>
        <w:rPr>
          <w:rFonts w:ascii="Times New Roman" w:eastAsia="宋体" w:hAnsi="Times New Roman" w:cs="Times New Roman"/>
          <w:sz w:val="24"/>
        </w:rPr>
        <w:t>，总体上已形成教师支持与学生参与并存的课堂结构；教师讲授平均约</w:t>
      </w:r>
      <w:r>
        <w:rPr>
          <w:rFonts w:ascii="Times New Roman" w:eastAsia="宋体" w:hAnsi="Times New Roman" w:cs="Times New Roman"/>
          <w:sz w:val="24"/>
        </w:rPr>
        <w:t>23.01%</w:t>
      </w:r>
      <w:r>
        <w:rPr>
          <w:rFonts w:ascii="Times New Roman" w:eastAsia="宋体" w:hAnsi="Times New Roman" w:cs="Times New Roman"/>
          <w:sz w:val="24"/>
        </w:rPr>
        <w:t>，师生问答平均约</w:t>
      </w:r>
      <w:r>
        <w:rPr>
          <w:rFonts w:ascii="Times New Roman" w:eastAsia="宋体" w:hAnsi="Times New Roman" w:cs="Times New Roman"/>
          <w:sz w:val="24"/>
        </w:rPr>
        <w:t>25.40%</w:t>
      </w:r>
      <w:r>
        <w:rPr>
          <w:rFonts w:ascii="Times New Roman" w:eastAsia="宋体" w:hAnsi="Times New Roman" w:cs="Times New Roman"/>
          <w:sz w:val="24"/>
        </w:rPr>
        <w:t>。</w:t>
      </w:r>
      <w:r>
        <w:rPr>
          <w:rFonts w:ascii="Times New Roman" w:eastAsia="宋体" w:hAnsi="Times New Roman" w:cs="Times New Roman"/>
          <w:b/>
          <w:sz w:val="24"/>
        </w:rPr>
        <w:t>这表明教师角色正在由单一知识传递转向通过问题、互动和学习组织支持学生学习。</w:t>
      </w:r>
      <w:r>
        <w:rPr>
          <w:rFonts w:ascii="Times New Roman" w:eastAsia="宋体" w:hAnsi="Times New Roman" w:cs="Times New Roman"/>
          <w:sz w:val="24"/>
        </w:rPr>
        <w:t>但</w:t>
      </w:r>
      <w:r>
        <w:rPr>
          <w:rFonts w:ascii="Times New Roman" w:eastAsia="宋体" w:hAnsi="Times New Roman" w:cs="Times New Roman"/>
          <w:sz w:val="24"/>
        </w:rPr>
        <w:t>AI</w:t>
      </w:r>
      <w:r>
        <w:rPr>
          <w:rFonts w:ascii="Times New Roman" w:eastAsia="宋体" w:hAnsi="Times New Roman" w:cs="Times New Roman"/>
          <w:sz w:val="24"/>
        </w:rPr>
        <w:t>数据显示，评价与创造类高阶问题合计约</w:t>
      </w:r>
      <w:r>
        <w:rPr>
          <w:rFonts w:ascii="Times New Roman" w:eastAsia="宋体" w:hAnsi="Times New Roman" w:cs="Times New Roman"/>
          <w:sz w:val="24"/>
        </w:rPr>
        <w:t>8.6%</w:t>
      </w:r>
      <w:r>
        <w:rPr>
          <w:rFonts w:ascii="Times New Roman" w:eastAsia="宋体" w:hAnsi="Times New Roman" w:cs="Times New Roman"/>
          <w:sz w:val="24"/>
        </w:rPr>
        <w:t>，说明教师虽然已经形成较好的提问和互动基础，高阶问题的质量与层次仍有进一步提升空间。</w:t>
      </w:r>
    </w:p>
    <w:p w14:paraId="639499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更重要的变化体现在教研方式上。课题实践中，教师逐步追问，学生在哪一步出现困难？哪种证据说明其认识发生了变化？反馈后是否出现新的表现？教学支架是否与当前学情匹配？这种问题意识使五维评课、</w:t>
      </w:r>
      <w:r>
        <w:rPr>
          <w:rFonts w:ascii="Times New Roman" w:eastAsia="宋体" w:hAnsi="Times New Roman" w:cs="Times New Roman"/>
          <w:sz w:val="24"/>
        </w:rPr>
        <w:t>AI</w:t>
      </w:r>
      <w:r>
        <w:rPr>
          <w:rFonts w:ascii="Times New Roman" w:eastAsia="宋体" w:hAnsi="Times New Roman" w:cs="Times New Roman"/>
          <w:sz w:val="24"/>
        </w:rPr>
        <w:t>课堂数据、学生作品、课堂对话和教师反思开始共同进入课例研讨。从这个意义上看，教师专业实践最有价值的变化，是专业判断开始更多建立在学生真实学习证据之上，逐步形成诊断发现、干预设计、实施推进和评估改进的循证调节方式。</w:t>
      </w:r>
    </w:p>
    <w:p w14:paraId="56E29588"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4-4  </w:t>
      </w:r>
      <w:r>
        <w:rPr>
          <w:rFonts w:ascii="Times New Roman" w:eastAsia="黑体" w:hAnsi="Times New Roman" w:cs="Times New Roman"/>
        </w:rPr>
        <w:t>希沃</w:t>
      </w:r>
      <w:r>
        <w:rPr>
          <w:rFonts w:ascii="Times New Roman" w:eastAsia="黑体" w:hAnsi="Times New Roman" w:cs="Times New Roman"/>
        </w:rPr>
        <w:t>AI</w:t>
      </w:r>
      <w:r>
        <w:rPr>
          <w:rFonts w:ascii="Times New Roman" w:eastAsia="黑体" w:hAnsi="Times New Roman" w:cs="Times New Roman"/>
        </w:rPr>
        <w:t>课堂关键行为与认知机会指标</w:t>
      </w:r>
    </w:p>
    <w:p w14:paraId="4D8F5A39" w14:textId="77777777" w:rsidR="000B1CCE" w:rsidRDefault="00000000">
      <w:pPr>
        <w:keepNext/>
        <w:spacing w:before="120"/>
        <w:jc w:val="center"/>
      </w:pPr>
      <w:r>
        <w:rPr>
          <w:noProof/>
        </w:rPr>
        <w:lastRenderedPageBreak/>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3"/>
                    <a:stretch>
                      <a:fillRect/>
                    </a:stretch>
                  </pic:blipFill>
                  <pic:spPr>
                    <a:xfrm>
                      <a:off x="0" y="0"/>
                      <a:ext cx="4498975" cy="2347595"/>
                    </a:xfrm>
                    <a:prstGeom prst="rect">
                      <a:avLst/>
                    </a:prstGeom>
                  </pic:spPr>
                </pic:pic>
              </a:graphicData>
            </a:graphic>
          </wp:inline>
        </w:drawing>
      </w:r>
    </w:p>
    <w:p w14:paraId="0F85120E" w14:textId="77777777" w:rsidR="000B1CCE" w:rsidRDefault="00000000">
      <w:pPr>
        <w:spacing w:before="40" w:after="160"/>
        <w:jc w:val="left"/>
      </w:pPr>
      <w:r>
        <w:rPr>
          <w:rFonts w:ascii="Times New Roman" w:eastAsia="华文楷体" w:hAnsi="Times New Roman" w:cs="Times New Roman"/>
          <w:sz w:val="18"/>
        </w:rPr>
        <w:t>教师</w:t>
      </w:r>
      <w:r>
        <w:rPr>
          <w:rFonts w:ascii="Times New Roman" w:eastAsia="华文楷体" w:hAnsi="Times New Roman" w:cs="Times New Roman"/>
          <w:sz w:val="18"/>
        </w:rPr>
        <w:t>/</w:t>
      </w:r>
      <w:r>
        <w:rPr>
          <w:rFonts w:ascii="Times New Roman" w:eastAsia="华文楷体" w:hAnsi="Times New Roman" w:cs="Times New Roman"/>
          <w:sz w:val="18"/>
        </w:rPr>
        <w:t>学生行为、师生问答、学生讨论基于</w:t>
      </w:r>
      <w:r>
        <w:rPr>
          <w:rFonts w:ascii="Times New Roman" w:eastAsia="华文楷体" w:hAnsi="Times New Roman" w:cs="Times New Roman"/>
          <w:sz w:val="18"/>
        </w:rPr>
        <w:t>10</w:t>
      </w:r>
      <w:r>
        <w:rPr>
          <w:rFonts w:ascii="Times New Roman" w:eastAsia="华文楷体" w:hAnsi="Times New Roman" w:cs="Times New Roman"/>
          <w:sz w:val="18"/>
        </w:rPr>
        <w:t>节课；高阶认知问题占比基于</w:t>
      </w:r>
      <w:r>
        <w:rPr>
          <w:rFonts w:ascii="Times New Roman" w:eastAsia="华文楷体" w:hAnsi="Times New Roman" w:cs="Times New Roman"/>
          <w:sz w:val="18"/>
        </w:rPr>
        <w:t>6</w:t>
      </w:r>
      <w:r>
        <w:rPr>
          <w:rFonts w:ascii="Times New Roman" w:eastAsia="华文楷体" w:hAnsi="Times New Roman" w:cs="Times New Roman"/>
          <w:sz w:val="18"/>
        </w:rPr>
        <w:t>节具有完整提问认知层级记录的课例。</w:t>
      </w:r>
      <w:r>
        <w:rPr>
          <w:rFonts w:ascii="Times New Roman" w:eastAsia="华文楷体" w:hAnsi="Times New Roman" w:cs="Times New Roman"/>
          <w:sz w:val="18"/>
        </w:rPr>
        <w:t>AI</w:t>
      </w:r>
      <w:r>
        <w:rPr>
          <w:rFonts w:ascii="Times New Roman" w:eastAsia="华文楷体" w:hAnsi="Times New Roman" w:cs="Times New Roman"/>
          <w:sz w:val="18"/>
        </w:rPr>
        <w:t>行为指标用于描述课堂实施结构，不直接等同于学生高阶能力。</w:t>
      </w:r>
    </w:p>
    <w:p w14:paraId="7F12524A"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（四）学校高阶能力培育实践体系的初步形成</w:t>
      </w:r>
    </w:p>
    <w:p w14:paraId="7CEBCB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体现为研究语言、研修机制、实践场域和证据文化逐步形成的过程。</w:t>
      </w:r>
    </w:p>
    <w:p w14:paraId="7CE5403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以高阶能力培育为共同议题的校本研修机制</w:t>
      </w:r>
    </w:p>
    <w:p w14:paraId="01DE70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4D9A40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这一研究方式已经进一步进入学校校本研修设计。学校在</w:t>
      </w:r>
      <w:r>
        <w:rPr>
          <w:rFonts w:ascii="Times New Roman" w:eastAsia="宋体" w:hAnsi="Times New Roman" w:cs="Times New Roman"/>
          <w:sz w:val="24"/>
        </w:rPr>
        <w:t>2026</w:t>
      </w:r>
      <w:r>
        <w:rPr>
          <w:rFonts w:ascii="Times New Roman" w:eastAsia="宋体" w:hAnsi="Times New Roman" w:cs="Times New Roman"/>
          <w:sz w:val="24"/>
        </w:rPr>
        <w:t>学年第一学期研修方案中，由教师发展中心牵头、课程中心协同推进，提出教研组一组一案、一科一策，重点研究教师一师一问、一课一改，并要求结合课堂观察量表、五维评价和希沃</w:t>
      </w:r>
      <w:r>
        <w:rPr>
          <w:rFonts w:ascii="Times New Roman" w:eastAsia="宋体" w:hAnsi="Times New Roman" w:cs="Times New Roman"/>
          <w:sz w:val="24"/>
        </w:rPr>
        <w:t>AI</w:t>
      </w:r>
      <w:r>
        <w:rPr>
          <w:rFonts w:ascii="Times New Roman" w:eastAsia="宋体" w:hAnsi="Times New Roman" w:cs="Times New Roman"/>
          <w:sz w:val="24"/>
        </w:rPr>
        <w:t>数据开展数据会诊。课题成果由此不再停留在结题材料中，而开始转化为学校日常研修的组织方式。</w:t>
      </w:r>
    </w:p>
    <w:p w14:paraId="31988C9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由经验判断走向证据支持的校本教研</w:t>
      </w:r>
    </w:p>
    <w:p w14:paraId="44575B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传统教研中，课堂气氛好、教师讲得清楚、学生参与积极等经验性判断较为常见，但这些表述难以直接说明学生是否真正经历高阶学习。本研究在实践中逐</w:t>
      </w:r>
      <w:r>
        <w:rPr>
          <w:rFonts w:ascii="Times New Roman" w:eastAsia="宋体" w:hAnsi="Times New Roman" w:cs="Times New Roman"/>
          <w:sz w:val="24"/>
        </w:rPr>
        <w:lastRenderedPageBreak/>
        <w:t>步形成一种新的教研要求，任何关于学习变化的判断，都应尽可能回到可见的学习证据。教师五维评课帮助识别课堂支持结构，</w:t>
      </w:r>
      <w:r>
        <w:rPr>
          <w:rFonts w:ascii="Times New Roman" w:eastAsia="宋体" w:hAnsi="Times New Roman" w:cs="Times New Roman"/>
          <w:sz w:val="24"/>
        </w:rPr>
        <w:t>AI</w:t>
      </w:r>
      <w:r>
        <w:rPr>
          <w:rFonts w:ascii="Times New Roman" w:eastAsia="宋体" w:hAnsi="Times New Roman" w:cs="Times New Roman"/>
          <w:sz w:val="24"/>
        </w:rPr>
        <w:t>课堂行为帮助呈现师生行为分布，学生作品和学习单呈现思维与修订过程，问卷与访谈则用于观察较长周期的变化。不同证据承担不同功能，不追求一种工具解决所有问题。</w:t>
      </w:r>
    </w:p>
    <w:p w14:paraId="667019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这种变化与可见的学习关于反馈文化的主张一致，即学校持续追问学生下一步应走向哪里，使反馈从个别教师的教学技术转变为学校的工作方式（</w:t>
      </w:r>
      <w:r>
        <w:rPr>
          <w:rFonts w:ascii="Times New Roman" w:eastAsia="宋体" w:hAnsi="Times New Roman" w:cs="Times New Roman"/>
          <w:kern w:val="0"/>
          <w:sz w:val="24"/>
        </w:rPr>
        <w:t>Fredens, 2015</w:t>
      </w:r>
      <w:r>
        <w:rPr>
          <w:rFonts w:ascii="Times New Roman" w:eastAsia="宋体" w:hAnsi="Times New Roman" w:cs="Times New Roman"/>
          <w:kern w:val="0"/>
          <w:sz w:val="24"/>
        </w:rPr>
        <w:t>）。</w:t>
      </w:r>
    </w:p>
    <w:p w14:paraId="758A61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58C670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学科教学与科创教育协同推进的实践格局</w:t>
      </w:r>
    </w:p>
    <w:p w14:paraId="4FC8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w:t>
      </w:r>
      <w:r>
        <w:rPr>
          <w:rFonts w:ascii="Times New Roman" w:eastAsia="宋体" w:hAnsi="Times New Roman" w:cs="Times New Roman"/>
          <w:b/>
          <w:sz w:val="24"/>
        </w:rPr>
        <w:t>由此，学科教学和科创教育共同服务于同一高阶能力目标。</w:t>
      </w:r>
    </w:p>
    <w:p w14:paraId="50DD26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4F17E4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可持续使用的校本研究资源</w:t>
      </w:r>
    </w:p>
    <w:p w14:paraId="6296EF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课题研究还形成了一批能够继续服务学校改进的过程性资源，包括典型学科课例、科创项目案例、任务单、学习单、评价量规、学生作品、教师五维评课数据、希沃</w:t>
      </w:r>
      <w:r>
        <w:rPr>
          <w:rFonts w:ascii="Times New Roman" w:eastAsia="宋体" w:hAnsi="Times New Roman" w:cs="Times New Roman"/>
          <w:sz w:val="24"/>
        </w:rPr>
        <w:t>AI</w:t>
      </w:r>
      <w:r>
        <w:rPr>
          <w:rFonts w:ascii="Times New Roman" w:eastAsia="宋体" w:hAnsi="Times New Roman" w:cs="Times New Roman"/>
          <w:sz w:val="24"/>
        </w:rPr>
        <w:t>课堂行为分析、教师与学生开放性回答编码以及模型图示等。这些材料的价值在于它们保留了问题、实践、证据和改进的研究过程。</w:t>
      </w:r>
    </w:p>
    <w:p w14:paraId="535E6A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通过资源沉淀，学校后续开展教师培训、学科教研和课堂改进时，可以直接调用已有案例和数据开展比较、复盘和再设计。课题成果因而从一次性结题产出</w:t>
      </w:r>
      <w:r>
        <w:rPr>
          <w:rFonts w:ascii="Times New Roman" w:eastAsia="宋体" w:hAnsi="Times New Roman" w:cs="Times New Roman"/>
          <w:sz w:val="24"/>
        </w:rPr>
        <w:lastRenderedPageBreak/>
        <w:t>逐步转化为学校可复用的研究资产，也为后续高阶能力培育、数智赋能课堂和循证教研提供了共同基础。</w:t>
      </w:r>
    </w:p>
    <w:p w14:paraId="6832CA4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4-4  </w:t>
      </w:r>
      <w:r>
        <w:rPr>
          <w:rFonts w:ascii="Times New Roman" w:eastAsia="黑体" w:hAnsi="Times New Roman" w:cs="Times New Roman"/>
        </w:rPr>
        <w:t>学校层面实践成效与证据对应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69"/>
        <w:gridCol w:w="2960"/>
        <w:gridCol w:w="2777"/>
      </w:tblGrid>
      <w:tr w:rsidR="000B1CCE" w14:paraId="4B6B3796" w14:textId="77777777">
        <w:trPr>
          <w:tblHeader/>
          <w:jc w:val="center"/>
        </w:trPr>
        <w:tc>
          <w:tcPr>
            <w:tcW w:w="2628"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F85EC69" w14:textId="77777777" w:rsidR="000B1CCE" w:rsidRDefault="00000000">
            <w:pPr>
              <w:spacing w:before="20" w:after="20"/>
              <w:jc w:val="center"/>
            </w:pPr>
            <w:r>
              <w:rPr>
                <w:rFonts w:ascii="Times New Roman" w:eastAsia="宋体" w:hAnsi="Times New Roman" w:cs="Times New Roman"/>
                <w:b/>
              </w:rPr>
              <w:t>学校层面变化</w:t>
            </w:r>
          </w:p>
        </w:tc>
        <w:tc>
          <w:tcPr>
            <w:tcW w:w="3023"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4FCB7F51" w14:textId="77777777" w:rsidR="000B1CCE" w:rsidRDefault="00000000">
            <w:pPr>
              <w:spacing w:before="20" w:after="20"/>
              <w:jc w:val="center"/>
            </w:pPr>
            <w:r>
              <w:rPr>
                <w:rFonts w:ascii="Times New Roman" w:eastAsia="宋体" w:hAnsi="Times New Roman" w:cs="Times New Roman"/>
                <w:b/>
              </w:rPr>
              <w:t>具体表现</w:t>
            </w:r>
          </w:p>
        </w:tc>
        <w:tc>
          <w:tcPr>
            <w:tcW w:w="2835"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4CE013FA" w14:textId="77777777" w:rsidR="000B1CCE" w:rsidRDefault="00000000">
            <w:pPr>
              <w:spacing w:before="20" w:after="20"/>
              <w:jc w:val="center"/>
            </w:pPr>
            <w:r>
              <w:rPr>
                <w:rFonts w:ascii="Times New Roman" w:eastAsia="宋体" w:hAnsi="Times New Roman" w:cs="Times New Roman"/>
                <w:b/>
              </w:rPr>
              <w:t>主要证据</w:t>
            </w:r>
          </w:p>
        </w:tc>
      </w:tr>
      <w:tr w:rsidR="000B1CCE" w14:paraId="7140E74C"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6B404032" w14:textId="77777777" w:rsidR="000B1CCE" w:rsidRDefault="00000000">
            <w:pPr>
              <w:spacing w:before="20" w:after="20"/>
              <w:jc w:val="center"/>
            </w:pPr>
            <w:r>
              <w:rPr>
                <w:rFonts w:ascii="Times New Roman" w:eastAsia="宋体" w:hAnsi="Times New Roman" w:cs="Times New Roman"/>
              </w:rPr>
              <w:t>共同研修议题形成</w:t>
            </w:r>
          </w:p>
        </w:tc>
        <w:tc>
          <w:tcPr>
            <w:tcW w:w="3023" w:type="dxa"/>
            <w:tcBorders>
              <w:top w:val="nil"/>
              <w:left w:val="nil"/>
              <w:bottom w:val="nil"/>
              <w:right w:val="nil"/>
            </w:tcBorders>
            <w:tcMar>
              <w:top w:w="70" w:type="dxa"/>
              <w:left w:w="90" w:type="dxa"/>
              <w:bottom w:w="70" w:type="dxa"/>
              <w:right w:w="90" w:type="dxa"/>
            </w:tcMar>
            <w:vAlign w:val="center"/>
          </w:tcPr>
          <w:p w14:paraId="1AEB9BAD" w14:textId="77777777" w:rsidR="000B1CCE" w:rsidRDefault="00000000">
            <w:pPr>
              <w:spacing w:before="20" w:after="20"/>
              <w:jc w:val="left"/>
            </w:pPr>
            <w:r>
              <w:rPr>
                <w:rFonts w:ascii="Times New Roman" w:eastAsia="宋体" w:hAnsi="Times New Roman" w:cs="Times New Roman"/>
              </w:rPr>
              <w:t>不同学科围绕高阶能力、五环、五见、学习证据和循证调节开展协同研究</w:t>
            </w:r>
          </w:p>
        </w:tc>
        <w:tc>
          <w:tcPr>
            <w:tcW w:w="2835" w:type="dxa"/>
            <w:tcBorders>
              <w:top w:val="nil"/>
              <w:left w:val="nil"/>
              <w:bottom w:val="nil"/>
              <w:right w:val="nil"/>
            </w:tcBorders>
            <w:tcMar>
              <w:top w:w="70" w:type="dxa"/>
              <w:left w:w="90" w:type="dxa"/>
              <w:bottom w:w="70" w:type="dxa"/>
              <w:right w:w="90" w:type="dxa"/>
            </w:tcMar>
            <w:vAlign w:val="center"/>
          </w:tcPr>
          <w:p w14:paraId="5BC009B2" w14:textId="77777777" w:rsidR="000B1CCE" w:rsidRDefault="00000000">
            <w:pPr>
              <w:spacing w:before="20" w:after="20"/>
              <w:jc w:val="center"/>
            </w:pPr>
            <w:r>
              <w:rPr>
                <w:rFonts w:ascii="Times New Roman" w:eastAsia="宋体" w:hAnsi="Times New Roman" w:cs="Times New Roman"/>
              </w:rPr>
              <w:t>研究课、课例研讨、同课异构、校本研修方案</w:t>
            </w:r>
          </w:p>
        </w:tc>
      </w:tr>
      <w:tr w:rsidR="000B1CCE" w14:paraId="7A19E1CD"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61F6558E" w14:textId="77777777" w:rsidR="000B1CCE" w:rsidRDefault="00000000">
            <w:pPr>
              <w:spacing w:before="20" w:after="20"/>
              <w:jc w:val="center"/>
            </w:pPr>
            <w:r>
              <w:rPr>
                <w:rFonts w:ascii="Times New Roman" w:eastAsia="宋体" w:hAnsi="Times New Roman" w:cs="Times New Roman"/>
              </w:rPr>
              <w:t>教研由经验判断走向证据支持</w:t>
            </w:r>
          </w:p>
        </w:tc>
        <w:tc>
          <w:tcPr>
            <w:tcW w:w="3023" w:type="dxa"/>
            <w:tcBorders>
              <w:top w:val="nil"/>
              <w:left w:val="nil"/>
              <w:bottom w:val="nil"/>
              <w:right w:val="nil"/>
            </w:tcBorders>
            <w:tcMar>
              <w:top w:w="70" w:type="dxa"/>
              <w:left w:w="90" w:type="dxa"/>
              <w:bottom w:w="70" w:type="dxa"/>
              <w:right w:w="90" w:type="dxa"/>
            </w:tcMar>
            <w:vAlign w:val="center"/>
          </w:tcPr>
          <w:p w14:paraId="423D07AC" w14:textId="77777777" w:rsidR="000B1CCE" w:rsidRDefault="00000000">
            <w:pPr>
              <w:spacing w:before="20" w:after="20"/>
              <w:jc w:val="left"/>
            </w:pPr>
            <w:r>
              <w:rPr>
                <w:rFonts w:ascii="Times New Roman" w:eastAsia="宋体" w:hAnsi="Times New Roman" w:cs="Times New Roman"/>
              </w:rPr>
              <w:t>五维评课、</w:t>
            </w:r>
            <w:r>
              <w:rPr>
                <w:rFonts w:ascii="Times New Roman" w:eastAsia="宋体" w:hAnsi="Times New Roman" w:cs="Times New Roman"/>
              </w:rPr>
              <w:t>AI</w:t>
            </w:r>
            <w:r>
              <w:rPr>
                <w:rFonts w:ascii="Times New Roman" w:eastAsia="宋体" w:hAnsi="Times New Roman" w:cs="Times New Roman"/>
              </w:rPr>
              <w:t>课堂数据、学习单和学生作品进入课例诊断与数据会诊</w:t>
            </w:r>
          </w:p>
        </w:tc>
        <w:tc>
          <w:tcPr>
            <w:tcW w:w="2835" w:type="dxa"/>
            <w:tcBorders>
              <w:top w:val="nil"/>
              <w:left w:val="nil"/>
              <w:bottom w:val="nil"/>
              <w:right w:val="nil"/>
            </w:tcBorders>
            <w:tcMar>
              <w:top w:w="70" w:type="dxa"/>
              <w:left w:w="90" w:type="dxa"/>
              <w:bottom w:w="70" w:type="dxa"/>
              <w:right w:w="90" w:type="dxa"/>
            </w:tcMar>
            <w:vAlign w:val="center"/>
          </w:tcPr>
          <w:p w14:paraId="3A5C1838" w14:textId="77777777" w:rsidR="000B1CCE" w:rsidRDefault="00000000">
            <w:pPr>
              <w:spacing w:before="20" w:after="20"/>
              <w:jc w:val="left"/>
            </w:pPr>
            <w:r>
              <w:rPr>
                <w:rFonts w:ascii="Times New Roman" w:eastAsia="宋体" w:hAnsi="Times New Roman" w:cs="Times New Roman"/>
              </w:rPr>
              <w:t>教师评课数据、</w:t>
            </w:r>
            <w:r>
              <w:rPr>
                <w:rFonts w:ascii="Times New Roman" w:eastAsia="宋体" w:hAnsi="Times New Roman" w:cs="Times New Roman"/>
              </w:rPr>
              <w:t>AI</w:t>
            </w:r>
            <w:r>
              <w:rPr>
                <w:rFonts w:ascii="Times New Roman" w:eastAsia="宋体" w:hAnsi="Times New Roman" w:cs="Times New Roman"/>
              </w:rPr>
              <w:t>分析、学生学习证据、改进记录</w:t>
            </w:r>
          </w:p>
        </w:tc>
      </w:tr>
      <w:tr w:rsidR="000B1CCE" w14:paraId="7C0E5FB3"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4DF85DEC" w14:textId="77777777" w:rsidR="000B1CCE" w:rsidRDefault="00000000">
            <w:pPr>
              <w:spacing w:before="20" w:after="20"/>
              <w:jc w:val="center"/>
            </w:pPr>
            <w:r>
              <w:rPr>
                <w:rFonts w:ascii="Times New Roman" w:eastAsia="宋体" w:hAnsi="Times New Roman" w:cs="Times New Roman"/>
              </w:rPr>
              <w:t>两域协同推进</w:t>
            </w:r>
          </w:p>
        </w:tc>
        <w:tc>
          <w:tcPr>
            <w:tcW w:w="3023" w:type="dxa"/>
            <w:tcBorders>
              <w:top w:val="nil"/>
              <w:left w:val="nil"/>
              <w:bottom w:val="nil"/>
              <w:right w:val="nil"/>
            </w:tcBorders>
            <w:tcMar>
              <w:top w:w="70" w:type="dxa"/>
              <w:left w:w="90" w:type="dxa"/>
              <w:bottom w:w="70" w:type="dxa"/>
              <w:right w:w="90" w:type="dxa"/>
            </w:tcMar>
            <w:vAlign w:val="center"/>
          </w:tcPr>
          <w:p w14:paraId="4C380884" w14:textId="77777777" w:rsidR="000B1CCE" w:rsidRDefault="00000000">
            <w:pPr>
              <w:spacing w:before="20" w:after="20"/>
              <w:jc w:val="left"/>
            </w:pPr>
            <w:r>
              <w:rPr>
                <w:rFonts w:ascii="Times New Roman" w:eastAsia="宋体" w:hAnsi="Times New Roman" w:cs="Times New Roman"/>
              </w:rPr>
              <w:t>学科教学承担日常持续培育，科创教育承担复杂情境中的综合运用与迁移</w:t>
            </w:r>
          </w:p>
        </w:tc>
        <w:tc>
          <w:tcPr>
            <w:tcW w:w="2835" w:type="dxa"/>
            <w:tcBorders>
              <w:top w:val="nil"/>
              <w:left w:val="nil"/>
              <w:bottom w:val="nil"/>
              <w:right w:val="nil"/>
            </w:tcBorders>
            <w:tcMar>
              <w:top w:w="70" w:type="dxa"/>
              <w:left w:w="90" w:type="dxa"/>
              <w:bottom w:w="70" w:type="dxa"/>
              <w:right w:w="90" w:type="dxa"/>
            </w:tcMar>
            <w:vAlign w:val="center"/>
          </w:tcPr>
          <w:p w14:paraId="1CAB8B5E" w14:textId="77777777" w:rsidR="000B1CCE" w:rsidRDefault="00000000">
            <w:pPr>
              <w:spacing w:before="20" w:after="20"/>
              <w:jc w:val="center"/>
            </w:pPr>
            <w:r>
              <w:rPr>
                <w:rFonts w:ascii="Times New Roman" w:eastAsia="宋体" w:hAnsi="Times New Roman" w:cs="Times New Roman"/>
              </w:rPr>
              <w:t>学科课例、科创项目、两域案例</w:t>
            </w:r>
          </w:p>
        </w:tc>
      </w:tr>
      <w:tr w:rsidR="000B1CCE" w14:paraId="04B916FA" w14:textId="77777777">
        <w:trPr>
          <w:jc w:val="center"/>
        </w:trPr>
        <w:tc>
          <w:tcPr>
            <w:tcW w:w="2628" w:type="dxa"/>
            <w:tcBorders>
              <w:top w:val="nil"/>
              <w:left w:val="nil"/>
              <w:bottom w:val="single" w:sz="12" w:space="0" w:color="000000"/>
              <w:right w:val="nil"/>
            </w:tcBorders>
            <w:tcMar>
              <w:top w:w="70" w:type="dxa"/>
              <w:left w:w="90" w:type="dxa"/>
              <w:bottom w:w="70" w:type="dxa"/>
              <w:right w:w="90" w:type="dxa"/>
            </w:tcMar>
            <w:vAlign w:val="center"/>
          </w:tcPr>
          <w:p w14:paraId="4E7A4BF7" w14:textId="77777777" w:rsidR="000B1CCE" w:rsidRDefault="00000000">
            <w:pPr>
              <w:spacing w:before="20" w:after="20"/>
              <w:jc w:val="center"/>
            </w:pPr>
            <w:r>
              <w:rPr>
                <w:rFonts w:ascii="Times New Roman" w:eastAsia="宋体" w:hAnsi="Times New Roman" w:cs="Times New Roman"/>
              </w:rPr>
              <w:t>校本资源持续沉淀</w:t>
            </w:r>
          </w:p>
        </w:tc>
        <w:tc>
          <w:tcPr>
            <w:tcW w:w="3023" w:type="dxa"/>
            <w:tcBorders>
              <w:top w:val="nil"/>
              <w:left w:val="nil"/>
              <w:bottom w:val="single" w:sz="12" w:space="0" w:color="000000"/>
              <w:right w:val="nil"/>
            </w:tcBorders>
            <w:tcMar>
              <w:top w:w="70" w:type="dxa"/>
              <w:left w:w="90" w:type="dxa"/>
              <w:bottom w:w="70" w:type="dxa"/>
              <w:right w:w="90" w:type="dxa"/>
            </w:tcMar>
            <w:vAlign w:val="center"/>
          </w:tcPr>
          <w:p w14:paraId="44C118D3" w14:textId="77777777" w:rsidR="000B1CCE" w:rsidRDefault="00000000">
            <w:pPr>
              <w:spacing w:before="20" w:after="20"/>
              <w:jc w:val="left"/>
            </w:pPr>
            <w:r>
              <w:rPr>
                <w:rFonts w:ascii="Times New Roman" w:eastAsia="宋体" w:hAnsi="Times New Roman" w:cs="Times New Roman"/>
              </w:rPr>
              <w:t>案例、任务单、评价量规、课堂数据与项目记录形成可复用资源</w:t>
            </w:r>
          </w:p>
        </w:tc>
        <w:tc>
          <w:tcPr>
            <w:tcW w:w="2835" w:type="dxa"/>
            <w:tcBorders>
              <w:top w:val="nil"/>
              <w:left w:val="nil"/>
              <w:bottom w:val="single" w:sz="12" w:space="0" w:color="000000"/>
              <w:right w:val="nil"/>
            </w:tcBorders>
            <w:tcMar>
              <w:top w:w="70" w:type="dxa"/>
              <w:left w:w="90" w:type="dxa"/>
              <w:bottom w:w="70" w:type="dxa"/>
              <w:right w:w="90" w:type="dxa"/>
            </w:tcMar>
            <w:vAlign w:val="center"/>
          </w:tcPr>
          <w:p w14:paraId="3EE2252D" w14:textId="77777777" w:rsidR="000B1CCE" w:rsidRDefault="00000000">
            <w:pPr>
              <w:spacing w:before="20" w:after="20"/>
              <w:jc w:val="center"/>
            </w:pPr>
            <w:r>
              <w:rPr>
                <w:rFonts w:ascii="Times New Roman" w:eastAsia="宋体" w:hAnsi="Times New Roman" w:cs="Times New Roman"/>
              </w:rPr>
              <w:t>典型案例、评价工具、数据报告、研修案例</w:t>
            </w:r>
          </w:p>
        </w:tc>
      </w:tr>
    </w:tbl>
    <w:p w14:paraId="4BB33050"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（五）多源证据下的综合成效</w:t>
      </w:r>
    </w:p>
    <w:p w14:paraId="34514F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成效的判断综合了多个层面的证据。我们更关注不同层面的证据是否能够形成相互解释、相互限制的整体图景。学生前后测回答能力发展的总体方向，课堂与案例证据解释学习方式如何发生变化；教师问卷呈现教师自评的稳定与变化，五维评课、</w:t>
      </w:r>
      <w:r>
        <w:rPr>
          <w:rFonts w:ascii="Times New Roman" w:eastAsia="宋体" w:hAnsi="Times New Roman" w:cs="Times New Roman"/>
          <w:sz w:val="24"/>
        </w:rPr>
        <w:t>AI</w:t>
      </w:r>
      <w:r>
        <w:rPr>
          <w:rFonts w:ascii="Times New Roman" w:eastAsia="宋体" w:hAnsi="Times New Roman" w:cs="Times New Roman"/>
          <w:sz w:val="24"/>
        </w:rPr>
        <w:t>课堂行为和开放性回答进一步说明教学支持和专业判断怎样变化；学校层面的研修机制、两域实践与资源沉淀，则说明这些变化能否从个体经验转化为可持续的组织实践。</w:t>
      </w:r>
    </w:p>
    <w:p w14:paraId="2E618E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学生层面</w:t>
      </w:r>
    </w:p>
    <w:p w14:paraId="6FB1EAC7"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学生层面的证据总体呈现一致的积极方向。</w:t>
      </w:r>
      <w:r>
        <w:rPr>
          <w:rFonts w:ascii="Times New Roman" w:eastAsia="宋体" w:hAnsi="Times New Roman" w:cs="Times New Roman"/>
          <w:sz w:val="24"/>
        </w:rPr>
        <w:t>1346</w:t>
      </w:r>
      <w:r>
        <w:rPr>
          <w:rFonts w:ascii="Times New Roman" w:eastAsia="宋体" w:hAnsi="Times New Roman" w:cs="Times New Roman"/>
          <w:sz w:val="24"/>
        </w:rPr>
        <w:t>对配对数据表明，高阶思维总体出现小幅但统计显著的提升，高阶社会情感总体改善更为明显，七个原测量维度均呈正向变化。与此同时，课堂行为和案例材料显示，学生在真实任务中越来越多地经历讨论、问题分析、观点表达、证据使用、反馈修订和迁移应用。问卷与课堂证据相互补充，二者相互参照，可以较为审慎地判断学生发展。</w:t>
      </w:r>
    </w:p>
    <w:p w14:paraId="1788CD3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2.</w:t>
      </w:r>
      <w:r>
        <w:rPr>
          <w:rFonts w:ascii="Times New Roman" w:eastAsia="黑体" w:hAnsi="Times New Roman" w:cs="Times New Roman"/>
          <w:b/>
          <w:sz w:val="24"/>
        </w:rPr>
        <w:t>教师层面</w:t>
      </w:r>
    </w:p>
    <w:p w14:paraId="76360A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w:t>
      </w:r>
      <w:r>
        <w:rPr>
          <w:rFonts w:ascii="Times New Roman" w:eastAsia="宋体" w:hAnsi="Times New Roman" w:cs="Times New Roman"/>
          <w:sz w:val="24"/>
        </w:rPr>
        <w:t>AI</w:t>
      </w:r>
      <w:r>
        <w:rPr>
          <w:rFonts w:ascii="Times New Roman" w:eastAsia="宋体" w:hAnsi="Times New Roman" w:cs="Times New Roman"/>
          <w:sz w:val="24"/>
        </w:rPr>
        <w:t>课堂数据表明课堂组织逐步形成教师支持与学生参与并存的结构，开放性回答中也出现了更具体的任务设计、问题链、形成性反馈和学习证据语言。</w:t>
      </w:r>
      <w:r>
        <w:rPr>
          <w:rFonts w:ascii="Times New Roman" w:eastAsia="宋体" w:hAnsi="Times New Roman" w:cs="Times New Roman"/>
          <w:b/>
          <w:sz w:val="24"/>
        </w:rPr>
        <w:t>综合来看，教师专业实践正在由理念认同走向具体设计，由经验推进逐步走向循证调节。</w:t>
      </w:r>
    </w:p>
    <w:p w14:paraId="1238083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学校层面</w:t>
      </w:r>
    </w:p>
    <w:p w14:paraId="0A9F36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学校层面的成效主要体现在研究由课题组行为向学校共同实践转化。高阶能力培育逐步成为跨学科共同议题，学科课堂和科创教育形成两个相互补充的实践域，教师五维评课、</w:t>
      </w:r>
      <w:r>
        <w:rPr>
          <w:rFonts w:ascii="Times New Roman" w:eastAsia="宋体" w:hAnsi="Times New Roman" w:cs="Times New Roman"/>
          <w:sz w:val="24"/>
        </w:rPr>
        <w:t>AI</w:t>
      </w:r>
      <w:r>
        <w:rPr>
          <w:rFonts w:ascii="Times New Roman" w:eastAsia="宋体" w:hAnsi="Times New Roman" w:cs="Times New Roman"/>
          <w:sz w:val="24"/>
        </w:rPr>
        <w:t>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18F7489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多源证据的相互印证</w:t>
      </w:r>
    </w:p>
    <w:p w14:paraId="61A898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建立在多源证据之间的交叉印证之上。学生能力变化为结果层面提供支持，课堂和案例材料解释变化可能如何发生，教师与学校层面的变化则说明模型是否具备持续运行的专业与组织条件。</w:t>
      </w:r>
    </w:p>
    <w:p w14:paraId="1BF529A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照研究设计提出的四个问题，本研究的回答可以概括如下。关于学生和教师的起点，前测显示学生在知识关联、合作倾听和任务承担方面基础较好，在问题拆解、多方案生成、策略反思和反馈后修订方面较为薄弱，教师价值认同较高而教学自我效能相对较低。关于模型要素，研究形成了以七维能力为目标、以五环学习和四步调节为运行主线、以五见为连接机制、以学科课堂和科创教育为实践场域的总模型。关于实践转化，模型在两个场域中形成了五种典型样态，并通过保留调整前、调整依据和调整后的记录完成了多轮迭代。关于变化，学生问卷、</w:t>
      </w:r>
      <w:r>
        <w:rPr>
          <w:rFonts w:ascii="Times New Roman" w:eastAsia="宋体" w:hAnsi="Times New Roman" w:cs="Times New Roman"/>
          <w:kern w:val="0"/>
          <w:sz w:val="24"/>
        </w:rPr>
        <w:lastRenderedPageBreak/>
        <w:t>课堂评价、</w:t>
      </w:r>
      <w:r>
        <w:rPr>
          <w:rFonts w:ascii="Times New Roman" w:eastAsia="宋体" w:hAnsi="Times New Roman" w:cs="Times New Roman"/>
          <w:kern w:val="0"/>
          <w:sz w:val="24"/>
        </w:rPr>
        <w:t>AI</w:t>
      </w:r>
      <w:r>
        <w:rPr>
          <w:rFonts w:ascii="Times New Roman" w:eastAsia="宋体" w:hAnsi="Times New Roman" w:cs="Times New Roman"/>
          <w:kern w:val="0"/>
          <w:sz w:val="24"/>
        </w:rPr>
        <w:t>行为数据和教师开放性回答在方向上总体一致，教师问卷的量化变化未达统计显著，提示教师专业变化需要更长的周期。量化与质性证据先分别分析、再合并比较，一致之处增强了判断的可信度，不一致之处则作为需要进一步解释的发现（</w:t>
      </w:r>
      <w:r>
        <w:rPr>
          <w:rFonts w:ascii="Times New Roman" w:eastAsia="宋体" w:hAnsi="Times New Roman" w:cs="Times New Roman"/>
          <w:kern w:val="0"/>
          <w:sz w:val="24"/>
        </w:rPr>
        <w:t>Creswell &amp; Creswell, 2022</w:t>
      </w:r>
      <w:r>
        <w:rPr>
          <w:rFonts w:ascii="Times New Roman" w:eastAsia="宋体" w:hAnsi="Times New Roman" w:cs="Times New Roman"/>
          <w:kern w:val="0"/>
          <w:sz w:val="24"/>
        </w:rPr>
        <w:t>）。</w:t>
      </w:r>
    </w:p>
    <w:p w14:paraId="274C47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同时，本研究也保持必要的边界意识。首先，研究并非严格意义上的随机对照实验，不能把所有前后变化简单归因于单一模型干预；其次，教师前后测的部分指标并未达到统计显著，课堂</w:t>
      </w:r>
      <w:r>
        <w:rPr>
          <w:rFonts w:ascii="Times New Roman" w:eastAsia="宋体" w:hAnsi="Times New Roman" w:cs="Times New Roman"/>
          <w:sz w:val="24"/>
        </w:rPr>
        <w:t>AI</w:t>
      </w:r>
      <w:r>
        <w:rPr>
          <w:rFonts w:ascii="Times New Roman" w:eastAsia="宋体" w:hAnsi="Times New Roman" w:cs="Times New Roman"/>
          <w:sz w:val="24"/>
        </w:rPr>
        <w:t>行为数据也受识别口径和学科差异影响；再次，高阶思维总体效应量较小，评价、创造、实践探究和成果表达仍是后续需要持续加强的方向。多源证据共同支持模型在学校真实情境中的可实施性、适切性和积极发展价值。</w:t>
      </w:r>
    </w:p>
    <w:p w14:paraId="34577D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主持人的角度回看三年研究，真正具有持续价值的是，学校逐步建立了一套共同的专业判断方式，先明确希望学生发展什么，再看学生在真实任务中怎样学习；用学习证据判断教师支持是否有效，再依据证据决定下一步怎样改。当学校习惯从学生在哪里、学习怎样发生、教师支持产生了什么影响三个方面观察课堂，高阶能力培育才真正从课题研究走向学校育人的日常。</w:t>
      </w:r>
    </w:p>
    <w:p w14:paraId="1B860493" w14:textId="77777777" w:rsidR="000B1CCE" w:rsidRDefault="00000000">
      <w:pPr>
        <w:keepNext/>
        <w:adjustRightInd w:val="0"/>
        <w:snapToGrid w:val="0"/>
        <w:spacing w:before="360" w:after="240" w:line="360" w:lineRule="auto"/>
        <w:jc w:val="left"/>
        <w:rPr>
          <w:rFonts w:ascii="Times New Roman" w:eastAsia="黑体" w:hAnsi="Times New Roman"/>
          <w:b/>
          <w:color w:val="000000"/>
          <w:kern w:val="0"/>
          <w:sz w:val="30"/>
          <w:szCs w:val="30"/>
        </w:rPr>
      </w:pPr>
      <w:r>
        <w:rPr>
          <w:rFonts w:ascii="Times New Roman" w:eastAsia="黑体" w:hAnsi="Times New Roman" w:cs="Times New Roman"/>
          <w:b/>
          <w:color w:val="000000"/>
          <w:kern w:val="0"/>
          <w:sz w:val="30"/>
        </w:rPr>
        <w:t>参考文献</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黄忠敬</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王倩</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陈唤春</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高星原</w:t>
      </w:r>
      <w:r>
        <w:rPr>
          <w:rFonts w:ascii="Times New Roman" w:eastAsia="宋体" w:hAnsi="Times New Roman" w:cs="Times New Roman"/>
          <w:color w:val="000000"/>
          <w:kern w:val="0"/>
        </w:rPr>
        <w:t xml:space="preserve">. (2021). </w:t>
      </w:r>
      <w:r>
        <w:rPr>
          <w:rFonts w:ascii="Times New Roman" w:eastAsia="宋体" w:hAnsi="Times New Roman" w:cs="Times New Roman"/>
          <w:color w:val="000000"/>
          <w:kern w:val="0"/>
        </w:rPr>
        <w:t>交往能力：中国青少年社会与情感能力测评分报告之五</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华东师范大学学报（教育科学版）</w:t>
      </w:r>
      <w:r>
        <w:rPr>
          <w:rFonts w:ascii="Times New Roman" w:eastAsia="宋体" w:hAnsi="Times New Roman" w:cs="Times New Roman"/>
          <w:color w:val="000000"/>
          <w:kern w:val="0"/>
        </w:rPr>
        <w:t>, 39(9), 93–108. https://doi.org/10.16382/j.cnki.1000-5560.2021.09.006</w:t>
      </w:r>
    </w:p>
    <w:p w14:paraId="2B18F6E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w:t>
      </w:r>
      <w:r>
        <w:rPr>
          <w:rFonts w:ascii="Times New Roman" w:eastAsia="宋体" w:hAnsi="Times New Roman" w:cs="Times New Roman"/>
          <w:color w:val="000000"/>
          <w:kern w:val="0"/>
        </w:rPr>
        <w:t xml:space="preserve">. (2022). </w:t>
      </w:r>
      <w:r>
        <w:rPr>
          <w:rFonts w:ascii="Times New Roman" w:eastAsia="宋体" w:hAnsi="Times New Roman" w:cs="Times New Roman"/>
          <w:color w:val="000000"/>
          <w:kern w:val="0"/>
        </w:rPr>
        <w:t>义务教育课程方案（</w:t>
      </w:r>
      <w:r>
        <w:rPr>
          <w:rFonts w:ascii="Times New Roman" w:eastAsia="宋体" w:hAnsi="Times New Roman" w:cs="Times New Roman"/>
          <w:color w:val="000000"/>
          <w:kern w:val="0"/>
        </w:rPr>
        <w:t>2022</w:t>
      </w:r>
      <w:r>
        <w:rPr>
          <w:rFonts w:ascii="Times New Roman" w:eastAsia="宋体" w:hAnsi="Times New Roman" w:cs="Times New Roman"/>
          <w:color w:val="000000"/>
          <w:kern w:val="0"/>
        </w:rPr>
        <w:t>年版）</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北京师范大学出版社</w:t>
      </w:r>
      <w:r>
        <w:rPr>
          <w:rFonts w:ascii="Times New Roman" w:eastAsia="宋体" w:hAnsi="Times New Roman" w:cs="Times New Roman"/>
          <w:color w:val="000000"/>
          <w:kern w:val="0"/>
        </w:rPr>
        <w:t>.</w:t>
      </w:r>
    </w:p>
    <w:p w14:paraId="77C5F06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教育部办公厅</w:t>
      </w:r>
      <w:r>
        <w:rPr>
          <w:rFonts w:ascii="Times New Roman" w:eastAsia="宋体" w:hAnsi="Times New Roman" w:cs="Times New Roman"/>
          <w:color w:val="000000"/>
          <w:kern w:val="0"/>
        </w:rPr>
        <w:t xml:space="preserve">. (2023). </w:t>
      </w:r>
      <w:r>
        <w:rPr>
          <w:rFonts w:ascii="Times New Roman" w:eastAsia="宋体" w:hAnsi="Times New Roman" w:cs="Times New Roman"/>
          <w:color w:val="000000"/>
          <w:kern w:val="0"/>
        </w:rPr>
        <w:t>基础教育课程教学改革深化行动方案（教材厅函〔</w:t>
      </w:r>
      <w:r>
        <w:rPr>
          <w:rFonts w:ascii="Times New Roman" w:eastAsia="宋体" w:hAnsi="Times New Roman" w:cs="Times New Roman"/>
          <w:color w:val="000000"/>
          <w:kern w:val="0"/>
        </w:rPr>
        <w:t>2023</w:t>
      </w:r>
      <w:r>
        <w:rPr>
          <w:rFonts w:ascii="Times New Roman" w:eastAsia="宋体" w:hAnsi="Times New Roman" w:cs="Times New Roman"/>
          <w:color w:val="000000"/>
          <w:kern w:val="0"/>
        </w:rPr>
        <w:t>〕</w:t>
      </w:r>
      <w:r>
        <w:rPr>
          <w:rFonts w:ascii="Times New Roman" w:eastAsia="宋体" w:hAnsi="Times New Roman" w:cs="Times New Roman"/>
          <w:color w:val="000000"/>
          <w:kern w:val="0"/>
        </w:rPr>
        <w:t>3</w:t>
      </w:r>
      <w:r>
        <w:rPr>
          <w:rFonts w:ascii="Times New Roman" w:eastAsia="宋体" w:hAnsi="Times New Roman" w:cs="Times New Roman"/>
          <w:color w:val="000000"/>
          <w:kern w:val="0"/>
        </w:rPr>
        <w:t>号）</w:t>
      </w:r>
      <w:r>
        <w:rPr>
          <w:rFonts w:ascii="Times New Roman" w:eastAsia="宋体" w:hAnsi="Times New Roman" w:cs="Times New Roman"/>
          <w:color w:val="000000"/>
          <w:kern w:val="0"/>
        </w:rPr>
        <w:t>. https://www.gov.cn/zhengce/zhengceku/202306/content_6884785.htm</w:t>
      </w:r>
    </w:p>
    <w:p w14:paraId="7FA3DD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教育部基础教育教学指导委员会</w:t>
      </w:r>
      <w:r>
        <w:rPr>
          <w:rFonts w:ascii="Times New Roman" w:eastAsia="宋体" w:hAnsi="Times New Roman" w:cs="Times New Roman"/>
          <w:color w:val="000000"/>
          <w:kern w:val="0"/>
        </w:rPr>
        <w:t xml:space="preserve">. (2025). </w:t>
      </w:r>
      <w:r>
        <w:rPr>
          <w:rFonts w:ascii="Times New Roman" w:eastAsia="宋体" w:hAnsi="Times New Roman" w:cs="Times New Roman"/>
          <w:color w:val="000000"/>
          <w:kern w:val="0"/>
        </w:rPr>
        <w:t>中小学生成式人工智能使用指南（</w:t>
      </w:r>
      <w:r>
        <w:rPr>
          <w:rFonts w:ascii="Times New Roman" w:eastAsia="宋体" w:hAnsi="Times New Roman" w:cs="Times New Roman"/>
          <w:color w:val="000000"/>
          <w:kern w:val="0"/>
        </w:rPr>
        <w:t>2025</w:t>
      </w:r>
      <w:r>
        <w:rPr>
          <w:rFonts w:ascii="Times New Roman" w:eastAsia="宋体" w:hAnsi="Times New Roman" w:cs="Times New Roman"/>
          <w:color w:val="000000"/>
          <w:kern w:val="0"/>
        </w:rPr>
        <w:t>年版）</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转引自中国新闻网</w:t>
      </w:r>
      <w:r>
        <w:rPr>
          <w:rFonts w:ascii="Times New Roman" w:eastAsia="宋体" w:hAnsi="Times New Roman" w:cs="Times New Roman"/>
          <w:color w:val="000000"/>
          <w:kern w:val="0"/>
        </w:rPr>
        <w:t>2025</w:t>
      </w:r>
      <w:r>
        <w:rPr>
          <w:rFonts w:ascii="Times New Roman" w:eastAsia="宋体" w:hAnsi="Times New Roman" w:cs="Times New Roman"/>
          <w:color w:val="000000"/>
          <w:kern w:val="0"/>
        </w:rPr>
        <w:t>年</w:t>
      </w:r>
      <w:r>
        <w:rPr>
          <w:rFonts w:ascii="Times New Roman" w:eastAsia="宋体" w:hAnsi="Times New Roman" w:cs="Times New Roman"/>
          <w:color w:val="000000"/>
          <w:kern w:val="0"/>
        </w:rPr>
        <w:t>5</w:t>
      </w:r>
      <w:r>
        <w:rPr>
          <w:rFonts w:ascii="Times New Roman" w:eastAsia="宋体" w:hAnsi="Times New Roman" w:cs="Times New Roman"/>
          <w:color w:val="000000"/>
          <w:kern w:val="0"/>
        </w:rPr>
        <w:t>月</w:t>
      </w:r>
      <w:r>
        <w:rPr>
          <w:rFonts w:ascii="Times New Roman" w:eastAsia="宋体" w:hAnsi="Times New Roman" w:cs="Times New Roman"/>
          <w:color w:val="000000"/>
          <w:kern w:val="0"/>
        </w:rPr>
        <w:t>12</w:t>
      </w:r>
      <w:r>
        <w:rPr>
          <w:rFonts w:ascii="Times New Roman" w:eastAsia="宋体" w:hAnsi="Times New Roman" w:cs="Times New Roman"/>
          <w:color w:val="000000"/>
          <w:kern w:val="0"/>
        </w:rPr>
        <w:t>日报道</w:t>
      </w:r>
      <w:r>
        <w:rPr>
          <w:rFonts w:ascii="Times New Roman" w:eastAsia="宋体" w:hAnsi="Times New Roman" w:cs="Times New Roman"/>
          <w:color w:val="000000"/>
          <w:kern w:val="0"/>
        </w:rPr>
        <w:t>. https://www.chinanews.com.cn/cj/2025/05-12/10414191.shtml</w:t>
      </w:r>
    </w:p>
    <w:p w14:paraId="4C6ED7C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马淑风</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杨向东</w:t>
      </w:r>
      <w:r>
        <w:rPr>
          <w:rFonts w:ascii="Times New Roman" w:eastAsia="宋体" w:hAnsi="Times New Roman" w:cs="Times New Roman"/>
          <w:color w:val="000000"/>
          <w:kern w:val="0"/>
        </w:rPr>
        <w:t xml:space="preserve">. (2022). </w:t>
      </w:r>
      <w:r>
        <w:rPr>
          <w:rFonts w:ascii="Times New Roman" w:eastAsia="宋体" w:hAnsi="Times New Roman" w:cs="Times New Roman"/>
          <w:color w:val="000000"/>
          <w:kern w:val="0"/>
        </w:rPr>
        <w:t>什么才是高阶思维？</w:t>
      </w:r>
      <w:r>
        <w:rPr>
          <w:rFonts w:ascii="Times New Roman" w:eastAsia="宋体" w:hAnsi="Times New Roman" w:cs="Times New Roman"/>
          <w:color w:val="000000"/>
          <w:kern w:val="0"/>
        </w:rPr>
        <w:t>——</w:t>
      </w:r>
      <w:r>
        <w:rPr>
          <w:rFonts w:ascii="Times New Roman" w:eastAsia="宋体" w:hAnsi="Times New Roman" w:cs="Times New Roman"/>
          <w:color w:val="000000"/>
          <w:kern w:val="0"/>
        </w:rPr>
        <w:t>以</w:t>
      </w:r>
      <w:r>
        <w:rPr>
          <w:rFonts w:ascii="Times New Roman" w:eastAsia="宋体" w:hAnsi="Times New Roman" w:cs="Times New Roman"/>
          <w:color w:val="000000"/>
          <w:kern w:val="0"/>
        </w:rPr>
        <w:t>“</w:t>
      </w:r>
      <w:r>
        <w:rPr>
          <w:rFonts w:ascii="Times New Roman" w:eastAsia="宋体" w:hAnsi="Times New Roman" w:cs="Times New Roman"/>
          <w:color w:val="000000"/>
          <w:kern w:val="0"/>
        </w:rPr>
        <w:t>新旧知识关系建立</w:t>
      </w:r>
      <w:r>
        <w:rPr>
          <w:rFonts w:ascii="Times New Roman" w:eastAsia="宋体" w:hAnsi="Times New Roman" w:cs="Times New Roman"/>
          <w:color w:val="000000"/>
          <w:kern w:val="0"/>
        </w:rPr>
        <w:t>”</w:t>
      </w:r>
      <w:r>
        <w:rPr>
          <w:rFonts w:ascii="Times New Roman" w:eastAsia="宋体" w:hAnsi="Times New Roman" w:cs="Times New Roman"/>
          <w:color w:val="000000"/>
          <w:kern w:val="0"/>
        </w:rPr>
        <w:t>为核心的高阶思维概念框架</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华东师范大学学报（教育科学版）</w:t>
      </w:r>
      <w:r>
        <w:rPr>
          <w:rFonts w:ascii="Times New Roman" w:eastAsia="宋体" w:hAnsi="Times New Roman" w:cs="Times New Roman"/>
          <w:color w:val="000000"/>
          <w:kern w:val="0"/>
        </w:rPr>
        <w:t>, 40(11), 58–68. https://doi.org/10.16382/j.cnki.1000-5560.2022.11.005</w:t>
      </w:r>
    </w:p>
    <w:p w14:paraId="5358B54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w:t>
      </w:r>
      <w:r>
        <w:rPr>
          <w:rFonts w:ascii="Times New Roman" w:eastAsia="宋体" w:hAnsi="Times New Roman" w:cs="Times New Roman"/>
          <w:color w:val="000000"/>
          <w:kern w:val="0"/>
        </w:rPr>
        <w:t xml:space="preserve">. (2019a). </w:t>
      </w:r>
      <w:r>
        <w:rPr>
          <w:rFonts w:ascii="Times New Roman" w:eastAsia="宋体" w:hAnsi="Times New Roman" w:cs="Times New Roman"/>
          <w:color w:val="000000"/>
          <w:kern w:val="0"/>
        </w:rPr>
        <w:t>上海市初中学业水平考试实施办法（沪教委规〔</w:t>
      </w:r>
      <w:r>
        <w:rPr>
          <w:rFonts w:ascii="Times New Roman" w:eastAsia="宋体" w:hAnsi="Times New Roman" w:cs="Times New Roman"/>
          <w:color w:val="000000"/>
          <w:kern w:val="0"/>
        </w:rPr>
        <w:t>2019</w:t>
      </w:r>
      <w:r>
        <w:rPr>
          <w:rFonts w:ascii="Times New Roman" w:eastAsia="宋体" w:hAnsi="Times New Roman" w:cs="Times New Roman"/>
          <w:color w:val="000000"/>
          <w:kern w:val="0"/>
        </w:rPr>
        <w:t>〕</w:t>
      </w:r>
      <w:r>
        <w:rPr>
          <w:rFonts w:ascii="Times New Roman" w:eastAsia="宋体" w:hAnsi="Times New Roman" w:cs="Times New Roman"/>
          <w:color w:val="000000"/>
          <w:kern w:val="0"/>
        </w:rPr>
        <w:t>2</w:t>
      </w:r>
      <w:r>
        <w:rPr>
          <w:rFonts w:ascii="Times New Roman" w:eastAsia="宋体" w:hAnsi="Times New Roman" w:cs="Times New Roman"/>
          <w:color w:val="000000"/>
          <w:kern w:val="0"/>
        </w:rPr>
        <w:t>号）</w:t>
      </w:r>
      <w:r>
        <w:rPr>
          <w:rFonts w:ascii="Times New Roman" w:eastAsia="宋体" w:hAnsi="Times New Roman" w:cs="Times New Roman"/>
          <w:color w:val="000000"/>
          <w:kern w:val="0"/>
        </w:rPr>
        <w:t>.</w:t>
      </w:r>
    </w:p>
    <w:p w14:paraId="0D3013C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w:t>
      </w:r>
      <w:r>
        <w:rPr>
          <w:rFonts w:ascii="Times New Roman" w:eastAsia="宋体" w:hAnsi="Times New Roman" w:cs="Times New Roman"/>
          <w:color w:val="000000"/>
          <w:kern w:val="0"/>
        </w:rPr>
        <w:t xml:space="preserve">. (2019b). </w:t>
      </w:r>
      <w:r>
        <w:rPr>
          <w:rFonts w:ascii="Times New Roman" w:eastAsia="宋体" w:hAnsi="Times New Roman" w:cs="Times New Roman"/>
          <w:color w:val="000000"/>
          <w:kern w:val="0"/>
        </w:rPr>
        <w:t>上海市初中学生综合素质评价实施办法（沪教委规〔</w:t>
      </w:r>
      <w:r>
        <w:rPr>
          <w:rFonts w:ascii="Times New Roman" w:eastAsia="宋体" w:hAnsi="Times New Roman" w:cs="Times New Roman"/>
          <w:color w:val="000000"/>
          <w:kern w:val="0"/>
        </w:rPr>
        <w:t>2019</w:t>
      </w:r>
      <w:r>
        <w:rPr>
          <w:rFonts w:ascii="Times New Roman" w:eastAsia="宋体" w:hAnsi="Times New Roman" w:cs="Times New Roman"/>
          <w:color w:val="000000"/>
          <w:kern w:val="0"/>
        </w:rPr>
        <w:t>〕</w:t>
      </w:r>
      <w:r>
        <w:rPr>
          <w:rFonts w:ascii="Times New Roman" w:eastAsia="宋体" w:hAnsi="Times New Roman" w:cs="Times New Roman"/>
          <w:color w:val="000000"/>
          <w:kern w:val="0"/>
        </w:rPr>
        <w:t>3</w:t>
      </w:r>
      <w:r>
        <w:rPr>
          <w:rFonts w:ascii="Times New Roman" w:eastAsia="宋体" w:hAnsi="Times New Roman" w:cs="Times New Roman"/>
          <w:color w:val="000000"/>
          <w:kern w:val="0"/>
        </w:rPr>
        <w:t>号）</w:t>
      </w:r>
      <w:r>
        <w:rPr>
          <w:rFonts w:ascii="Times New Roman" w:eastAsia="宋体" w:hAnsi="Times New Roman" w:cs="Times New Roman"/>
          <w:color w:val="000000"/>
          <w:kern w:val="0"/>
        </w:rPr>
        <w:t>.</w:t>
      </w:r>
    </w:p>
    <w:p w14:paraId="08748E9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w:t>
      </w:r>
      <w:r>
        <w:rPr>
          <w:rFonts w:ascii="Times New Roman" w:eastAsia="宋体" w:hAnsi="Times New Roman" w:cs="Times New Roman"/>
          <w:color w:val="000000"/>
          <w:kern w:val="0"/>
        </w:rPr>
        <w:t xml:space="preserve">. (2021). </w:t>
      </w:r>
      <w:r>
        <w:rPr>
          <w:rFonts w:ascii="Times New Roman" w:eastAsia="宋体" w:hAnsi="Times New Roman" w:cs="Times New Roman"/>
          <w:color w:val="000000"/>
          <w:kern w:val="0"/>
        </w:rPr>
        <w:t>上海市普通高中课程实施方案</w:t>
      </w:r>
      <w:r>
        <w:rPr>
          <w:rFonts w:ascii="Times New Roman" w:eastAsia="宋体" w:hAnsi="Times New Roman" w:cs="Times New Roman"/>
          <w:color w:val="000000"/>
          <w:kern w:val="0"/>
        </w:rPr>
        <w:t>.</w:t>
      </w:r>
    </w:p>
    <w:p w14:paraId="7A8F1F0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lastRenderedPageBreak/>
        <w:t>上海市教育委员会</w:t>
      </w:r>
      <w:r>
        <w:rPr>
          <w:rFonts w:ascii="Times New Roman" w:eastAsia="宋体" w:hAnsi="Times New Roman" w:cs="Times New Roman"/>
          <w:color w:val="000000"/>
          <w:kern w:val="0"/>
        </w:rPr>
        <w:t xml:space="preserve">. (2023). </w:t>
      </w:r>
      <w:r>
        <w:rPr>
          <w:rFonts w:ascii="Times New Roman" w:eastAsia="宋体" w:hAnsi="Times New Roman" w:cs="Times New Roman"/>
          <w:color w:val="000000"/>
          <w:kern w:val="0"/>
        </w:rPr>
        <w:t>关于实施项目化学习推动义务教育育人方式改革的指导意见（沪教委基〔</w:t>
      </w:r>
      <w:r>
        <w:rPr>
          <w:rFonts w:ascii="Times New Roman" w:eastAsia="宋体" w:hAnsi="Times New Roman" w:cs="Times New Roman"/>
          <w:color w:val="000000"/>
          <w:kern w:val="0"/>
        </w:rPr>
        <w:t>2023</w:t>
      </w:r>
      <w:r>
        <w:rPr>
          <w:rFonts w:ascii="Times New Roman" w:eastAsia="宋体" w:hAnsi="Times New Roman" w:cs="Times New Roman"/>
          <w:color w:val="000000"/>
          <w:kern w:val="0"/>
        </w:rPr>
        <w:t>〕</w:t>
      </w:r>
      <w:r>
        <w:rPr>
          <w:rFonts w:ascii="Times New Roman" w:eastAsia="宋体" w:hAnsi="Times New Roman" w:cs="Times New Roman"/>
          <w:color w:val="000000"/>
          <w:kern w:val="0"/>
        </w:rPr>
        <w:t>24</w:t>
      </w:r>
      <w:r>
        <w:rPr>
          <w:rFonts w:ascii="Times New Roman" w:eastAsia="宋体" w:hAnsi="Times New Roman" w:cs="Times New Roman"/>
          <w:color w:val="000000"/>
          <w:kern w:val="0"/>
        </w:rPr>
        <w:t>号）</w:t>
      </w:r>
      <w:r>
        <w:rPr>
          <w:rFonts w:ascii="Times New Roman" w:eastAsia="宋体" w:hAnsi="Times New Roman" w:cs="Times New Roman"/>
          <w:color w:val="000000"/>
          <w:kern w:val="0"/>
        </w:rPr>
        <w:t>. https://edu.sh.gov.cn/xxgk2_zdgz_jcjy_01/20230901/d22c1043024d4d0e9d32b85fd3392186.html</w:t>
      </w:r>
    </w:p>
    <w:p w14:paraId="5FA555A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杨振峰</w:t>
      </w:r>
      <w:r>
        <w:rPr>
          <w:rFonts w:ascii="Times New Roman" w:eastAsia="宋体" w:hAnsi="Times New Roman" w:cs="Times New Roman"/>
          <w:color w:val="000000"/>
          <w:kern w:val="0"/>
        </w:rPr>
        <w:t>. (2025, 1</w:t>
      </w:r>
      <w:r>
        <w:rPr>
          <w:rFonts w:ascii="Times New Roman" w:eastAsia="宋体" w:hAnsi="Times New Roman" w:cs="Times New Roman"/>
          <w:color w:val="000000"/>
          <w:kern w:val="0"/>
        </w:rPr>
        <w:t>月</w:t>
      </w:r>
      <w:r>
        <w:rPr>
          <w:rFonts w:ascii="Times New Roman" w:eastAsia="宋体" w:hAnsi="Times New Roman" w:cs="Times New Roman"/>
          <w:color w:val="000000"/>
          <w:kern w:val="0"/>
        </w:rPr>
        <w:t>14</w:t>
      </w:r>
      <w:r>
        <w:rPr>
          <w:rFonts w:ascii="Times New Roman" w:eastAsia="宋体" w:hAnsi="Times New Roman" w:cs="Times New Roman"/>
          <w:color w:val="000000"/>
          <w:kern w:val="0"/>
        </w:rPr>
        <w:t>日</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素养立意的课程建设与教学变革</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中国教育在线</w:t>
      </w:r>
      <w:r>
        <w:rPr>
          <w:rFonts w:ascii="Times New Roman" w:eastAsia="宋体" w:hAnsi="Times New Roman" w:cs="Times New Roman"/>
          <w:color w:val="000000"/>
          <w:kern w:val="0"/>
        </w:rPr>
        <w:t>. https://www.eol.cn/news/xueshu/hui/202501/t20250114_2651182.shtml</w:t>
      </w:r>
    </w:p>
    <w:p w14:paraId="64D313D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袁振国</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黄忠敬</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王纮</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王翔宇</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张静</w:t>
      </w:r>
      <w:r>
        <w:rPr>
          <w:rFonts w:ascii="Times New Roman" w:eastAsia="宋体" w:hAnsi="Times New Roman" w:cs="Times New Roman"/>
          <w:color w:val="000000"/>
          <w:kern w:val="0"/>
        </w:rPr>
        <w:t xml:space="preserve">. (2024). </w:t>
      </w:r>
      <w:r>
        <w:rPr>
          <w:rFonts w:ascii="Times New Roman" w:eastAsia="宋体" w:hAnsi="Times New Roman" w:cs="Times New Roman"/>
          <w:color w:val="000000"/>
          <w:kern w:val="0"/>
        </w:rPr>
        <w:t>中国青少年社会与情感能力发展水平报告</w:t>
      </w:r>
      <w:r>
        <w:rPr>
          <w:rFonts w:ascii="Times New Roman" w:eastAsia="宋体" w:hAnsi="Times New Roman" w:cs="Times New Roman"/>
          <w:color w:val="000000"/>
          <w:kern w:val="0"/>
        </w:rPr>
        <w:t>——</w:t>
      </w:r>
      <w:r>
        <w:rPr>
          <w:rFonts w:ascii="Times New Roman" w:eastAsia="宋体" w:hAnsi="Times New Roman" w:cs="Times New Roman"/>
          <w:color w:val="000000"/>
          <w:kern w:val="0"/>
        </w:rPr>
        <w:t>基于第二轮</w:t>
      </w:r>
      <w:r>
        <w:rPr>
          <w:rFonts w:ascii="Times New Roman" w:eastAsia="宋体" w:hAnsi="Times New Roman" w:cs="Times New Roman"/>
          <w:color w:val="000000"/>
          <w:kern w:val="0"/>
        </w:rPr>
        <w:t>SSES</w:t>
      </w:r>
      <w:r>
        <w:rPr>
          <w:rFonts w:ascii="Times New Roman" w:eastAsia="宋体" w:hAnsi="Times New Roman" w:cs="Times New Roman"/>
          <w:color w:val="000000"/>
          <w:kern w:val="0"/>
        </w:rPr>
        <w:t>测评数据</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华东师范大学学报（教育科学版）</w:t>
      </w:r>
      <w:r>
        <w:rPr>
          <w:rFonts w:ascii="Times New Roman" w:eastAsia="宋体" w:hAnsi="Times New Roman" w:cs="Times New Roman"/>
          <w:color w:val="000000"/>
          <w:kern w:val="0"/>
        </w:rPr>
        <w:t>, 42(5), 1–32. https://doi.org/10.16382/j.cnki.1000-5560.2024.05.001</w:t>
      </w:r>
    </w:p>
    <w:p w14:paraId="10AC55A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中共中央</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国务院</w:t>
      </w:r>
      <w:r>
        <w:rPr>
          <w:rFonts w:ascii="Times New Roman" w:eastAsia="宋体" w:hAnsi="Times New Roman" w:cs="Times New Roman"/>
          <w:color w:val="000000"/>
          <w:kern w:val="0"/>
        </w:rPr>
        <w:t xml:space="preserve">. (2020). </w:t>
      </w:r>
      <w:r>
        <w:rPr>
          <w:rFonts w:ascii="Times New Roman" w:eastAsia="宋体" w:hAnsi="Times New Roman" w:cs="Times New Roman"/>
          <w:color w:val="000000"/>
          <w:kern w:val="0"/>
        </w:rPr>
        <w:t>深化新时代教育评价改革总体方案</w:t>
      </w:r>
      <w:r>
        <w:rPr>
          <w:rFonts w:ascii="Times New Roman" w:eastAsia="宋体" w:hAnsi="Times New Roman" w:cs="Times New Roman"/>
          <w:color w:val="000000"/>
          <w:kern w:val="0"/>
        </w:rPr>
        <w:t>. https://www.gov.cn/zhengce/2020-10/13/content_5551032.htm</w:t>
      </w:r>
    </w:p>
    <w:p w14:paraId="3E5FA76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Abrami, P. C., Bernard, R. M., Borokhovski, E., Waddington, D. I., Wade, C. A., &amp; Persson, T. (2015). Strategies for teaching students to think critically: A meta-analysis. Review of Educational Research, 85(2), 275–314.</w:t>
      </w:r>
    </w:p>
    <w:p w14:paraId="76A55D2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Anderson, L. W., &amp; Krathwohl, D. R. (Eds.). (2001). A taxonomy for learning, teaching, and assessing: A revision of Bloom's taxonomy of educational objectives. Longman.</w:t>
      </w:r>
    </w:p>
    <w:p w14:paraId="40F27E8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L., &amp; Rogers, L. (2015). Teaching the Theory of Knowledge course in IB World Schools. University of Wisconsin-La Crosse.</w:t>
      </w:r>
    </w:p>
    <w:p w14:paraId="31EBC14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P.-J., &amp; Rivard, L. (2017). How to engage in pseudoscience with real data: A criticism of John Hattie's arguments in Visible Learning from the perspective of a statistician. McGill Journal of Education, 52(1), 237–246.</w:t>
      </w:r>
    </w:p>
    <w:p w14:paraId="3C6387C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Biggs, J. (1999). What the student does: Teaching for enhanced learning. Higher Education Research &amp; Development, 18(1), 57–75. https://doi.org/10.1080/0729436990180105</w:t>
      </w:r>
    </w:p>
    <w:p w14:paraId="515CD13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Bouckaert, M. (2023). The assessment of students' creative and critical thinking skills in higher education across OECD countries: A review of policies and related practices (OECD Education Working Papers No. 293). OECD Publishing. https://doi.org/10.1787/35dbd439-en</w:t>
      </w:r>
    </w:p>
    <w:p w14:paraId="70D2B8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Brown, C., &amp; Greany, T. (2018). The evidence-informed school system in England: Where should school leaders be focusing their efforts? Leadership and Policy in Schools, 17(1), 115–137. https://doi.org/10.1080/15700763.2016.1270330</w:t>
      </w:r>
    </w:p>
    <w:p w14:paraId="5EEA628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CASEL. (2020). CASEL's SEL framework: What are the core competence areas and where are they promoted? Collaborative for Academic, Social, and Emotional Learning.</w:t>
      </w:r>
    </w:p>
    <w:p w14:paraId="60D265E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Chen, S., &amp; Cheung, A. C. K. (2025). Effect of generative artificial intelligence on university students learning outcomes: A systematic review and meta-analysis. Educational Research Review, 49, Article 100737. https://doi.org/10.1016/j.edurev.2025.100737</w:t>
      </w:r>
    </w:p>
    <w:p w14:paraId="029C23B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Cohen, L., Manion, L., &amp; Morrison, K. (2011). Research methods in education (7th ed.). Routledge.</w:t>
      </w:r>
    </w:p>
    <w:p w14:paraId="3B13D4D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Cole, D. R., Ullman, J., Gannon, S., &amp; Rooney, P. (2015). Critical thinking skills in the International Baccalaureate's 'Theory of Knowledge' subject: Findings from an Australian study. Australian Journal of Education, 59(3), 247–264.</w:t>
      </w:r>
    </w:p>
    <w:p w14:paraId="02D8108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Cowen, N., Cartwright, N., Virk, B., &amp; Mascarenhas-Keyes, S. (2015). Making the most of the evidence: Evidence-based policy in the classroom (CHESS Working Paper No. 2015-03). </w:t>
      </w:r>
      <w:r>
        <w:rPr>
          <w:rFonts w:ascii="Times New Roman" w:eastAsia="宋体" w:hAnsi="Times New Roman" w:cs="Times New Roman"/>
          <w:color w:val="000000"/>
          <w:kern w:val="0"/>
        </w:rPr>
        <w:lastRenderedPageBreak/>
        <w:t>Durham University.</w:t>
      </w:r>
    </w:p>
    <w:p w14:paraId="35FEB0C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Creswell, J. W., &amp; Creswell, J. D. (2022). Research design: Qualitative, quantitative, and mixed methods </w:t>
      </w:r>
      <w:proofErr w:type="gramStart"/>
      <w:r>
        <w:rPr>
          <w:rFonts w:ascii="Times New Roman" w:eastAsia="宋体" w:hAnsi="Times New Roman" w:cs="Times New Roman"/>
          <w:color w:val="000000"/>
          <w:kern w:val="0"/>
        </w:rPr>
        <w:t>approaches</w:t>
      </w:r>
      <w:proofErr w:type="gramEnd"/>
      <w:r>
        <w:rPr>
          <w:rFonts w:ascii="Times New Roman" w:eastAsia="宋体" w:hAnsi="Times New Roman" w:cs="Times New Roman"/>
          <w:color w:val="000000"/>
          <w:kern w:val="0"/>
        </w:rPr>
        <w:t xml:space="preserve"> (6th ed.). SAGE.</w:t>
      </w:r>
    </w:p>
    <w:p w14:paraId="06D1BDA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De Jong, T., </w:t>
      </w:r>
      <w:proofErr w:type="spellStart"/>
      <w:r>
        <w:rPr>
          <w:rFonts w:ascii="Times New Roman" w:eastAsia="宋体" w:hAnsi="Times New Roman" w:cs="Times New Roman"/>
          <w:color w:val="000000"/>
          <w:kern w:val="0"/>
        </w:rPr>
        <w:t>Lazonder</w:t>
      </w:r>
      <w:proofErr w:type="spellEnd"/>
      <w:r>
        <w:rPr>
          <w:rFonts w:ascii="Times New Roman" w:eastAsia="宋体" w:hAnsi="Times New Roman" w:cs="Times New Roman"/>
          <w:color w:val="000000"/>
          <w:kern w:val="0"/>
        </w:rPr>
        <w:t xml:space="preserve">, A. W., Chinn, C. A., Fischer, F., Gobert, J., </w:t>
      </w:r>
      <w:proofErr w:type="spellStart"/>
      <w:r>
        <w:rPr>
          <w:rFonts w:ascii="Times New Roman" w:eastAsia="宋体" w:hAnsi="Times New Roman" w:cs="Times New Roman"/>
          <w:color w:val="000000"/>
          <w:kern w:val="0"/>
        </w:rPr>
        <w:t>Hmelo</w:t>
      </w:r>
      <w:proofErr w:type="spellEnd"/>
      <w:r>
        <w:rPr>
          <w:rFonts w:ascii="Times New Roman" w:eastAsia="宋体" w:hAnsi="Times New Roman" w:cs="Times New Roman"/>
          <w:color w:val="000000"/>
          <w:kern w:val="0"/>
        </w:rPr>
        <w:t xml:space="preserve">-Silver, C. E., Koedinger, K. R., Krajcik, J. S., Kyza, E. A., Linn, M. C., </w:t>
      </w:r>
      <w:proofErr w:type="spellStart"/>
      <w:r>
        <w:rPr>
          <w:rFonts w:ascii="Times New Roman" w:eastAsia="宋体" w:hAnsi="Times New Roman" w:cs="Times New Roman"/>
          <w:color w:val="000000"/>
          <w:kern w:val="0"/>
        </w:rPr>
        <w:t>Pedaste</w:t>
      </w:r>
      <w:proofErr w:type="spellEnd"/>
      <w:r>
        <w:rPr>
          <w:rFonts w:ascii="Times New Roman" w:eastAsia="宋体" w:hAnsi="Times New Roman" w:cs="Times New Roman"/>
          <w:color w:val="000000"/>
          <w:kern w:val="0"/>
        </w:rPr>
        <w:t>, M., Scheiter, K., &amp; Zacharia, Z. C. (2023). Let's talk evidence – The case for combining inquiry-based and direct instruction. Educational Research Review, 39, Article 100536. https://doi.org/10.1016/j.edurev.2023.100536</w:t>
      </w:r>
    </w:p>
    <w:p w14:paraId="3765B95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 Y., &amp; Yuan, Y. (2026). Epistemic dependence in AI-mediated learning. AI &amp; Society. https://doi.org/10.1007/s00146-026-03294-1</w:t>
      </w:r>
    </w:p>
    <w:p w14:paraId="5482FF6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Durlak, J. A., Weissberg, R. P., Dymnicki, A. B., Taylor, R. D., &amp; Schellinger, K. B. (2011). The impact of enhancing students' social and emotional learning: A meta-analysis of school-based universal interventions. Child Development, 82(1), 405–432.</w:t>
      </w:r>
    </w:p>
    <w:p w14:paraId="408C643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Eacott</w:t>
      </w:r>
      <w:proofErr w:type="spellEnd"/>
      <w:r>
        <w:rPr>
          <w:rFonts w:ascii="Times New Roman" w:eastAsia="宋体" w:hAnsi="Times New Roman" w:cs="Times New Roman"/>
          <w:color w:val="000000"/>
          <w:kern w:val="0"/>
        </w:rPr>
        <w:t>, S. (2019). Ranting, raving and complaining: Reflections on working against orthodoxy. International Journal of Leadership in Education, 22(6), 774–782.</w:t>
      </w:r>
    </w:p>
    <w:p w14:paraId="64EC5C8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Edovald, T., &amp; Nevill, C. (2021). Working out what works: The case of the Education Endowment Foundation in England. ECNU Review of Education, 4(1), 46–64.</w:t>
      </w:r>
    </w:p>
    <w:p w14:paraId="5AA59D4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Fredens, K. (2015). </w:t>
      </w:r>
      <w:proofErr w:type="spellStart"/>
      <w:r>
        <w:rPr>
          <w:rFonts w:ascii="Times New Roman" w:eastAsia="宋体" w:hAnsi="Times New Roman" w:cs="Times New Roman"/>
          <w:color w:val="000000"/>
          <w:kern w:val="0"/>
        </w:rPr>
        <w:t>Synlig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anatomi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Anmeldelse</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bogen</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John Hattie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Gregory Yates]. Paideia, (9), 70–75.</w:t>
      </w:r>
    </w:p>
    <w:p w14:paraId="1E8E78A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Golovchin</w:t>
      </w:r>
      <w:proofErr w:type="spellEnd"/>
      <w:r>
        <w:rPr>
          <w:rFonts w:ascii="Times New Roman" w:eastAsia="宋体" w:hAnsi="Times New Roman" w:cs="Times New Roman"/>
          <w:color w:val="000000"/>
          <w:kern w:val="0"/>
        </w:rPr>
        <w:t>, M. A. (2019). What kind of teacher does the 'school of the future' need? Possibility of using John Hattie's approach in Russian education. Economic and Social Changes: Facts, Trends, Forecast, 12(5), 229–242.</w:t>
      </w:r>
    </w:p>
    <w:p w14:paraId="5AB7F87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Güngör, F., </w:t>
      </w:r>
      <w:proofErr w:type="spellStart"/>
      <w:r>
        <w:rPr>
          <w:rFonts w:ascii="Times New Roman" w:eastAsia="宋体" w:hAnsi="Times New Roman" w:cs="Times New Roman"/>
          <w:color w:val="000000"/>
          <w:kern w:val="0"/>
        </w:rPr>
        <w:t>Altunbaşak</w:t>
      </w:r>
      <w:proofErr w:type="spellEnd"/>
      <w:r>
        <w:rPr>
          <w:rFonts w:ascii="Times New Roman" w:eastAsia="宋体" w:hAnsi="Times New Roman" w:cs="Times New Roman"/>
          <w:color w:val="000000"/>
          <w:kern w:val="0"/>
        </w:rPr>
        <w:t>, İ., Aydın, A. T., Kaya, M., &amp; Erdem, C. (2026). A second-order meta-analysis on the effects of cooperative learning on students' academic achievement, higher-order thinking, and affective behaviors. Current Psychology, 45, 552. https://doi.org/10.1007/s12144-025-08943-0</w:t>
      </w:r>
    </w:p>
    <w:p w14:paraId="5EC4880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Guo, H., Zhou, Z., &amp; Ma, F. (2025). Effect of training programs on the creativity of university students: A multi-level meta-analysis. Thinking Skills and Creativity, 56, 101779. https://doi.org/10.1016/j.tsc.2025.101779</w:t>
      </w:r>
    </w:p>
    <w:p w14:paraId="34A2A23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(2005). What is the nature of evidence that makes a difference to learning? In Using data to support learning: Proceedings of the ACER Research Conference 2005 (pp. 11–21). Australian Council for Educational Research.</w:t>
      </w:r>
    </w:p>
    <w:p w14:paraId="5E35407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(2015). The applicability of Visible Learning to higher education. Scholarship of Teaching and Learning in Psychology, 1(1), 79–91.</w:t>
      </w:r>
    </w:p>
    <w:p w14:paraId="3BF6E91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&amp; Timperley, H. (2007). The power of feedback. Review of Educational Research, 77(1), 81–112.</w:t>
      </w:r>
    </w:p>
    <w:p w14:paraId="0A58619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Higgins, S. (2016). Meta-synthesis and comparative meta-analysis of education research findings: Some risks and benefits. Review of Education, 4(1), 31–53.</w:t>
      </w:r>
    </w:p>
    <w:p w14:paraId="7BA374C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Hughes, C. (2014). Theory of Knowledge </w:t>
      </w:r>
      <w:proofErr w:type="gramStart"/>
      <w:r>
        <w:rPr>
          <w:rFonts w:ascii="Times New Roman" w:eastAsia="宋体" w:hAnsi="Times New Roman" w:cs="Times New Roman"/>
          <w:color w:val="000000"/>
          <w:kern w:val="0"/>
        </w:rPr>
        <w:t>aims,</w:t>
      </w:r>
      <w:proofErr w:type="gramEnd"/>
      <w:r>
        <w:rPr>
          <w:rFonts w:ascii="Times New Roman" w:eastAsia="宋体" w:hAnsi="Times New Roman" w:cs="Times New Roman"/>
          <w:color w:val="000000"/>
          <w:kern w:val="0"/>
        </w:rPr>
        <w:t xml:space="preserve"> objectives and assessment criteria: An analysis of critical thinking descriptors. Journal of Research in International Education, 13(1), 30–45. https://doi.org/10.1177/1475240914528084</w:t>
      </w:r>
    </w:p>
    <w:p w14:paraId="48C2E6B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Jornitz, S., &amp; Klinge, D. (2022). "</w:t>
      </w:r>
      <w:proofErr w:type="spellStart"/>
      <w:r>
        <w:rPr>
          <w:rFonts w:ascii="Times New Roman" w:eastAsia="宋体" w:hAnsi="Times New Roman" w:cs="Times New Roman"/>
          <w:color w:val="000000"/>
          <w:kern w:val="0"/>
        </w:rPr>
        <w:t>Bildung</w:t>
      </w:r>
      <w:proofErr w:type="spellEnd"/>
      <w:r>
        <w:rPr>
          <w:rFonts w:ascii="Times New Roman" w:eastAsia="宋体" w:hAnsi="Times New Roman" w:cs="Times New Roman"/>
          <w:color w:val="000000"/>
          <w:kern w:val="0"/>
        </w:rPr>
        <w:t xml:space="preserve">" as a forgotten aspect of algorithmic technologies. In M. Parreira do Amaral &amp; C. Thompson (Eds.), Geopolitical transformations in higher </w:t>
      </w:r>
      <w:r>
        <w:rPr>
          <w:rFonts w:ascii="Times New Roman" w:eastAsia="宋体" w:hAnsi="Times New Roman" w:cs="Times New Roman"/>
          <w:color w:val="000000"/>
          <w:kern w:val="0"/>
        </w:rPr>
        <w:lastRenderedPageBreak/>
        <w:t>education (pp. 231–249). Springer.</w:t>
      </w:r>
    </w:p>
    <w:p w14:paraId="781A6CD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Kelly, P., Beck, A., &amp; Hofbauer, S. (2025). Comparing school leaders' experiences of research use in England, Scotland and Germany. Review of Education, 13(1), e70058. https://doi.org/10.1002/rev3.70058</w:t>
      </w:r>
    </w:p>
    <w:p w14:paraId="28CF982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Knudsen, H. (2017). John Hattie: I'm a statistician, I'm not a theoretician. Nordic Journal of Studies in Educational Policy, 3(3), 253–261.</w:t>
      </w:r>
    </w:p>
    <w:p w14:paraId="3F0CF4A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Kuhn, D., Cheney, R., &amp; Weinstock, M. (2000). The development of epistemological understanding. Cognitive Development, 15(3), 309–328.</w:t>
      </w:r>
    </w:p>
    <w:p w14:paraId="6F124E0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Lei, H., Ding, Y., &amp; Chiu, M. M. (2026). The effect of graphic organizers on cultivating higher-order thinking: Evidence from a meta-analysis. Educational Research Review, 52, Article 100822. https://doi.org/10.1016/j.edurev.2026.100822</w:t>
      </w:r>
    </w:p>
    <w:p w14:paraId="2C487EE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Li, C., Cui, H., &amp; Hagedorn, L. S. (2026). The cognitive impact of ChatGPT in higher education: A systematic review of critical and creative thinking outcomes. Computers and Education: Artificial Intelligence, 10, Article 100571. https://doi.org/10.1016/j.caeai.2026.100571</w:t>
      </w:r>
    </w:p>
    <w:p w14:paraId="7439DA8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Liu, J., Mbowe, A. E., Tahri, D., &amp; </w:t>
      </w:r>
      <w:proofErr w:type="spellStart"/>
      <w:r>
        <w:rPr>
          <w:rFonts w:ascii="Times New Roman" w:eastAsia="宋体" w:hAnsi="Times New Roman" w:cs="Times New Roman"/>
          <w:color w:val="000000"/>
          <w:kern w:val="0"/>
        </w:rPr>
        <w:t>Aziku</w:t>
      </w:r>
      <w:proofErr w:type="spellEnd"/>
      <w:r>
        <w:rPr>
          <w:rFonts w:ascii="Times New Roman" w:eastAsia="宋体" w:hAnsi="Times New Roman" w:cs="Times New Roman"/>
          <w:color w:val="000000"/>
          <w:kern w:val="0"/>
        </w:rPr>
        <w:t>, M. (2026). Meta-analysis on the influence of AI agents on K-12 student cognitive performance. Computers in Human Behavior Reports, 21, Article 100973. https://doi.org/10.1016/j.chbr.2026.100973</w:t>
      </w:r>
    </w:p>
    <w:p w14:paraId="6A807E9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McDonnell, L. M., &amp; Weatherford, M. S. (2013). Evidence use and the Common Core State Standards movement: From problem definition to policy adoption. American Journal of Education, 120(1), 1–25. https://doi.org/10.1086/673163</w:t>
      </w:r>
    </w:p>
    <w:p w14:paraId="5E85977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Nielsen, K., &amp; Klitmøller, J. (2021). Blind spots in visible learning: A critique of John Hattie as an educational theorist. Nordic Psychology.</w:t>
      </w:r>
    </w:p>
    <w:p w14:paraId="4610689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Nordahl, T. (2015). Visible Learning </w:t>
      </w:r>
      <w:proofErr w:type="spellStart"/>
      <w:r>
        <w:rPr>
          <w:rFonts w:ascii="Times New Roman" w:eastAsia="宋体" w:hAnsi="Times New Roman" w:cs="Times New Roman"/>
          <w:color w:val="000000"/>
          <w:kern w:val="0"/>
        </w:rPr>
        <w:t>som</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grunnlag</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evidens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forbedringsarbeid</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utdanningssystemet</w:t>
      </w:r>
      <w:proofErr w:type="spellEnd"/>
      <w:r>
        <w:rPr>
          <w:rFonts w:ascii="Times New Roman" w:eastAsia="宋体" w:hAnsi="Times New Roman" w:cs="Times New Roman"/>
          <w:color w:val="000000"/>
          <w:kern w:val="0"/>
        </w:rPr>
        <w:t>. Paideia, 9, 61–69.</w:t>
      </w:r>
    </w:p>
    <w:p w14:paraId="7E88C0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OECD. (2021). Beyond academic learning: First results from the Survey of Social and Emotional Skills. OECD Publishing.</w:t>
      </w:r>
    </w:p>
    <w:p w14:paraId="5F3B59E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Park, J. H., Myszkowski, N., &amp; Niu, W. (2026). Exploring the intersection of creativity and critical thinking among students: A meta-analysis. Thinking Skills and Creativity, 60, 102119. https://doi.org/10.1016/j.tsc.2025.102119</w:t>
      </w:r>
    </w:p>
    <w:p w14:paraId="02F3F35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Qvortrup, L. (2015). </w:t>
      </w:r>
      <w:proofErr w:type="spellStart"/>
      <w:r>
        <w:rPr>
          <w:rFonts w:ascii="Times New Roman" w:eastAsia="宋体" w:hAnsi="Times New Roman" w:cs="Times New Roman"/>
          <w:color w:val="000000"/>
          <w:kern w:val="0"/>
        </w:rPr>
        <w:t>Baggrund</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diskussioner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Visible Learning med </w:t>
      </w:r>
      <w:proofErr w:type="spellStart"/>
      <w:r>
        <w:rPr>
          <w:rFonts w:ascii="Times New Roman" w:eastAsia="宋体" w:hAnsi="Times New Roman" w:cs="Times New Roman"/>
          <w:color w:val="000000"/>
          <w:kern w:val="0"/>
        </w:rPr>
        <w:t>særligt</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henblik</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på</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vidensbegrebet</w:t>
      </w:r>
      <w:proofErr w:type="spellEnd"/>
      <w:r>
        <w:rPr>
          <w:rFonts w:ascii="Times New Roman" w:eastAsia="宋体" w:hAnsi="Times New Roman" w:cs="Times New Roman"/>
          <w:color w:val="000000"/>
          <w:kern w:val="0"/>
        </w:rPr>
        <w:t>. Paideia, 9, 22–33.</w:t>
      </w:r>
    </w:p>
    <w:p w14:paraId="63CA377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Rickinson, M., Walsh, L., Gleeson, J., Cutler, B., </w:t>
      </w:r>
      <w:proofErr w:type="spellStart"/>
      <w:r>
        <w:rPr>
          <w:rFonts w:ascii="Times New Roman" w:eastAsia="宋体" w:hAnsi="Times New Roman" w:cs="Times New Roman"/>
          <w:color w:val="000000"/>
          <w:kern w:val="0"/>
        </w:rPr>
        <w:t>Cirkony</w:t>
      </w:r>
      <w:proofErr w:type="spellEnd"/>
      <w:r>
        <w:rPr>
          <w:rFonts w:ascii="Times New Roman" w:eastAsia="宋体" w:hAnsi="Times New Roman" w:cs="Times New Roman"/>
          <w:color w:val="000000"/>
          <w:kern w:val="0"/>
        </w:rPr>
        <w:t xml:space="preserve">, C., &amp; Salisbury, M. (2022). Using research well in educational practice. In N. Révai (Ed.), Who cares about using education research in policy and </w:t>
      </w:r>
      <w:proofErr w:type="gramStart"/>
      <w:r>
        <w:rPr>
          <w:rFonts w:ascii="Times New Roman" w:eastAsia="宋体" w:hAnsi="Times New Roman" w:cs="Times New Roman"/>
          <w:color w:val="000000"/>
          <w:kern w:val="0"/>
        </w:rPr>
        <w:t>practice?:</w:t>
      </w:r>
      <w:proofErr w:type="gramEnd"/>
      <w:r>
        <w:rPr>
          <w:rFonts w:ascii="Times New Roman" w:eastAsia="宋体" w:hAnsi="Times New Roman" w:cs="Times New Roman"/>
          <w:color w:val="000000"/>
          <w:kern w:val="0"/>
        </w:rPr>
        <w:t xml:space="preserve"> Strengthening research engagement (pp. 182–199). OECD Publishing. https://doi.org/10.1787/d7ff793d-en</w:t>
      </w:r>
    </w:p>
    <w:p w14:paraId="5FBE2C7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Runco, M. A., Mammadov, S., Sui, D., Kim, T., &amp; Neher, L. G. (2026). Second-order meta-analysis of the creativity research. Creativity Research Journal. https://doi.org/10.1080/10400419.2026.2644245</w:t>
      </w:r>
    </w:p>
    <w:p w14:paraId="1DBDB5F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Snook, I., O'Neill, J., Clark, J., O'Neill, A. M., &amp; Openshaw, R. (2009). Invisible learnings? A commentary on John Hattie's book: Visible learning: A synthesis of over 800 meta-analyses relating to achievement. New Zealand Journal of Educational Studies, 44(1), 93–106.</w:t>
      </w:r>
    </w:p>
    <w:p w14:paraId="11FA968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Steiner-Khamsi, G., Martens, K., &amp; Ydesen, C. (2024). Governance by numbers 2.0: Policy brokerage as an instrument of global governance in the era of information overload. </w:t>
      </w:r>
      <w:r>
        <w:rPr>
          <w:rFonts w:ascii="Times New Roman" w:eastAsia="宋体" w:hAnsi="Times New Roman" w:cs="Times New Roman"/>
          <w:color w:val="000000"/>
          <w:kern w:val="0"/>
        </w:rPr>
        <w:lastRenderedPageBreak/>
        <w:t>Comparative Education, 60(4), 537–554.</w:t>
      </w:r>
    </w:p>
    <w:p w14:paraId="556E868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Terhart</w:t>
      </w:r>
      <w:proofErr w:type="spellEnd"/>
      <w:r>
        <w:rPr>
          <w:rFonts w:ascii="Times New Roman" w:eastAsia="宋体" w:hAnsi="Times New Roman" w:cs="Times New Roman"/>
          <w:color w:val="000000"/>
          <w:kern w:val="0"/>
        </w:rPr>
        <w:t>, E. (2011). Has John Hattie really found the holy grail of research on teaching? An extended review of Visible Learning. Journal of Curriculum Studies, 43(3), 425–438.</w:t>
      </w:r>
    </w:p>
    <w:p w14:paraId="0C2C953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Ünal, E., Kaya, M., Uzun, A. M., &amp; Erdem, C. (2026). A second-order meta-analysis on the effects of artificial intelligence applications on student outcomes. Journal of Educational Computing Research, 64(5), 1360–1389. https://doi.org/10.1177/07356331261424767</w:t>
      </w:r>
    </w:p>
    <w:p w14:paraId="2564DEC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Wecker, C., Vogel, F., &amp; Hetmanek, A. (2016). </w:t>
      </w:r>
      <w:proofErr w:type="spellStart"/>
      <w:r>
        <w:rPr>
          <w:rFonts w:ascii="Times New Roman" w:eastAsia="宋体" w:hAnsi="Times New Roman" w:cs="Times New Roman"/>
          <w:color w:val="000000"/>
          <w:kern w:val="0"/>
        </w:rPr>
        <w:t>Visionär</w:t>
      </w:r>
      <w:proofErr w:type="spellEnd"/>
      <w:r>
        <w:rPr>
          <w:rFonts w:ascii="Times New Roman" w:eastAsia="宋体" w:hAnsi="Times New Roman" w:cs="Times New Roman"/>
          <w:color w:val="000000"/>
          <w:kern w:val="0"/>
        </w:rPr>
        <w:t xml:space="preserve"> und </w:t>
      </w:r>
      <w:proofErr w:type="spellStart"/>
      <w:r>
        <w:rPr>
          <w:rFonts w:ascii="Times New Roman" w:eastAsia="宋体" w:hAnsi="Times New Roman" w:cs="Times New Roman"/>
          <w:color w:val="000000"/>
          <w:kern w:val="0"/>
        </w:rPr>
        <w:t>imposant</w:t>
      </w:r>
      <w:proofErr w:type="spellEnd"/>
      <w:r>
        <w:rPr>
          <w:rFonts w:ascii="Times New Roman" w:eastAsia="宋体" w:hAnsi="Times New Roman" w:cs="Times New Roman"/>
          <w:color w:val="000000"/>
          <w:kern w:val="0"/>
        </w:rPr>
        <w:t xml:space="preserve"> – </w:t>
      </w:r>
      <w:proofErr w:type="spellStart"/>
      <w:r>
        <w:rPr>
          <w:rFonts w:ascii="Times New Roman" w:eastAsia="宋体" w:hAnsi="Times New Roman" w:cs="Times New Roman"/>
          <w:color w:val="000000"/>
          <w:kern w:val="0"/>
        </w:rPr>
        <w:t>aber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auch</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belastbar</w:t>
      </w:r>
      <w:proofErr w:type="spellEnd"/>
      <w:r>
        <w:rPr>
          <w:rFonts w:ascii="Times New Roman" w:eastAsia="宋体" w:hAnsi="Times New Roman" w:cs="Times New Roman"/>
          <w:color w:val="000000"/>
          <w:kern w:val="0"/>
        </w:rPr>
        <w:t xml:space="preserve">? Eine Kritik der </w:t>
      </w:r>
      <w:proofErr w:type="spellStart"/>
      <w:r>
        <w:rPr>
          <w:rFonts w:ascii="Times New Roman" w:eastAsia="宋体" w:hAnsi="Times New Roman" w:cs="Times New Roman"/>
          <w:color w:val="000000"/>
          <w:kern w:val="0"/>
        </w:rPr>
        <w:t>Methodik</w:t>
      </w:r>
      <w:proofErr w:type="spellEnd"/>
      <w:r>
        <w:rPr>
          <w:rFonts w:ascii="Times New Roman" w:eastAsia="宋体" w:hAnsi="Times New Roman" w:cs="Times New Roman"/>
          <w:color w:val="000000"/>
          <w:kern w:val="0"/>
        </w:rPr>
        <w:t xml:space="preserve"> von </w:t>
      </w:r>
      <w:proofErr w:type="spellStart"/>
      <w:r>
        <w:rPr>
          <w:rFonts w:ascii="Times New Roman" w:eastAsia="宋体" w:hAnsi="Times New Roman" w:cs="Times New Roman"/>
          <w:color w:val="000000"/>
          <w:kern w:val="0"/>
        </w:rPr>
        <w:t>Hatties</w:t>
      </w:r>
      <w:proofErr w:type="spellEnd"/>
      <w:r>
        <w:rPr>
          <w:rFonts w:ascii="Times New Roman" w:eastAsia="宋体" w:hAnsi="Times New Roman" w:cs="Times New Roman"/>
          <w:color w:val="000000"/>
          <w:kern w:val="0"/>
        </w:rPr>
        <w:t xml:space="preserve"> Visible Learning. </w:t>
      </w:r>
      <w:proofErr w:type="spellStart"/>
      <w:r>
        <w:rPr>
          <w:rFonts w:ascii="Times New Roman" w:eastAsia="宋体" w:hAnsi="Times New Roman" w:cs="Times New Roman"/>
          <w:color w:val="000000"/>
          <w:kern w:val="0"/>
        </w:rPr>
        <w:t>Zeitschrift</w:t>
      </w:r>
      <w:proofErr w:type="spellEnd"/>
      <w:r>
        <w:rPr>
          <w:rFonts w:ascii="Times New Roman" w:eastAsia="宋体" w:hAnsi="Times New Roman" w:cs="Times New Roman"/>
          <w:color w:val="000000"/>
          <w:kern w:val="0"/>
        </w:rPr>
        <w:t xml:space="preserve"> für </w:t>
      </w:r>
      <w:proofErr w:type="spellStart"/>
      <w:r>
        <w:rPr>
          <w:rFonts w:ascii="Times New Roman" w:eastAsia="宋体" w:hAnsi="Times New Roman" w:cs="Times New Roman"/>
          <w:color w:val="000000"/>
          <w:kern w:val="0"/>
        </w:rPr>
        <w:t>Erziehungswissenschaft</w:t>
      </w:r>
      <w:proofErr w:type="spellEnd"/>
      <w:r>
        <w:rPr>
          <w:rFonts w:ascii="Times New Roman" w:eastAsia="宋体" w:hAnsi="Times New Roman" w:cs="Times New Roman"/>
          <w:color w:val="000000"/>
          <w:kern w:val="0"/>
        </w:rPr>
        <w:t>, 20, 21–40. https://doi.org/10.1007/s11618-016-0696-0</w:t>
      </w:r>
    </w:p>
    <w:p w14:paraId="29C27D6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Wu, J.-Y., Lee, Y.-H., Chai, C. S., &amp; Tsai, C.-C. (2025). Strengthening human epistemic agency in the symbiotic learning partnership with generative artificial intelligence. Educational Researcher, 54(6), 358–368. https://doi.org/10.3102/0013189X251333628</w:t>
      </w:r>
    </w:p>
    <w:p w14:paraId="2552032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Zemplén, G. Á. (2007). Conflicting agendas: Critical thinking versus science education in the International Baccalaureate Theory of Knowledge course. Science &amp; Education, 16, 167–196.</w:t>
      </w:r>
    </w:p>
    <w:p w14:paraId="5650D3F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Zhao, Y., Yue, Y., Sun, Z., Jiang, Q., &amp; Li, G. (2025). Does generative artificial intelligence improve students' higher-order thinking? A meta-analysis based on 29 experiments and quasi-experiments. Journal of Intelligence, 13(12), Article 160. https://doi.org/10.3390/jintelligence13120160</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oNotDisplayPageBoundaries/>
  <w:embedSystemFonts/>
  <w:bordersDoNotSurroundHeader/>
  <w:bordersDoNotSurroundFooter/>
  <w:hideSpellingErrors/>
  <w:hideGrammaticalError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3A23DB"/>
    <w:rsid w:val="004C0E21"/>
    <w:rsid w:val="006E72A5"/>
    <w:rsid w:val="00CD5D2E"/>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C47D56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138</Pages>
  <Words>18573</Words>
  <Characters>105871</Characters>
  <Application>Microsoft Office Word</Application>
  <DocSecurity>0</DocSecurity>
  <Lines>882</Lines>
  <Paragraphs>248</Paragraphs>
  <ScaleCrop>false</ScaleCrop>
  <Company/>
  <LinksUpToDate>false</LinksUpToDate>
  <CharactersWithSpaces>124196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4</cp:revision>
  <dcterms:created xsi:type="dcterms:W3CDTF">2026-10-11T12:17:00Z</dcterms:created>
  <dcterms:modified xsi:type="dcterms:W3CDTF">2026-10-11T15:14:00Z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