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彭正梅团队依据哈蒂的学习模型，把高阶能力的发展理解为由表层学习经深层学习走向迁移学习的过程</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高阶思维的培养因此不能只训练单项技能，还要培养学生对自身思维的监控。</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批判性思维的发展还依赖倾向和认识论理解，中学阶段是培养这类能力的有利时期。罗伯特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创造力是高阶思维中生成新想法和新方案的成分，同样可以通过教学提升。马克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，单靠发散训练难以解释创造性表现。中学生的创造因此应当既包括提出新方案，也包括依据任务条件比较、筛选和改进方案。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情绪调节与学生的自我调节学习紧密相连。自我调节学习要求学生设定目标、选择策略、监控进展并依据反馈调整，这一过程同时包含认知、动机和情绪的调节。综合29项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成功标准说明达成目标需要哪些具体证据，并可以分阶段设置。沈勍等以初中议论文写作为例，起步阶段要求学生辨识论点、论据和论证，中间阶段要求分析论证是否成立，最后要求面向真实受众组织表达，学生由此看到自己的理解在逐步加深</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。成功标准还要指向理解的质量。哈蒂以历史单元为例指出，要求学生说明原因、过程和结果之间联系的标准，能把学生从罗列史实引向因果解释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层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反馈要回答学生学到哪里、下一步怎么做，并被学生理解和使用。哈蒂与海伦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。这一点很重要，因为教师单凭感觉难以把握课堂。哈蒂曾介绍，新西兰学者格雷厄姆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Nuthall）多年的课堂观察发现，教师看不到也听不到课堂上约八成的事情，教师向课堂话语转录核对后才发现，自己原以为只讲了两三成时间，实际却占七到八成</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99"/>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00"/>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1"/>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2"/>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HARGROVE R A, NIETFELD J L. The impact of metacognitive instruction on creative problem solving[J]. The Journal of Experimental Education, 2015, 83(3): 291-318.</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OECD. PISA 2022 assessment and analytical framework[M]. Paris: OECD Publishing, 2023.</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[67] RUNCO M A, MAMMADOV S, SUI D, et al. Second-order meta-analysis of the creativity research[J/OL]. Creativity Research Journal, 2026. DOI:10.1080/10400419.2026.2644245.</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8">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9">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20">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2">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6">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7">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30">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0">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1">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4">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6">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7">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9">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50">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7">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5">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6">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7">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8">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9">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0">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77">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78">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7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0">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1">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2">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3">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8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8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9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3">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4">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5">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96">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97">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98">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9">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00">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1">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2">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