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面向核心素养导向的育人要求，课题聚焦中学生高阶能力目标难以转化为具体学习过程、学生思维表现不易观察以及教学反馈与学习改进衔接不足等问题，以“可见的学习”（Visible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拓展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 xml:space="preserve">4. 已有研究的不足与研究切入点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1.中学生高阶能力发展及培育现状的调查研究</w:t>
          </w:r>
          <w:r>
            <w:rPr>
              <w:rFonts w:hint="eastAsia" w:ascii="宋体" w:hAnsi="宋体" w:eastAsia="宋体" w:cs="宋体"/>
              <w:kern w:val="0"/>
            </w:rPr>
            <w:t/>
          </w:r>
          <w:r>
            <w:tab/>
          </w:r>
          <w:r>
            <w:fldChar w:fldCharType="begin"/>
          </w:r>
          <w:r>
            <w:instrText xml:space="preserve"> PAGEREF _Toc900001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4.前测小结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2.指向高阶能力发展的学习模型初设计</w:t>
          </w:r>
          <w:r>
            <w:rPr>
              <w:rFonts w:hint="eastAsia" w:ascii="宋体" w:hAnsi="宋体" w:eastAsia="宋体" w:cs="宋体"/>
              <w:bCs w:val="0"/>
              <w:szCs w:val="24"/>
              <w:lang w:val="en-US" w:eastAsia="zh-CN"/>
            </w:rPr>
            <w:t/>
          </w:r>
          <w:r>
            <w:rPr>
              <w:rFonts w:hint="eastAsia" w:ascii="宋体" w:hAnsi="宋体" w:eastAsia="宋体" w:cs="宋体"/>
              <w:bCs w:val="0"/>
              <w:szCs w:val="24"/>
            </w:rPr>
            <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_Toc900002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（2）总体与各维度比较</w:t>
          </w:r>
          <w:r>
            <w:rPr>
              <w:rFonts w:hint="eastAsia" w:ascii="宋体" w:hAnsi="宋体" w:eastAsia="宋体" w:cs="宋体"/>
              <w:lang w:val="en-US" w:eastAsia="zh-CN"/>
            </w:rPr>
            <w:t/>
          </w:r>
          <w:r>
            <w:rPr>
              <w:rFonts w:hint="eastAsia" w:ascii="宋体" w:hAnsi="宋体" w:eastAsia="宋体" w:cs="宋体"/>
            </w:rPr>
            <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3.基于实践证据的模型迭代与形成</w:t>
          </w:r>
          <w:r>
            <w:rPr>
              <w:rFonts w:hint="eastAsia" w:ascii="宋体" w:hAnsi="宋体" w:eastAsia="宋体" w:cs="宋体"/>
              <w:szCs w:val="24"/>
            </w:rPr>
            <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（6）学科奠基与科创拓展的场域转化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_Toc14498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（一）主要研究成果</w:t>
          </w:r>
          <w:r>
            <w:tab/>
          </w:r>
          <w:r>
            <w:fldChar w:fldCharType="begin"/>
          </w:r>
          <w:r>
            <w:instrText xml:space="preserve"> PAGEREF _Toc14498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_Toc8966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1.三层学习贯穿的五环学习模型</w:t>
          </w:r>
          <w:r>
            <w:tab/>
          </w:r>
          <w:r>
            <w:fldChar w:fldCharType="begin"/>
          </w:r>
          <w:r>
            <w:instrText xml:space="preserve"> PAGEREF _Toc8966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44223B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_Toc3700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2.嵌入学习全过程的教师四步调节</w:t>
          </w:r>
          <w:r>
            <w:tab/>
          </w:r>
          <w:r>
            <w:fldChar w:fldCharType="begin"/>
          </w:r>
          <w:r>
            <w:instrText xml:space="preserve"> PAGEREF _Toc3700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5329F40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_Toc14733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3.以教与学协同为运行核心的总模型2.0</w:t>
          </w:r>
          <w:r>
            <w:tab/>
          </w:r>
          <w:r>
            <w:fldChar w:fldCharType="begin"/>
          </w:r>
          <w:r>
            <w:instrText xml:space="preserve"> PAGEREF _Toc14733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2EF760A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_Toc26758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4.学科四要素向科创五要素拓展的实践路径</w:t>
          </w:r>
          <w:r>
            <w:tab/>
          </w:r>
          <w:r>
            <w:fldChar w:fldCharType="begin"/>
          </w:r>
          <w:r>
            <w:instrText xml:space="preserve"> PAGEREF _Toc26758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4331952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_Toc8569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5.连接能力目标与任务表现的五种典型样态</w:t>
          </w:r>
          <w:r>
            <w:tab/>
          </w:r>
          <w:r>
            <w:fldChar w:fldCharType="begin"/>
          </w:r>
          <w:r>
            <w:instrText xml:space="preserve"> PAGEREF _Toc8569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1F77821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6.支持学习判断与教学调节的多源证据体系</w:t>
          </w:r>
          <w:r>
            <w:tab/>
          </w:r>
          <w:r>
            <w:fldChar w:fldCharType="begin"/>
          </w:r>
          <w:r>
            <w:instrText xml:space="preserve"> PAGEREF _Toc24821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0BAD249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_Toc28594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7.可供复盘与持续改进的校本资源</w:t>
          </w:r>
          <w:r>
            <w:tab/>
          </w:r>
          <w:r>
            <w:fldChar w:fldCharType="begin"/>
          </w:r>
          <w:r>
            <w:instrText xml:space="preserve"> PAGEREF _Toc28594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461F2A6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_Toc30557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（二）学生七维高阶能力与学习方式的积极变化</w:t>
          </w:r>
          <w:r>
            <w:tab/>
          </w:r>
          <w:r>
            <w:fldChar w:fldCharType="begin"/>
          </w:r>
          <w:r>
            <w:instrText xml:space="preserve"> PAGEREF _Toc30557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213BE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_Toc12909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1.数据来源与成效判断口径</w:t>
          </w:r>
          <w:r>
            <w:tab/>
          </w:r>
          <w:r>
            <w:fldChar w:fldCharType="begin"/>
          </w:r>
          <w:r>
            <w:instrText xml:space="preserve"> PAGEREF _Toc12909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6FC4CDF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2.学生高阶能力总体与七维变化</w:t>
          </w:r>
          <w:r>
            <w:tab/>
          </w:r>
          <w:r>
            <w:fldChar w:fldCharType="begin"/>
          </w:r>
          <w:r>
            <w:instrText xml:space="preserve"> PAGEREF _Toc506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727191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_Toc25056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3.开放性回答与学习方式的变化线索</w:t>
          </w:r>
          <w:r>
            <w:tab/>
          </w:r>
          <w:r>
            <w:fldChar w:fldCharType="begin"/>
          </w:r>
          <w:r>
            <w:instrText xml:space="preserve"> PAGEREF _Toc25056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0D03C4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_Toc5393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4.从任务参与走向理解深化与迁移运用</w:t>
          </w:r>
          <w:r>
            <w:tab/>
          </w:r>
          <w:r>
            <w:fldChar w:fldCharType="begin"/>
          </w:r>
          <w:r>
            <w:instrText xml:space="preserve"> PAGEREF _Toc5393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7BA16E5">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_Toc18513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（三）教师高阶能力培育实践的持续改进</w:t>
          </w:r>
          <w:r>
            <w:tab/>
          </w:r>
          <w:r>
            <w:fldChar w:fldCharType="begin"/>
          </w:r>
          <w:r>
            <w:instrText xml:space="preserve"> PAGEREF _Toc18513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E1165D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1.样本构成与比较方法</w:t>
          </w:r>
          <w:r>
            <w:tab/>
          </w:r>
          <w:r>
            <w:fldChar w:fldCharType="begin"/>
          </w:r>
          <w:r>
            <w:instrText xml:space="preserve"> PAGEREF _Toc4107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9CB209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_Toc31896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2.四个维度与新增题目的变化</w:t>
          </w:r>
          <w:r>
            <w:tab/>
          </w:r>
          <w:r>
            <w:fldChar w:fldCharType="begin"/>
          </w:r>
          <w:r>
            <w:instrText xml:space="preserve"> PAGEREF _Toc31896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440DC84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_Toc5715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3.开放性回答中的专业关注变化</w:t>
          </w:r>
          <w:r>
            <w:tab/>
          </w:r>
          <w:r>
            <w:fldChar w:fldCharType="begin"/>
          </w:r>
          <w:r>
            <w:instrText xml:space="preserve"> PAGEREF _Toc5715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2823455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_Toc27035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4.研究课专业评价与人工智能课堂过程证据</w:t>
          </w:r>
          <w:r>
            <w:tab/>
          </w:r>
          <w:r>
            <w:fldChar w:fldCharType="begin"/>
          </w:r>
          <w:r>
            <w:instrText xml:space="preserve"> PAGEREF _Toc27035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5CCC8E6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5.教师专业行动中的循证调节</w:t>
          </w:r>
          <w:r>
            <w:tab/>
          </w:r>
          <w:r>
            <w:fldChar w:fldCharType="begin"/>
          </w:r>
          <w:r>
            <w:instrText xml:space="preserve"> PAGEREF _Toc32683 \h </w:instrText>
          </w:r>
          <w:r>
            <w:fldChar w:fldCharType="separate"/>
          </w:r>
          <w:r>
            <w:t>150</w:t>
          </w:r>
          <w:r>
            <w:fldChar w:fldCharType="end"/>
          </w:r>
          <w:r>
            <w:rPr>
              <w:rFonts w:hint="eastAsia" w:ascii="宋体" w:hAnsi="宋体" w:eastAsia="宋体" w:cs="宋体"/>
              <w:kern w:val="2"/>
              <w:szCs w:val="32"/>
              <w:lang w:val="en-US" w:eastAsia="zh-CN" w:bidi="ar-SA"/>
            </w:rPr>
            <w:fldChar w:fldCharType="end"/>
          </w:r>
        </w:p>
        <w:p w14:paraId="6C50A63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_Toc11058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（四）学科奠基与科创拓展的实践成效</w:t>
          </w:r>
          <w:r>
            <w:tab/>
          </w:r>
          <w:r>
            <w:fldChar w:fldCharType="begin"/>
          </w:r>
          <w:r>
            <w:instrText xml:space="preserve"> PAGEREF _Toc11058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29B6984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1.学科四要素促进任务与评价相互衔接</w:t>
          </w:r>
          <w:r>
            <w:tab/>
          </w:r>
          <w:r>
            <w:fldChar w:fldCharType="begin"/>
          </w:r>
          <w:r>
            <w:instrText xml:space="preserve"> PAGEREF _Toc18219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0CB67B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_Toc8328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2.方案要素推动科创从活动参与走向设计与验证</w:t>
          </w:r>
          <w:r>
            <w:tab/>
          </w:r>
          <w:r>
            <w:fldChar w:fldCharType="begin"/>
          </w:r>
          <w:r>
            <w:instrText xml:space="preserve"> PAGEREF _Toc8328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A89ECF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_Toc12745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3.项目经验反馈学科理解与方法深化</w:t>
          </w:r>
          <w:r>
            <w:tab/>
          </w:r>
          <w:r>
            <w:fldChar w:fldCharType="begin"/>
          </w:r>
          <w:r>
            <w:instrText xml:space="preserve"> PAGEREF _Toc12745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533ACE9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4.学生科创获奖呈现多领域实践与高层级成果</w:t>
          </w:r>
          <w:r>
            <w:tab/>
          </w:r>
          <w:r>
            <w:fldChar w:fldCharType="begin"/>
          </w:r>
          <w:r>
            <w:instrText xml:space="preserve"> PAGEREF _Toc30314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70AA81A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（五）学校高阶能力培育实践体系的初步形成</w:t>
          </w:r>
          <w:r>
            <w:tab/>
          </w:r>
          <w:r>
            <w:fldChar w:fldCharType="begin"/>
          </w:r>
          <w:r>
            <w:instrText xml:space="preserve"> PAGEREF _Toc3596 \h </w:instrText>
          </w:r>
          <w:r>
            <w:fldChar w:fldCharType="separate"/>
          </w:r>
          <w:r>
            <w:t>153</w:t>
          </w:r>
          <w:r>
            <w:fldChar w:fldCharType="end"/>
          </w:r>
          <w:r>
            <w:rPr>
              <w:rFonts w:hint="eastAsia" w:ascii="宋体" w:hAnsi="宋体" w:eastAsia="宋体" w:cs="宋体"/>
              <w:kern w:val="2"/>
              <w:szCs w:val="32"/>
              <w:lang w:val="en-US" w:eastAsia="zh-CN" w:bidi="ar-SA"/>
            </w:rPr>
            <w:fldChar w:fldCharType="end"/>
          </w:r>
        </w:p>
        <w:p w14:paraId="7D0C90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1.以高阶能力培育为共同议题的校本研修机制</w:t>
          </w:r>
          <w:r>
            <w:tab/>
          </w:r>
          <w:r>
            <w:fldChar w:fldCharType="begin"/>
          </w:r>
          <w:r>
            <w:instrText xml:space="preserve"> PAGEREF _Toc27273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1F2F2FD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_Toc12055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2.由经验判断走向证据支持的校本教研</w:t>
          </w:r>
          <w:r>
            <w:tab/>
          </w:r>
          <w:r>
            <w:fldChar w:fldCharType="begin"/>
          </w:r>
          <w:r>
            <w:instrText xml:space="preserve"> PAGEREF _Toc12055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355F214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_Toc18122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3.学科教学与科创教育协同推进的实践格局</w:t>
          </w:r>
          <w:r>
            <w:tab/>
          </w:r>
          <w:r>
            <w:fldChar w:fldCharType="begin"/>
          </w:r>
          <w:r>
            <w:instrText xml:space="preserve"> PAGEREF _Toc18122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08457EF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4.可持续使用的校本研究资源</w:t>
          </w:r>
          <w:r>
            <w:tab/>
          </w:r>
          <w:r>
            <w:fldChar w:fldCharType="begin"/>
          </w:r>
          <w:r>
            <w:instrText xml:space="preserve"> PAGEREF _Toc13642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2F228104">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（六）综合成效与模型完善的证据支持</w:t>
          </w:r>
          <w:r>
            <w:tab/>
          </w:r>
          <w:r>
            <w:fldChar w:fldCharType="begin"/>
          </w:r>
          <w:r>
            <w:instrText xml:space="preserve"> PAGEREF _Toc22515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131E47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1.多源证据的相互支持</w:t>
          </w:r>
          <w:r>
            <w:tab/>
          </w:r>
          <w:r>
            <w:fldChar w:fldCharType="begin"/>
          </w:r>
          <w:r>
            <w:instrText xml:space="preserve"> PAGEREF _Toc14503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595AF7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2.对研究问题的回应</w:t>
          </w:r>
          <w:r>
            <w:tab/>
          </w:r>
          <w:r>
            <w:fldChar w:fldCharType="begin"/>
          </w:r>
          <w:r>
            <w:instrText xml:space="preserve"> PAGEREF _Toc17137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4817A7C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_Toc19352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3.成效结论的适用范围与持续验证</w:t>
          </w:r>
          <w:r>
            <w:tab/>
          </w:r>
          <w:r>
            <w:fldChar w:fldCharType="begin"/>
          </w:r>
          <w:r>
            <w:instrText xml:space="preserve"> PAGEREF _Toc19352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 xml:space="preserve">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学者参与社会与情感能力调查测评，提供了与中学生高阶能力培育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 xml:space="preserve">。落到学校层面，高阶能力培育既需要跨学科共享的能力目标，又需要在语文、数学、物理、英语等学科以及科创项目中形成各自的实践方式，不宜以统一流程机械套用于所有课堂。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 xml:space="preserve">。哈蒂的元分析证据与经合组织的国际学生评估项目（Programme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哈蒂后来进一步提出，决定教学质量的关键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 xml:space="preserve">。共享的教学语言使教师能够围绕学生证据讨论和调整教学，这为建构四步调节的教学模型提供了直接参照。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 xml:space="preserve">。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 xml:space="preserve">7）全球迁移、学术争议与理论使用立场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可见的学习在国际上影响广泛，同时也受到持续的学术批评。厘清这些批评，有助于明确应在何种意义上使用该理论。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基于上述讨论，对可见的学习采取有限而明确的使用立场。具体而言，不以效应量排名选择教学方法，也不以0.40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 xml:space="preserve">。这为以行动研究推动模型在学校中的生成和修正提供了依据。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 xml:space="preserve">已有研究的不足与研究切入点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已有研究在高阶能力和可见的学习两方面都形成了较为丰富的理论与实证基础，但就中学生高阶能力的学校培育而言，仍存在三个方面的不足。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第一部分已经梳理了高阶能力和可见的学习的研究脉络。下面不再重复理论来源，只界定三个核心概念的具体含义及其观察和测量方式。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高阶思维能力是高阶能力结构中的认知方面。它以布卢姆教育目标分类修订版中较高层次的认知过程为基础，结合中学生的学习实际，将其分为分析、评价、创造三个维度。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属于外显行为，需要关注的是学生的分析</w:t>
      </w:r>
      <w:r>
        <w:rPr>
          <w:rFonts w:hint="eastAsia" w:ascii="宋体" w:hAnsi="宋体" w:eastAsia="宋体" w:cs="宋体"/>
          <w:b w:val="0"/>
          <w:color w:val="000000"/>
          <w:kern w:val="0"/>
          <w:sz w:val="24"/>
        </w:rPr>
        <w:t xml:space="preserve">、判断、创造、责任承担、情绪调节和合作过程，能否通过真实的学习表现逐步呈现出来，并转化为师生都能理解和使用的学习证据。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学习证据按五个层面组织，即模型中的五见，包括目标可见、思维可见、证据可见、进步可见和能力可见。表2-1说明了每个层面对应的可见的学习要素、主要学习证据和证据用途。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 xml:space="preserve">表2-1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 xml:space="preserve">依据布卢姆分类与学习结果结构分类判断思维层次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 xml:space="preserve">课堂观察记录、学生作品、实验数据、人工智能课堂行为数据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 xml:space="preserve">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900001" w:name="_Toc900001"/>
      <w:r>
        <w:rPr>
          <w:rFonts w:hint="eastAsia" w:ascii="宋体" w:hAnsi="宋体" w:eastAsia="宋体" w:cs="宋体"/>
          <w:b/>
          <w:kern w:val="0"/>
          <w:sz w:val="28"/>
          <w:lang w:val="en-US" w:eastAsia="zh-CN"/>
        </w:rPr>
        <w:t>1.中学生高阶能力发展及培育现状的调查研究</w:t>
      </w:r>
      <w:bookmarkEnd w:id="900001"/>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教师教学行为、学生学习行为和高阶能力表现开展课堂观察，重点了解课堂中实际发生了什么、学生如何参与学习以及高阶学习表现如何呈现。课堂证据分为三类，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三类证据功能不同、相互补充。人工智能课堂行为指标以可识别的外显行为为单位，若直接作为判断依据，容易以行为次数代替对教学的解释，因此只作为分析课堂参与结构的辅助信息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 xml:space="preserve">。研究不以单一课堂评分或某一项人工智能行为指标直接判断学生高阶能力的发展。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因此不把前后测差异</w:t>
      </w:r>
      <w:r>
        <w:rPr>
          <w:rFonts w:hint="eastAsia" w:ascii="宋体" w:hAnsi="宋体" w:eastAsia="宋体" w:cs="宋体"/>
          <w:b w:val="0"/>
          <w:color w:val="000000"/>
          <w:kern w:val="0"/>
          <w:sz w:val="24"/>
        </w:rPr>
        <w:t xml:space="preserve">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因此不以问卷结果单独判断</w:t>
      </w:r>
      <w:r>
        <w:rPr>
          <w:rFonts w:hint="eastAsia" w:ascii="宋体" w:hAnsi="宋体" w:eastAsia="宋体" w:cs="宋体"/>
          <w:b w:val="0"/>
          <w:color w:val="000000"/>
          <w:kern w:val="0"/>
          <w:sz w:val="24"/>
        </w:rPr>
        <w:t xml:space="preserve">能力发展，而将其与学生作品、课堂观察和教师判断相互印证。最终以多种证据的一致程度判断模型在本校情境中的可实施性和积极变化。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 xml:space="preserve">图2-1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 xml:space="preserve">（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54" w:name="_Toc32232"/>
      <w:r>
        <w:rPr>
          <w:rFonts w:hint="eastAsia" w:ascii="宋体" w:hAnsi="宋体" w:eastAsia="宋体" w:cs="宋体"/>
          <w:b w:val="0"/>
          <w:kern w:val="0"/>
          <w:sz w:val="24"/>
          <w:lang w:eastAsia="zh-CN"/>
          <w:color w:val="C00000"/>
        </w:rPr>
        <w:t>（</w:t>
      </w:r>
      <w:r>
        <w:rPr>
          <w:rFonts w:hint="eastAsia" w:ascii="宋体" w:hAnsi="宋体" w:eastAsia="宋体" w:cs="宋体"/>
          <w:b w:val="0"/>
          <w:kern w:val="0"/>
          <w:sz w:val="24"/>
          <w:color w:val="C00000"/>
        </w:rPr>
        <w:t>1</w:t>
      </w:r>
      <w:r>
        <w:rPr>
          <w:rFonts w:hint="eastAsia" w:ascii="宋体" w:hAnsi="宋体" w:eastAsia="宋体" w:cs="宋体"/>
          <w:b w:val="0"/>
          <w:kern w:val="0"/>
          <w:sz w:val="24"/>
          <w:lang w:eastAsia="zh-CN"/>
          <w:color w:val="C00000"/>
        </w:rPr>
        <w:t>）</w:t>
      </w:r>
      <w:r>
        <w:rPr>
          <w:rFonts w:hint="eastAsia" w:ascii="宋体" w:hAnsi="宋体" w:eastAsia="宋体" w:cs="宋体"/>
          <w:b w:val="0"/>
          <w:kern w:val="0"/>
          <w:sz w:val="24"/>
          <w:color w:val="C00000"/>
        </w:rPr>
        <w:t>学生高阶能力测评</w:t>
      </w:r>
      <w:r>
        <w:rPr>
          <w:rFonts w:hint="eastAsia" w:ascii="宋体" w:hAnsi="宋体" w:eastAsia="宋体" w:cs="宋体"/>
          <w:b w:val="0"/>
          <w:kern w:val="0"/>
          <w:sz w:val="24"/>
          <w:lang w:val="en-US" w:eastAsia="zh-CN"/>
          <w:color w:val="C00000"/>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szCs w:val="24"/>
          <w:lang w:val="en-US" w:eastAsia="zh-CN"/>
        </w:rPr>
      </w:pPr>
      <w:r>
        <w:rPr>
          <w:rFonts w:hint="eastAsia" w:ascii="宋体" w:hAnsi="宋体" w:eastAsia="宋体" w:cs="宋体"/>
          <w:b w:val="0"/>
          <w:kern w:val="0"/>
          <w:sz w:val="24"/>
          <w:szCs w:val="24"/>
          <w:lang w:val="en-US" w:eastAsia="zh-CN"/>
          <w:color w:val="C00000"/>
        </w:rPr>
        <w:t xml:space="preserve">前测从学生能力基础和教师培育现状两方面展开。学生问卷考察学生在分析、评价、创造、责任担当、情绪调节、合作共情、包容创新7个维度上的自评表现；教师问卷了解教师对高阶能力培育的认知、课堂实践、自我效能和实施困难。两类调查分别从学习者和教学支持两端，为学习模型与教学模式的设计提供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上述研究与学校面对的教学问题直接相关。学生在学科课堂与科创教育中，需要面对条件较复杂、解决路径不唯一的任务，既要辨识问题，也要审查依据、形成方案。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因此选取分析、评价、创造</w:t>
      </w:r>
      <w:r>
        <w:rPr>
          <w:rFonts w:hint="eastAsia" w:ascii="宋体" w:hAnsi="宋体" w:eastAsia="宋体" w:cs="宋体"/>
          <w:b w:val="0"/>
          <w:kern w:val="0"/>
          <w:sz w:val="24"/>
        </w:rPr>
        <w:t xml:space="preserve">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据此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r>
        <w:rPr>
          <w:rFonts w:hint="eastAsia" w:ascii="宋体" w:hAnsi="宋体" w:eastAsia="宋体" w:cs="宋体"/>
          <w:b w:val="0"/>
          <w:kern w:val="0"/>
          <w:sz w:val="24"/>
        </w:rPr>
        <w:t xml:space="preserve">测评参照国内基于社会与情感能力调查开展的测评框架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 xml:space="preserve">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r>
        <w:rPr>
          <w:rFonts w:hint="eastAsia" w:ascii="宋体" w:hAnsi="宋体" w:eastAsia="宋体" w:cs="宋体"/>
          <w:b w:val="0"/>
          <w:color w:val="auto"/>
          <w:kern w:val="0"/>
          <w:sz w:val="24"/>
          <w:szCs w:val="24"/>
          <w:lang w:val="en-US" w:eastAsia="zh-CN"/>
        </w:rPr>
        <w:t xml:space="preserve">前测数据中，32道评分题均未出现“完全符合”作答，实际观测得分范围为1—4分。以下结果仍按问卷原定的1—5分计分规则计算，不对评分尺度作重新转换。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学生高阶能力问卷包含32道评分题，涵盖分析、评价、创造、责任担当、情绪调节、合作共情和包容创新七个理论维度。基于1346份答卷，对问卷进行内部一致性检验，并结合取样适切性量数（Kaiser-Meyer-Olkin, KMO）、巴特利特（Bartlett）球形检验及主成分方差解释情况，考察题项之间的相关性与初步结构特征。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采用克龙巴赫α系数检验问卷的内部一致性。结果显示，全问卷α系数为0.975，各维度α系数介于0.818—0.904，表明问卷及各维度题项具有较好的内部一致性，具体结果见表3-1。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 xml:space="preserve">克龙巴赫α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 xml:space="preserve">2）取样适切性量数与巴特利特球形检验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取样适切性量数为0.9823，巴特利特球形检验结果为χ²（496）＝34209.680，p＜0.001，表明题项相关矩阵并非单位矩阵，数据具备开展后续结构分析的条件，具体结果见表3-2。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表3-2  学生高阶能力问卷取样适切性量数与巴特利特球形检验结果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取样适切性量数检验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巴特利特球形检验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采用基于皮尔逊（Pearson）相关矩阵的主成分分析，前两个成分的特征值大于1，分别为18.182和1.312，方差解释率分别为56.82%和4.10%，累计方差解释率为60.92%，具体结果见表3-3。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问卷题项呈现出较强的共同性，第一主成分占据主导，说明学生不同方面的高阶能力自评关联密切。综合来看，</w:t>
      </w:r>
      <w:r>
        <w:rPr>
          <w:rFonts w:hint="eastAsia" w:ascii="宋体" w:hAnsi="宋体" w:eastAsia="宋体" w:cs="宋体"/>
          <w:b w:val="0"/>
          <w:color w:val="auto"/>
          <w:kern w:val="0"/>
          <w:sz w:val="24"/>
          <w:szCs w:val="24"/>
          <w:lang w:val="en-US" w:eastAsia="zh-CN"/>
        </w:rPr>
        <w:t xml:space="preserve">问卷具有较好的内部一致性，题项之间存在较充分的共同相关性，可用于描述学生的高阶能力自评表现。七个维度作为依据理论与题项内容划分的分析框架，其结构区分性可在后续研究中进一步检验。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 xml:space="preserve">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kern w:val="0"/>
          <w:sz w:val="28"/>
          <w:szCs w:val="28"/>
        </w:rPr>
      </w:pPr>
      <w:bookmarkStart w:id="58" w:name="_Toc27501"/>
      <w:r>
        <w:rPr>
          <w:rFonts w:hint="eastAsia" w:ascii="宋体" w:hAnsi="宋体" w:eastAsia="宋体" w:cs="宋体"/>
          <w:b/>
          <w:bCs/>
          <w:kern w:val="0"/>
          <w:sz w:val="28"/>
          <w:lang w:val="en-US" w:eastAsia="zh-CN"/>
          <w:color w:val="C00000"/>
        </w:rPr>
        <w:t>2.</w:t>
      </w:r>
      <w:r>
        <w:rPr>
          <w:rFonts w:hint="eastAsia" w:ascii="宋体" w:hAnsi="宋体" w:eastAsia="宋体" w:cs="宋体"/>
          <w:b/>
          <w:bCs/>
          <w:kern w:val="0"/>
          <w:sz w:val="28"/>
          <w:color w:val="C00000"/>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 xml:space="preserve">。据此解释教师对高阶能力培育的实施把握，重点考察其能否设计适合学生的任务、通过提问与点拨推动思考，以及识别学生的高阶表现。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教学实践还受到学校与班级条件的影响。现实阻碍部分依据实施中遇到的问题设置6题，考察课时与教材任务压力、考试评价导向、课例资源不足、学生基础差异、实操性教研指导不足和课堂组织管理困难。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这些题目均为面向实际问题自编。</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kern w:val="0"/>
          <w:sz w:val="24"/>
          <w:color w:val="C00000"/>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p>
    <w:p>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3</w:t>
      </w: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 xml:space="preserve">克龙巴赫α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 xml:space="preserve">（Corrected Item-Total Correlation, 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 xml:space="preserve">2）取样适切性量数与巴特利特检验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表3-13  教师问卷取样适切性量数与巴特利特球形度检验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取样适切性量数</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巴特利特近似χ²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取样适切性量数为0.9238，巴特利特球形度检验近似χ²为4356.257，自由度为231，p＜0.001，说明题项之间存在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p>
    <w:p>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3）开放性问题的质性分析</w:t>
      </w:r>
    </w:p>
    <w:p>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①主要观点与建议</w:t>
      </w:r>
    </w:p>
    <w:p>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 xml:space="preserve">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color w:val="C00000"/>
        </w:rPr>
        <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sz w:val="28"/>
          <w:szCs w:val="36"/>
          <w:lang w:val="en-US" w:eastAsia="zh-CN"/>
        </w:rPr>
      </w:pPr>
      <w:bookmarkStart w:id="62" w:name="_Toc19797"/>
      <w:r>
        <w:rPr>
          <w:rFonts w:hint="eastAsia" w:ascii="宋体" w:hAnsi="宋体" w:eastAsia="宋体" w:cs="宋体"/>
          <w:b w:val="0"/>
          <w:bCs/>
          <w:sz w:val="24"/>
          <w:szCs w:val="36"/>
          <w:lang w:val="en-US" w:eastAsia="zh-CN"/>
          <w:color w:val="C00000"/>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了解前期课堂对中学生高阶能力培育的支持情况，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保证研究数据的科学性与可靠性，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克龙巴赫α系数是教育测量研究中常用的量表信度指标，其数值越高，说明量表各项目之间的一致性越强。一般认为，当α系数达到0.70以上时，量表具有较好的内部一致性，能够满足教育研究中的统计分析要求。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为检验课堂评价工具的可靠性，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 xml:space="preserve">为进一步检验各评价维度对整体量表的贡献，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 xml:space="preserve">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分析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教师评课关键词词云图补充呈现了观察者关注的课堂内容（图3-2）。其中“问题”“学生”“任务”“思考”“探究”等词较为突出，说明现有评课意见涉及任务组织、学生参与及思考过程。</w:t>
      </w:r>
      <w:r>
        <w:rPr>
          <w:rFonts w:hint="eastAsia" w:ascii="宋体" w:hAnsi="宋体" w:eastAsia="宋体" w:cs="宋体"/>
          <w:b w:val="0"/>
          <w:sz w:val="24"/>
          <w:szCs w:val="24"/>
          <w:lang w:val="en-US" w:eastAsia="zh-CN"/>
        </w:rPr>
        <w:t xml:space="preserve">从“可见的学习”的视角看，这些关键词提示观察者已经关注目标、任务与学习过程之间的联系，为后续分析学生思考如何呈现提供了线索。</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 xml:space="preserve">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希沃行为热力图补充呈现了各课例在学生参与、教师指导、互动交流和探究活动方面的分布（图3-3）。其作用在于提供课例观察线索，帮助研究进一步定位互动与探究的具体环节。</w:t>
      </w:r>
      <w:r>
        <w:rPr>
          <w:rFonts w:hint="eastAsia" w:ascii="宋体" w:hAnsi="宋体" w:eastAsia="宋体" w:cs="宋体"/>
          <w:b w:val="0"/>
          <w:sz w:val="24"/>
          <w:szCs w:val="24"/>
          <w:lang w:val="en-US" w:eastAsia="zh-CN"/>
        </w:rPr>
        <w:t xml:space="preserve">希沃分析报告对数学2、物理2的互动与探究给予较积极的描述，并提示英语3的师生行为分布与其他课例有所不同。</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 xml:space="preserve">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结合互动维度评分，图示提示后续需要回到问答、讨论和探究的实际过程，分析学生是否充分说明理由、回应不同意见，以及教师是否利用这些表现继续追问。</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评价应进一步联系</w:t>
      </w:r>
      <w:r>
        <w:rPr>
          <w:rFonts w:hint="eastAsia" w:ascii="宋体" w:hAnsi="宋体" w:eastAsia="宋体" w:cs="宋体"/>
          <w:b w:val="0"/>
          <w:sz w:val="24"/>
          <w:szCs w:val="24"/>
          <w:lang w:val="en-US" w:eastAsia="zh-CN"/>
        </w:rPr>
        <w:t xml:space="preserve">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-24）。</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 xml:space="preserve">流的基础，进一步改进需要进入学习过程。较多的学生活动并不自动形成深入思考，积极的交流氛围也需要通过具体的回应与协商推动理解。将目标、任务、学生表现与反馈联系起来，是可以着力的实践方向。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4.前测小结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综合学生、教师问卷与课堂观察，前期高阶能力培育具有一定基础，学生学习需要与课堂支持之间仍有需要改进的环节。学生高阶能力自评</w:t>
      </w:r>
      <w:r>
        <w:rPr>
          <w:rFonts w:hint="eastAsia" w:ascii="宋体" w:hAnsi="宋体" w:eastAsia="宋体" w:cs="宋体"/>
          <w:b w:val="0"/>
          <w:sz w:val="24"/>
          <w:lang w:val="en-US" w:eastAsia="zh-CN"/>
        </w:rPr>
        <w:t>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新课标为模型的提出明确了育人方向。《义务教育课程方案和课程标准（2022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据此，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b w:val="0"/>
          <w:sz w:val="21"/>
        </w:rPr>
        <w:t xml:space="preserve">图3-4  可见的学习视域下中学生高阶能力培育模型图</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为将新课标的核心素养要求与“可见的学习”理念落实于教学实践，从功能上将模型划分为目标与设计、实践与调节、评价与改进三个层次。三个层次分别明确培养方向、组织实施过程和提供改进依据，通过学习目标、学生表现与评价反馈相互联系，形成持续调整的整体，具体实施要点见表3-25。</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 xml:space="preserve">表3-25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 xml:space="preserve">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 xml:space="preserve">表3-26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bookmarkStart w:id="900002" w:name="_Toc900002"/>
      <w:r>
        <w:rPr>
          <w:rFonts w:hint="eastAsia" w:ascii="宋体" w:hAnsi="宋体" w:eastAsia="宋体" w:cs="宋体"/>
          <w:b/>
          <w:bCs/>
          <w:sz w:val="28"/>
          <w:szCs w:val="28"/>
          <w:lang w:val="en-US" w:eastAsia="zh-CN"/>
        </w:rPr>
        <w:t>（三）“可见的学习”视域下中学生高阶能力培育的两域实施</w:t>
      </w:r>
      <w:bookmarkEnd w:id="74"/>
      <w:bookmarkEnd w:id="900002"/>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4"/>
        <w:keepNext/>
        <w:spacing w:before="280" w:after="280"/>
        <w:ind w:firstLine="0" w:firstLineChars="0"/>
        <w:outlineLvl w:val="3"/>
        <w:rPr>
          <w:rFonts w:hint="eastAsia" w:ascii="宋体" w:hAnsi="宋体" w:eastAsia="宋体" w:cs="宋体"/>
          <w:sz w:val="24"/>
          <w:szCs w:val="24"/>
        </w:rPr>
      </w:pPr>
      <w:bookmarkStart w:id="76" w:name="_Toc18976"/>
      <w:r>
        <w:rPr>
          <w:rFonts w:hint="eastAsia" w:ascii="宋体" w:hAnsi="宋体" w:eastAsia="宋体" w:cs="宋体"/>
          <w:b/>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可见的学习”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图3-6  学科实践学习四要素分析框架</w:t>
      </w:r>
    </w:p>
    <w:p w14:paraId="7856E358">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-6以目标为参照，将知识、实践与评价联系起来，并在每个要素中同时呈现学生行动与教师支持。表3-27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表3-27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 xml:space="preserve"/>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图3-7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-7中，2.0版本侧重外形特征，3.0版本加入使用体验，4.0版本进一步联系个人记忆，教师批注“充满童趣”肯定了4.0版本中的童年叙事。版本之间的差异呈现了表达内容的扩展，也使表3-27所列“思路说明”“成果形成”与“运用反馈修改”具有可核查的材料。</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 xml:space="preserve"/>
      </w:r>
    </w:p>
    <w:p w14:paraId="7BA2217D">
      <w:pPr>
        <w:pStyle w:val="4"/>
        <w:keepNext/>
        <w:spacing w:before="280" w:after="280"/>
        <w:ind w:firstLine="0" w:firstLineChars="0"/>
        <w:outlineLvl w:val="3"/>
        <w:rPr>
          <w:rFonts w:hint="eastAsia" w:ascii="宋体" w:hAnsi="宋体" w:eastAsia="宋体" w:cs="宋体"/>
          <w:sz w:val="24"/>
          <w:szCs w:val="24"/>
        </w:rPr>
      </w:pPr>
      <w:bookmarkStart w:id="77" w:name="_Toc32036"/>
      <w:r>
        <w:rPr>
          <w:rFonts w:hint="eastAsia" w:ascii="宋体" w:hAnsi="宋体" w:eastAsia="宋体" w:cs="宋体"/>
          <w:b/>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目标设计以“可见的学习”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借鉴邱惠芬将学习要求转化为实践表征的思路，从课程标准与单元内容出发，依次明确任务目标、表现要求及相应证据。表3-28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表3-28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-28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光的折射》案例中，前测显示35名学生不知道叉鱼时应瞄准的位置，占83.3%；另有28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表3-29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表3-30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拿来主义》的目标表同时列出具体目标与评价依据。其价值在于把“理解比喻说理”“形成判断”等概括要求转化为可检查的行为，并将倾听和共情要求嵌入讨论。表中节选保留原案例的目标层级；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 xml:space="preserve"/>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表3-31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图3-8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截图列出分类表格、比喻说理作用和联系现实理解文化主体性三个自我检测项目，使学生能够逐项对照目标。学生的实际理解再通过解释与作答核查。</w:t>
      </w:r>
    </w:p>
    <w:p w14:paraId="25D9F4B8">
      <w:pPr>
        <w:pStyle w:val="4"/>
        <w:keepNext/>
        <w:spacing w:before="280" w:after="280"/>
        <w:ind w:firstLine="0" w:firstLineChars="0"/>
        <w:outlineLvl w:val="3"/>
        <w:rPr>
          <w:rFonts w:hint="eastAsia" w:ascii="宋体" w:hAnsi="宋体" w:eastAsia="宋体" w:cs="宋体"/>
          <w:sz w:val="24"/>
          <w:szCs w:val="24"/>
        </w:rPr>
      </w:pPr>
      <w:bookmarkStart w:id="78" w:name="_Toc18765"/>
      <w:r>
        <w:rPr>
          <w:rFonts w:hint="eastAsia" w:ascii="宋体" w:hAnsi="宋体" w:eastAsia="宋体" w:cs="宋体"/>
          <w:b/>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内容组织以学科核心概念、重要关系和典型方法为基础，兼顾学生已有经验与问题解决需要。邱惠芬从学科与跨学科立场组织实践内容，并区分不同的实践表征水平（图3-9）。内容分析吸收其关注知识联系、实践方式和学习深度的思路，围绕核心问题建立相互关联的任务，避免知识点与活动各自分散。</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图3-9  学科实践学习内容分析框架</w:t>
      </w:r>
    </w:p>
    <w:p w14:paraId="20B73654">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在图3-9所示整体关系基础上，表3-32进一步将三层学习转化为内容组织重点、任务设计示例及学习表现与观察重点，使内容选择、任务安排和证据收集相互衔接。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表3-32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-32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表3-33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图3-10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图3-11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4"/>
        <w:keepNext/>
        <w:spacing w:before="280" w:after="280"/>
        <w:ind w:firstLine="0" w:firstLineChars="0"/>
        <w:outlineLvl w:val="3"/>
        <w:rPr>
          <w:rFonts w:hint="eastAsia" w:ascii="宋体" w:hAnsi="宋体" w:eastAsia="宋体" w:cs="宋体"/>
          <w:sz w:val="24"/>
          <w:szCs w:val="24"/>
        </w:rPr>
      </w:pPr>
      <w:bookmarkStart w:id="79" w:name="_Toc20068"/>
      <w:r>
        <w:rPr>
          <w:rFonts w:hint="eastAsia" w:ascii="宋体" w:hAnsi="宋体" w:eastAsia="宋体" w:cs="宋体"/>
          <w:b/>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邱惠芬的分析框架将教师活动与学生实践联系起来，强调依据证据反馈促进过程深化（图3-12）。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sz w:val="21"/>
          <w:lang w:eastAsia="zh-CN"/>
        </w:rPr>
      </w:pPr>
      <w:r>
        <w:rPr>
          <w:rFonts w:hint="eastAsia" w:ascii="宋体" w:hAnsi="宋体" w:eastAsia="宋体" w:cs="宋体"/>
          <w:b w:val="0"/>
          <w:sz w:val="21"/>
          <w:lang w:eastAsia="zh-CN"/>
          <w:color w:val="C00000"/>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color w:val="C00000"/>
        </w:rPr>
        <w:t xml:space="preserve">图3-12  学科实践学习过程分析框架</w:t>
      </w:r>
    </w:p>
    <w:p w14:paraId="402F7BCE">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表3-34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-34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根据新的学习表现继续调整。课堂智能反馈报告同时指出本课迁移应用不足，这成为下一轮改进的重点。</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图3-13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 xml:space="preserve"/>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图3-14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图3-15  实物与三轮人工智能生成图像的对照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从左至右依次为实物、第一轮、第二轮和第三轮生成结果。图文差异暴露了描述中缺少的信息；学生补充特征、比较结果并再次修改，呈现了分析与修订的过程。</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 xml:space="preserve">上述片段共同呈现了“发现差异—分析原因—获得反馈—再次修订”的学习过程，与图3-12及表3-34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拿来主义》的课堂观察表直接记录了学生受阻和分歧中的言行，使教师调节有了具体对象。面对分类停滞，组内学生提出先看物件有没有史料价值；面对意见冲突，教师的反馈要求学生先用“你的意思是……”复述对方观点，再提出不同意见。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4"/>
        <w:keepNext/>
        <w:spacing w:before="280" w:after="280"/>
        <w:ind w:firstLine="0" w:firstLineChars="0"/>
        <w:outlineLvl w:val="3"/>
        <w:rPr>
          <w:rFonts w:hint="eastAsia" w:ascii="宋体" w:hAnsi="宋体" w:eastAsia="宋体" w:cs="宋体"/>
          <w:sz w:val="24"/>
          <w:szCs w:val="24"/>
        </w:rPr>
      </w:pPr>
      <w:bookmarkStart w:id="80" w:name="_Toc30424"/>
      <w:r>
        <w:rPr>
          <w:rFonts w:hint="eastAsia" w:ascii="宋体" w:hAnsi="宋体" w:eastAsia="宋体" w:cs="宋体"/>
          <w:b/>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图3-16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图3-17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图3-16与图3-17共同呈现了教师反馈、同伴判断与学生修订之间的联系，可用于分析建议、理由和语言表达的具体变化。</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-37提供了作品水平分布的群体证据，图3-16、图3-17则保留了反馈与修改的过程材料，两者分别回答“分布如何变化”与“修改如何发生”。下文图3-18、图3-19进一步通过三稿记录和答辩回应，呈现理解修正的具体过程；表3-38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图3-18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 xml:space="preserve"/>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图3-19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-19保留同伴提问、学生回应、意见采纳及终稿变化，与图3-18的版本记录相互参照，可追踪学生如何在交流后修正理解。评价重点是学生能否说明取舍理由、使表达更有依据，而非采纳意见的数量。表3-38据此补充责任履行、情绪调节、合作共情与包容创新的观察要点。</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表3-38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 xml:space="preserve">注：依据董丹案例观察工具整理，统一使用“包容创新”名称。该表呈现观察内容与记录方式，不代表已有完整的全班行为统计。</w:t>
      </w:r>
    </w:p>
    <w:p w14:paraId="0B1476F6">
      <w:pPr>
        <w:pStyle w:val="4"/>
        <w:keepNext/>
        <w:spacing w:before="280" w:after="280"/>
        <w:ind w:firstLine="0" w:firstLineChars="0"/>
        <w:outlineLvl w:val="3"/>
        <w:rPr>
          <w:rFonts w:hint="eastAsia" w:ascii="宋体" w:hAnsi="宋体" w:eastAsia="宋体" w:cs="宋体"/>
          <w:sz w:val="24"/>
          <w:szCs w:val="24"/>
        </w:rPr>
      </w:pPr>
      <w:bookmarkStart w:id="81" w:name="_Toc14593"/>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sz w:val="24"/>
          <w:color w:val="C00000"/>
        </w:rPr>
        <w:t>、</w:t>
      </w:r>
      <w:r>
        <w:rPr>
          <w:rFonts w:hint="eastAsia" w:ascii="宋体" w:hAnsi="宋体" w:eastAsia="宋体" w:cs="宋体"/>
          <w:b w:val="0"/>
          <w:color w:val="000000"/>
          <w:sz w:val="24"/>
        </w:rPr>
        <w:t>“机械臂路径规划”</w:t>
      </w:r>
      <w:r>
        <w:rPr>
          <w:rFonts w:hint="eastAsia" w:ascii="宋体" w:hAnsi="宋体" w:eastAsia="宋体" w:cs="宋体"/>
          <w:b w:val="0"/>
          <w:sz w:val="24"/>
          <w:color w:val="C00000"/>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sz w:val="24"/>
          <w:color w:val="C00000"/>
        </w:rPr>
        <w:t>三</w:t>
      </w:r>
      <w:r>
        <w:rPr>
          <w:rFonts w:hint="eastAsia" w:ascii="宋体" w:hAnsi="宋体" w:eastAsia="宋体" w:cs="宋体"/>
          <w:b w:val="0"/>
          <w:color w:val="000000"/>
          <w:sz w:val="24"/>
        </w:rPr>
        <w:t>者</w:t>
      </w:r>
      <w:r>
        <w:rPr>
          <w:rFonts w:hint="eastAsia" w:ascii="宋体" w:hAnsi="宋体" w:eastAsia="宋体" w:cs="宋体"/>
          <w:b w:val="0"/>
          <w:sz w:val="24"/>
          <w:color w:val="C00000"/>
        </w:rPr>
        <w:t>分别侧重</w:t>
      </w:r>
      <w:r>
        <w:rPr>
          <w:rFonts w:hint="eastAsia" w:ascii="宋体" w:hAnsi="宋体" w:eastAsia="宋体" w:cs="宋体"/>
          <w:b w:val="0"/>
          <w:color w:val="000000"/>
          <w:sz w:val="24"/>
        </w:rPr>
        <w:t>行动方案</w:t>
      </w:r>
      <w:r>
        <w:rPr>
          <w:rFonts w:hint="eastAsia" w:ascii="宋体" w:hAnsi="宋体" w:eastAsia="宋体" w:cs="宋体"/>
          <w:b w:val="0"/>
          <w:sz w:val="24"/>
          <w:color w:val="C00000"/>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sz w:val="24"/>
          <w:color w:val="C00000"/>
        </w:rPr>
        <w:t>能够从调查、设计</w:t>
      </w:r>
      <w:r>
        <w:rPr>
          <w:rFonts w:hint="eastAsia" w:ascii="宋体" w:hAnsi="宋体" w:eastAsia="宋体" w:cs="宋体"/>
          <w:b w:val="0"/>
          <w:color w:val="000000"/>
          <w:sz w:val="24"/>
        </w:rPr>
        <w:t>、调试与</w:t>
      </w:r>
      <w:r>
        <w:rPr>
          <w:rFonts w:hint="eastAsia" w:ascii="宋体" w:hAnsi="宋体" w:eastAsia="宋体" w:cs="宋体"/>
          <w:b w:val="0"/>
          <w:sz w:val="24"/>
          <w:color w:val="C00000"/>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sz w:val="24"/>
          <w:color w:val="C00000"/>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Style w:val="4"/>
        <w:keepNext/>
        <w:spacing w:before="280" w:after="280"/>
        <w:ind w:firstLine="0" w:firstLineChars="0"/>
        <w:outlineLvl w:val="3"/>
        <w:rPr>
          <w:rFonts w:hint="eastAsia" w:ascii="宋体" w:hAnsi="宋体" w:eastAsia="宋体" w:cs="宋体"/>
          <w:sz w:val="24"/>
          <w:szCs w:val="24"/>
        </w:rPr>
      </w:pPr>
      <w:bookmarkStart w:id="83" w:name="_Toc17218"/>
      <w:r>
        <w:rPr>
          <w:rFonts w:hint="eastAsia" w:ascii="宋体" w:hAnsi="宋体" w:eastAsia="宋体" w:cs="宋体"/>
          <w:b/>
          <w:sz w:val="28"/>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  科创教育五要素分析框架（在四要素框架基础上拓展）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以目标为参照，将知识、方案、实践与评价相互联系，并在五个要素中同时明确学生行动和教师支持。表3-39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表3-39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资料来源：课题组编制。</w:t>
      </w:r>
    </w:p>
    <w:p w14:paraId="35C9480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图3-21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事先明确需要检验的假设，例如减少点位是否会增加碰撞风险。图3-21右侧的初始草图及后续故障记录，能够具体说明“方案—实践—评价”的联系。</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color w:val="C00000"/>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导盲辅助系统项目采用飞行时间（Time of Flight, TOF）深度相机，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图3-22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Style w:val="4"/>
        <w:keepNext/>
        <w:spacing w:before="280" w:after="280"/>
        <w:ind w:firstLine="0" w:firstLineChars="0"/>
        <w:outlineLvl w:val="3"/>
        <w:rPr>
          <w:rFonts w:hint="eastAsia" w:ascii="宋体" w:hAnsi="宋体" w:eastAsia="宋体" w:cs="宋体"/>
          <w:sz w:val="24"/>
          <w:szCs w:val="24"/>
        </w:rPr>
      </w:pPr>
      <w:bookmarkStart w:id="84" w:name="_Toc119"/>
      <w:r>
        <w:rPr>
          <w:rFonts w:hint="eastAsia" w:ascii="宋体" w:hAnsi="宋体" w:eastAsia="宋体" w:cs="宋体"/>
          <w:b/>
          <w:sz w:val="28"/>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-40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表3-40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color w:val="C00000"/>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sz w:val="21"/>
                <w:color w:val="C00000"/>
              </w:rPr>
              <w:t xml:space="preserve">；认识飞行时间测距与电机反馈的基本功能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sz w:val="21"/>
                <w:color w:val="C00000"/>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sz w:val="21"/>
                <w:color w:val="C00000"/>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机械臂路径规划”案例将设备能否运行转化为更具体的学习标准：在安全前提下说明路径选择的依据，并能够分析故障、调整点位。基础操作属于必要的学习条件，方案比较及约束权衡才进一步涉及分析、评价与创造。表3-40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color w:val="C00000"/>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color w:val="C00000"/>
        </w:rPr>
        <w:t xml:space="preserve">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sz w:val="24"/>
          <w:color w:val="C00000"/>
        </w:rPr>
        <w:t xml:space="preserve">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A26588E">
      <w:pPr>
        <w:pStyle w:val="4"/>
        <w:keepNext/>
        <w:spacing w:before="280" w:after="280"/>
        <w:ind w:firstLine="0" w:firstLineChars="0"/>
        <w:outlineLvl w:val="3"/>
        <w:rPr>
          <w:rFonts w:hint="eastAsia" w:ascii="宋体" w:hAnsi="宋体" w:eastAsia="宋体" w:cs="宋体"/>
          <w:sz w:val="24"/>
          <w:szCs w:val="24"/>
        </w:rPr>
      </w:pPr>
      <w:bookmarkStart w:id="85" w:name="_Toc1215"/>
      <w:r>
        <w:rPr>
          <w:rFonts w:hint="eastAsia" w:ascii="宋体" w:hAnsi="宋体" w:eastAsia="宋体" w:cs="宋体"/>
          <w:b/>
          <w:sz w:val="28"/>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表3-41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-41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图3-23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导盲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F992D42">
      <w:pPr>
        <w:pStyle w:val="4"/>
        <w:keepNext/>
        <w:spacing w:before="280" w:after="280"/>
        <w:ind w:firstLine="0" w:firstLineChars="0"/>
        <w:outlineLvl w:val="3"/>
        <w:rPr>
          <w:rFonts w:hint="eastAsia" w:ascii="宋体" w:hAnsi="宋体" w:eastAsia="宋体" w:cs="宋体"/>
          <w:sz w:val="24"/>
          <w:szCs w:val="24"/>
        </w:rPr>
      </w:pPr>
      <w:bookmarkStart w:id="86" w:name="_Toc22304"/>
      <w:r>
        <w:rPr>
          <w:rFonts w:hint="eastAsia" w:ascii="宋体" w:hAnsi="宋体" w:eastAsia="宋体" w:cs="宋体"/>
          <w:b/>
          <w:sz w:val="28"/>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图3-24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-24通过实践表征联系学习深度、学生行动与教师调节。方案草图、数据记录、原型或试行结果，使设计中的理解与困难能够被共同讨论；反馈后的修订及再次验证，又为教师评估支持是否适切提供依据。表3-42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表3-42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资料来源：课题组依据五环学习模型与科创项目特点编制。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 xml:space="preserve">图3-25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表3-43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 xml:space="preserve">开始补充数据依据</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 xml:space="preserve">行动要求更具体</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表3-43呈现的是方案论证与表达的改进，支持学生开始回应反馈、具体化措施的判断。</w:t>
      </w:r>
    </w:p>
    <w:p w14:paraId="36889A8A">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图3-26  导盲系统原型及场景测试材料（刘雪瑶案例原图）</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-44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表3-44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图3-27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 xml:space="preserve">表3-44显示，该轮记录中的延迟、识别及误报指标均有改善。记录仍指出用户对振动强度分级的辨识不够明显，提示功能指标改善之后还需继续考察触觉可读性。</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Style w:val="4"/>
        <w:keepNext/>
        <w:spacing w:before="280" w:after="280"/>
        <w:ind w:firstLine="0" w:firstLineChars="0"/>
        <w:outlineLvl w:val="3"/>
        <w:rPr>
          <w:rFonts w:hint="eastAsia" w:ascii="宋体" w:hAnsi="宋体" w:eastAsia="宋体" w:cs="宋体"/>
          <w:sz w:val="24"/>
          <w:szCs w:val="24"/>
        </w:rPr>
      </w:pPr>
      <w:bookmarkStart w:id="87" w:name="_Toc18819"/>
      <w:r>
        <w:rPr>
          <w:rFonts w:hint="eastAsia" w:ascii="宋体" w:hAnsi="宋体" w:eastAsia="宋体" w:cs="宋体"/>
          <w:b/>
          <w:sz w:val="28"/>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-45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表3-45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图3-28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 xml:space="preserve">图3-28左侧主要呈现学生的反思与迁移意向，右侧呈现另一项目中新情境的作答。机械臂任务单中的路径与条件说明，可用于分析学生是否关注到新的空间约束。</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案例提供需求调研、方案架构、原型开发、测试反思和成果表达五项评价内容，权重依次为20、25、25、20和10分。该分配提示评价需同时关注设计依据、技术实现及验证改进，但权重属于工具设计，不是学生实际得分。表3-46节选其内容，并按证据解释的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表3-46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 xml:space="preserve">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资料来源：评价项目与分值节选自刘雪瑶案例评价量规，证据及判断重点由课题组整理。</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 xml:space="preserve">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表3-47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资料来源：课题组依据两域实施框架编制；各项为实施侧重，两域可交叉采用。</w:t>
      </w:r>
    </w:p>
    <w:p w14:paraId="1819DE0A">
      <w:pPr>
        <w:pStyle w:val="4"/>
        <w:keepNext/>
        <w:spacing w:before="280" w:after="280"/>
        <w:ind w:firstLine="0" w:firstLineChars="0"/>
        <w:outlineLvl w:val="3"/>
        <w:rPr>
          <w:rFonts w:hint="eastAsia" w:ascii="宋体" w:hAnsi="宋体" w:eastAsia="宋体" w:cs="宋体"/>
          <w:sz w:val="24"/>
          <w:szCs w:val="24"/>
        </w:rPr>
      </w:pPr>
      <w:bookmarkStart w:id="88" w:name="_Toc24627"/>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表3-47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评价体系与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 xml:space="preserve">，因此评价指标描述的是学生的具体表现，例如能否说明判断依据、比较不同方案、依据反馈修订观点。其二是过早评分抑制探索，低利害的多轮修订和描述性反馈更有利于批判性思维和创造力的发展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 xml:space="preserve">，因此课堂中的评价以形成性反馈为主，分数主要用于研究层面的前后比较。在思维层次判断上，评价指标与研究设计中的表2-1相衔接，以布卢姆分类界定任务要求，以学习结果结构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评价以已经确定的双维七维</w:t>
      </w:r>
      <w:r>
        <w:rPr>
          <w:rFonts w:hint="eastAsia" w:ascii="宋体" w:hAnsi="宋体" w:eastAsia="宋体" w:cs="宋体"/>
          <w:b w:val="0"/>
          <w:sz w:val="24"/>
        </w:rPr>
        <w:t xml:space="preserve">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为了避免七维能力停留在概念层面，课题进一步把每一个维度转化为课堂和项目学习中能够观察到的表现，为教师观察学习、分析证据和判断变化提供共同参照。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为尽可能真实、客观地反映学生高阶能力的发展变化，研究过程中围绕学生、教师和课堂</w:t>
      </w:r>
      <w:r>
        <w:rPr>
          <w:rFonts w:hint="eastAsia" w:ascii="宋体" w:hAnsi="宋体" w:eastAsia="宋体" w:cs="宋体"/>
          <w:b w:val="0"/>
          <w:sz w:val="24"/>
        </w:rPr>
        <w:t xml:space="preserve">三个层面持续收集不同类型的数据，不把判断建立在单一问卷或单次课堂评价上</w:t>
      </w:r>
      <w:r>
        <w:rPr>
          <w:rFonts w:hint="eastAsia" w:ascii="宋体" w:hAnsi="宋体" w:eastAsia="宋体" w:cs="宋体"/>
          <w:b w:val="0"/>
          <w:sz w:val="24"/>
        </w:rPr>
        <w:t xml:space="preserve">。</w:t>
      </w: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这些数据各自反映研究的不同侧面。问卷用于了解学生和教师前后发生了什么变化；教师五维评课用于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表3-48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多源数据只有建立起相互联系，才能真正成为研究证据。研究证据因此从纵向变化、学习过程和多元评价三个方面组织研究证据。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已有典型案例因此重点关注</w:t>
      </w:r>
      <w:r>
        <w:rPr>
          <w:rFonts w:hint="eastAsia" w:ascii="宋体" w:hAnsi="宋体" w:eastAsia="宋体" w:cs="宋体"/>
          <w:b w:val="0"/>
          <w:sz w:val="24"/>
        </w:rPr>
        <w:t xml:space="preserve">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成为看见学习、判断学习并改进教学的重要依据</w:t>
      </w:r>
      <w:r>
        <w:rPr>
          <w:rFonts w:hint="eastAsia" w:ascii="宋体" w:hAnsi="宋体" w:eastAsia="宋体" w:cs="宋体"/>
          <w:b w:val="0"/>
          <w:sz w:val="24"/>
        </w:rPr>
        <w:t xml:space="preserve">。</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以前后测修订编号一对一对应的1346对记录为分析样本，其中初中913对，高中433对。两次测量的修订编号无缺失或重复，对应记录的性别、年级一致，32道题项均完整。</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表3-49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补充分析包括，剔除任一测次32题同选项作答记录后的敏感性分析，以及按年级初始水平和平均增分开展的探索性聚类。所有统计均由题项得分计算；表中增分及检验基于未四舍五入数据。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表3-50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注：df＝1345；配对差标准差＝0.268；dz＝3.229；霍尔姆校正后p＜0.001。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能力总体均值由3.635升至4.500，平均增加0.865分，95%置信区间为0.850～0.879，t（1345）＝118.460，校正后p＜0.001。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表3-51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注：df＝1345；配对差标准差＝0.689；dz＝1.346；霍尔姆校正后p＜0.001。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思维能力均值由3.604升至4.531，平均增加0.927分，95%置信区间为0.890～0.964，t（1345）＝49.382，校正后p＜0.001。三个维度中，评价增幅最大（0.996分），创造次之（0.959分），分析最小（0.827分）。问题链和方案比较要求学生说明依据、生成方案，反馈后又留有修改的机会，这些安排在分析、评价和创造三个方向上都提供了练习；各维度的具体表现见下文分项结果。</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表3-52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注：df＝1345；配对差标准差＝0.272；dz＝3.038；霍尔姆校正后p＜0.001。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社会情感能力均值由3.654升至4.481，平均增加0.827分，95%置信区间为0.812～0.842，t（1345）＝111.440，校正后p＜0.001。学生对承担责任、调整状态、与同伴协作和开放探索的自评都更积极。这几项能力主要在共同任务中被调用：分工需要有人负责，观点冲突需要有人调节，修改方案需要接纳别人的意见。《拿来主义》课堂上，生B的观点被反驳后先说“我理解你觉得她是糟粕”，再陈述自己的看法，是这类表现在课堂中的一个例子。</w:t>
      </w:r>
    </w:p>
    <w:p w14:paraId="1253190D">
      <w:pPr>
        <w:pStyle w:val="4"/>
        <w:keepNext/>
        <w:spacing w:before="280" w:after="280"/>
        <w:ind w:firstLine="0" w:firstLineChars="0"/>
        <w:outlineLvl w:val="3"/>
        <w:rPr>
          <w:rFonts w:hint="eastAsia" w:ascii="宋体" w:hAnsi="宋体" w:eastAsia="宋体" w:cs="宋体"/>
          <w:sz w:val="24"/>
          <w:szCs w:val="24"/>
        </w:rPr>
      </w:pPr>
      <w:bookmarkStart w:id="103" w:name="_Toc10910"/>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w:t>
      </w:r>
      <w:r>
        <w:rPr>
          <w:rFonts w:hint="eastAsia" w:ascii="宋体" w:hAnsi="宋体" w:eastAsia="宋体" w:cs="宋体"/>
          <w:b/>
          <w:sz w:val="28"/>
          <w:szCs w:val="24"/>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表3-53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注：df＝1345；配对差标准差＝0.814；dz＝1.016；霍尔姆校正后p＜0.001。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分析均值由3.619升至4.446，平均增加0.827分，95%置信区间为0.783～0.870，t（1345）＝37.283，校正后p＜0.001，dz＝1.016。前测中分析维度最弱的是复杂问题拆解（Q1均值3.50）。实践中，教师用问题链和任务分解把条件、关键关系和解题步骤呈现出来，学生的分析路径因而可以被说出来、被检查。后测中有学生写道“会思考问题的不同路径”“开始通过联系以前的知识进行自主学习”。</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表3-54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注：df＝1345；配对差标准差＝0.787；dz＝1.265；霍尔姆校正后p＜0.001。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均值由3.630升至4.626，平均增加0.996分，95%置信区间为0.953～1.038，t（1345）＝46.398，校正后p＜0.001，dz＝1.265。这一维度的增分在七个维度中最大。课题在各环节反复要求学生对照成功标准说明依据、比较方案、检查自己的学习，评价成为学生练习最多的动作之一。后测中“思考问题：我学会了质疑”以及主动比较解题方法的表述，说明部分学生开始关注理由与方法本身，评价活动值得在下一阶段继续做深。</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表3-55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注：df＝1345；配对差标准差＝0.798；dz＝1.201；霍尔姆校正后p＜0.001。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创造均值由3.564升至4.523，平均增加0.959分，95%置信区间为0.916～1.001，t（1345）＝44.080，校正后p＜0.001，dz＝1.201。创造在前测中是七个维度里均值最低的一项（3.56），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表3-56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注：df＝1345；配对差标准差＝0.536；dz＝1.838；霍尔姆校正后p＜0.001。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责任担当均值由3.664升至4.648，平均增加0.985分，95%置信区间为0.956～1.013，t（1345）＝67.426，校正后p＜0.001，dz＝1.838。该维度后测均值在七个维度中最高（4.648）。共同任务把目标、分工和完成标准写在明处，学生要对自己负责的部分负责，完成后还要检查质量。高阶能力培育因此不只看学生能否想出办法，也看他们能否接下任务、坚持做完。前测中相对薄弱的任务反思（Q16）仍需持续关注。</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表3-57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注：df＝1345；配对差标准差＝0.352；dz＝2.324；霍尔姆校正后p＜0.001。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情绪调节均值由3.586升至4.405，平均增加0.818分，95%置信区间为0.800～0.837，t（1345）＝85.278，校正后p＜0.001，dz＝2.324。课题在认知挑战较高的环节同步安排了过程反馈、同伴支持和重新尝试的机会，学生遇到困难、分歧和失误时有调整的余地。后测中“比以前更有耐心”等表述与这一变化相符。前测中得分最低的是考试、答问或展示时保持平静（Q21），后续可继续观察学生在公开表达情境中的表现。</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表3-58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注：df＝1345；配对差标准差＝0.357；dz＝2.167；霍尔姆校正后p＜0.001。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合作共情均值由3.709升至4.482，平均增加0.773分，95%置信区间为0.754～0.792，t（1345）＝79.513，校正后p＜0.001，dz＝2.167。小组研讨、观点表达和协商修订增加了学生之间的交流，后测中有学生写道“与同学交流更多了”“学会更好地表达自己的观点，学会多角度分析问题”。交流增多只是第一步，合作要进一步深入，还需要学生回应同伴提出的证据，并一起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表3-59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注：df＝1345；配对差标准差＝0.372；dz＝1.966；霍尔姆校正后p＜0.001。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包容创新均值由3.655升至4.387，平均增加0.732分，95%置信区间为0.712～0.752，t（1345）＝72.117，校正后p＜0.001，dz＝1.966。学生更愿意接纳不同意见、尝试新方法，这与课题鼓励多种思路、允许反复修改的做法有关。不过这一维度的后测均值和增分在七个维度中都相对较低，前测中尝试陌生方法（Q28）也是弱项。下一阶段可在陌生情境中多安排方案试用和自主选择，让开放的态度落到具体的探索行动上。</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表3-60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表3-61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表3-62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开放性文本因此主要用来呈现学生学习过程中的真实声音，与配对量表、课堂观察和作品材料相互补充。</w:t>
      </w:r>
      <w:r>
        <w:rPr>
          <w:rFonts w:hint="eastAsia" w:ascii="宋体" w:hAnsi="宋体" w:eastAsia="宋体" w:cs="宋体"/>
          <w:b w:val="0"/>
          <w:sz w:val="24"/>
        </w:rPr>
        <w:t xml:space="preserve"/>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 xml:space="preserve">组不重复的前后测对应记录。由于两次问卷匿名填写，匹配依据教龄、职称、学科和年级等背景信息形成</w:t>
      </w:r>
      <w:r>
        <w:rPr>
          <w:rFonts w:hint="eastAsia" w:ascii="宋体" w:hAnsi="宋体" w:eastAsia="宋体" w:cs="宋体"/>
          <w:b w:val="0"/>
          <w:sz w:val="24"/>
          <w:lang w:val="en-US" w:eastAsia="zh-CN"/>
        </w:rPr>
        <w:t/>
      </w:r>
      <w:r>
        <w:rPr>
          <w:rFonts w:hint="eastAsia" w:ascii="宋体" w:hAnsi="宋体" w:eastAsia="宋体" w:cs="宋体"/>
          <w:b w:val="0"/>
          <w:sz w:val="24"/>
        </w:rPr>
        <w:t>。</w:t>
      </w:r>
    </w:p>
    <w:p w14:paraId="5B30B6CF">
      <w:pPr>
        <w:pStyle w:val="4"/>
        <w:keepNext/>
        <w:spacing w:before="280" w:after="280"/>
        <w:ind w:firstLine="0" w:firstLineChars="0"/>
        <w:outlineLvl w:val="4"/>
        <w:rPr>
          <w:rFonts w:hint="eastAsia" w:ascii="宋体" w:hAnsi="宋体" w:eastAsia="宋体" w:cs="宋体"/>
        </w:rPr>
      </w:pPr>
      <w:bookmarkStart w:id="107" w:name="_Toc15768"/>
      <w:r>
        <w:rPr>
          <w:rFonts w:hint="eastAsia" w:ascii="宋体" w:hAnsi="宋体" w:eastAsia="宋体" w:cs="宋体"/>
          <w:b/>
          <w:sz w:val="28"/>
          <w:lang w:val="en-US" w:eastAsia="zh-CN"/>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表3-63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4"/>
        <w:keepNext/>
        <w:spacing w:before="280" w:after="280"/>
        <w:ind w:firstLine="0" w:firstLineChars="0"/>
        <w:outlineLvl w:val="4"/>
        <w:rPr>
          <w:rFonts w:hint="eastAsia" w:ascii="宋体" w:hAnsi="宋体" w:eastAsia="宋体" w:cs="宋体"/>
        </w:rPr>
      </w:pPr>
      <w:bookmarkStart w:id="108" w:name="_Toc23596"/>
      <w:r>
        <w:rPr>
          <w:rFonts w:hint="eastAsia" w:ascii="宋体" w:hAnsi="宋体" w:eastAsia="宋体" w:cs="宋体"/>
          <w:b/>
          <w:sz w:val="28"/>
          <w:lang w:val="en-US" w:eastAsia="zh-CN"/>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表3-64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25014E15">
      <w:pPr>
        <w:pStyle w:val="4"/>
        <w:keepNext/>
        <w:spacing w:before="280" w:after="280"/>
        <w:ind w:firstLine="0" w:firstLineChars="0"/>
        <w:outlineLvl w:val="3"/>
        <w:rPr>
          <w:rFonts w:hint="eastAsia" w:ascii="宋体" w:hAnsi="宋体" w:eastAsia="宋体" w:cs="宋体"/>
          <w:sz w:val="24"/>
          <w:szCs w:val="24"/>
        </w:rPr>
      </w:pPr>
      <w:bookmarkStart w:id="109" w:name="_Toc19701"/>
      <w:r>
        <w:rPr>
          <w:rFonts w:hint="eastAsia" w:ascii="宋体" w:hAnsi="宋体" w:eastAsia="宋体" w:cs="宋体"/>
          <w:b/>
          <w:sz w:val="28"/>
          <w:szCs w:val="24"/>
        </w:rPr>
        <w:t>（2）总体与各维度比较</w:t>
      </w:r>
      <w:r>
        <w:rPr>
          <w:rFonts w:hint="eastAsia" w:ascii="宋体" w:hAnsi="宋体" w:eastAsia="宋体" w:cs="宋体"/>
          <w:b/>
          <w:sz w:val="28"/>
          <w:szCs w:val="24"/>
        </w:rPr>
        <w:t/>
      </w:r>
      <w:r>
        <w:rPr>
          <w:rFonts w:hint="eastAsia" w:ascii="宋体" w:hAnsi="宋体" w:eastAsia="宋体" w:cs="宋体"/>
          <w:b/>
          <w:sz w:val="28"/>
          <w:szCs w:val="24"/>
        </w:rPr>
        <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表3-65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 xml:space="preserve">注：均值差为后测减前测；df＝162；配对差标准差＝0.658；dz＝1.462。本项为探索性补充指标，p值未纳入四维霍尔姆校正。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综合指标由3.748升至4.710，平均增加0.962分，95%置信区间为0.861～1.064，t（162）＝18.660，p＜0.001，dz＝1.462。这一指标把正向自评与反向计分的阻碍感受合在一起，只用来概括共同题项的整体走向，不作为单一的教师能力增量来解读，具体变化以下列各维度为准。</w:t>
      </w:r>
    </w:p>
    <w:p w14:paraId="57B2F419">
      <w:pPr>
        <w:pStyle w:val="4"/>
        <w:keepNext/>
        <w:spacing w:before="280" w:after="280"/>
        <w:ind w:firstLine="0" w:firstLineChars="0"/>
        <w:outlineLvl w:val="4"/>
        <w:rPr>
          <w:rFonts w:hint="eastAsia" w:ascii="宋体" w:hAnsi="宋体" w:eastAsia="宋体" w:cs="宋体"/>
        </w:rPr>
      </w:pPr>
      <w:bookmarkStart w:id="110" w:name="_Toc14846"/>
      <w:r>
        <w:rPr>
          <w:rFonts w:hint="eastAsia" w:ascii="宋体" w:hAnsi="宋体" w:eastAsia="宋体" w:cs="宋体"/>
          <w:b/>
          <w:sz w:val="28"/>
          <w:lang w:val="en-US" w:eastAsia="zh-CN"/>
        </w:rPr>
        <w:t>2）各维度比较分析</w:t>
      </w:r>
      <w:r>
        <w:rPr>
          <w:rFonts w:hint="eastAsia" w:ascii="宋体" w:hAnsi="宋体" w:eastAsia="宋体" w:cs="宋体"/>
          <w:b/>
          <w:sz w:val="28"/>
          <w:lang w:val="en-US" w:eastAsia="zh-CN"/>
        </w:rPr>
        <w:t/>
      </w:r>
      <w:bookmarkEnd w:id="110"/>
    </w:p>
    <w:p w14:paraId="1EA44E1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①认知与价值认同</w:t>
      </w:r>
      <w:r>
        <w:rPr>
          <w:rFonts w:hint="eastAsia" w:ascii="宋体" w:hAnsi="宋体" w:eastAsia="宋体" w:cs="宋体"/>
          <w:b w:val="0"/>
          <w:bCs/>
          <w:sz w:val="24"/>
          <w:szCs w:val="32"/>
        </w:rPr>
        <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表3-66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注：均值差为后测减前测；df＝162；配对差标准差＝1.158；dz＝0.357。霍尔姆校正后p＜0.001。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认知与价值认同均值由4.351升至4.764，平均增加0.414分，95%置信区间为0.235～0.593，t（162）＝4.559，霍尔姆校正后p＜0.001，dz＝0.357。这一维度前测已经较高（4.351），后测仍有提高，但效应量在四个维度中最小。后测中90.18%的教师认为自己对高阶能力的理解更加清晰。教师对高阶能力内涵、学科育人价值和教学方式调整的认识更明确，备课、任务设计和课堂评价才有共同的出发点。</w:t>
      </w:r>
    </w:p>
    <w:p w14:paraId="48E99B9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②课堂教学实践</w:t>
      </w:r>
      <w:r>
        <w:rPr>
          <w:rFonts w:hint="eastAsia" w:ascii="宋体" w:hAnsi="宋体" w:eastAsia="宋体" w:cs="宋体"/>
          <w:b w:val="0"/>
          <w:bCs/>
          <w:sz w:val="24"/>
          <w:szCs w:val="32"/>
        </w:rPr>
        <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表3-67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注：均值差为后测减前测；df＝162；配对差标准差＝0.895；dz＝0.695。霍尔姆校正后p＜0.001。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教学实践均值由4.260升至4.881，平均增加0.622分，95%置信区间为0.483～0.760，t（162）＝8.868，霍尔姆校正后p＜0.001，dz＝0.695。这一维度的题项直接询问教师在任务设计、探究组织、真实情境、开放提问和自主研讨时间上的做法，是教学行动变化最直接的自报证据。后测中98.77%的教师表示已把培训方法用到课堂，94.48%表示高阶活动的频率提高，开放性回答里也具体写到问题链和过程反馈。三类材料指向同一方向，研修内容正在转化为课堂中的做法。</w:t>
      </w:r>
    </w:p>
    <w:p w14:paraId="4FAB13E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③教学自我效能</w:t>
      </w:r>
      <w:r>
        <w:rPr>
          <w:rFonts w:hint="eastAsia" w:ascii="宋体" w:hAnsi="宋体" w:eastAsia="宋体" w:cs="宋体"/>
          <w:b w:val="0"/>
          <w:bCs/>
          <w:sz w:val="24"/>
          <w:szCs w:val="32"/>
        </w:rPr>
        <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表3-68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注：均值差为后测减前测；df＝162；配对差标准差＝1.036；dz＝0.640。霍尔姆校正后p＜0.001。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学自我效能均值由4.090升至4.753，平均增加0.663分，95%置信区间为0.502～0.823，t（162）＝8.168，霍尔姆校正后p＜0.001，dz＝0.640。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95.09%的教师认为自身课堂教学能力有所提升。</w:t>
      </w:r>
    </w:p>
    <w:p w14:paraId="446E81A8">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④现实开展阻碍</w:t>
      </w:r>
      <w:r>
        <w:rPr>
          <w:rFonts w:hint="eastAsia" w:ascii="宋体" w:hAnsi="宋体" w:eastAsia="宋体" w:cs="宋体"/>
          <w:b w:val="0"/>
          <w:bCs/>
          <w:sz w:val="24"/>
          <w:szCs w:val="32"/>
        </w:rPr>
        <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表3-69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注：均值差为后测减前测；df＝162；配对差标准差＝1.140；dz＝-1.837。霍尔姆校正后p＜0.001。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置信区间为－2.269～－1.917，t（162）＝－23.448，霍尔姆校正后p＜0.001，dz＝－1.837。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r>
        <w:rPr>
          <w:rFonts w:hint="eastAsia" w:ascii="宋体" w:hAnsi="宋体" w:eastAsia="宋体" w:cs="宋体"/>
          <w:b w:val="0"/>
          <w:sz w:val="24"/>
        </w:rPr>
        <w:t xml:space="preserve"/>
      </w:r>
    </w:p>
    <w:p w14:paraId="073100DC">
      <w:pPr>
        <w:pStyle w:val="4"/>
        <w:keepNext/>
        <w:spacing w:before="280" w:after="280"/>
        <w:ind w:firstLine="0" w:firstLineChars="0"/>
        <w:outlineLvl w:val="3"/>
        <w:rPr>
          <w:rFonts w:hint="eastAsia" w:ascii="宋体" w:hAnsi="宋体" w:eastAsia="宋体" w:cs="宋体"/>
          <w:sz w:val="24"/>
          <w:szCs w:val="24"/>
        </w:rPr>
      </w:pPr>
      <w:bookmarkStart w:id="111" w:name="_Toc1515"/>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积极选择指“符合”或“完全符合”。新增题目反映教师对阶段学习和实践的主观感受，没有前测基线，只作描述性统计。</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表3-70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在163位教师中，146位对培训或教研活动表示“满意”或“很满意”，占89.57%；121位认为培训“有较大帮助”或“帮助很大”，占74.23%。这些结果反映了教师对研修的接受度和主观实用性评价。</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对前后文本进行主题对应和内容归纳。</w:t>
      </w:r>
      <w:r>
        <w:rPr>
          <w:rFonts w:hint="eastAsia" w:ascii="宋体" w:hAnsi="宋体" w:eastAsia="宋体" w:cs="宋体"/>
          <w:b w:val="0"/>
          <w:sz w:val="24"/>
        </w:rPr>
        <w:t xml:space="preserve"/>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表3-71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后测53份有效文本中，教师使用了更多具体的课堂语言，如问题链、开放性问题、任务驱动、合作探究、真实问题、过程性反馈、学生质疑等。编码时按其原始语义归类。</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表3-72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数字技术；数字化工具；人工智能赋能；工具付费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数字工具应用；人工智能支持；技术条件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数字化与人工智能支持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 xml:space="preserve">“后续数字技术还需提高”；“问题链设计更指向高阶思维，人工智能赋能不足”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 xml:space="preserve">3.</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4"/>
        <w:keepNext/>
        <w:spacing w:before="280" w:after="280"/>
        <w:ind w:firstLine="0" w:firstLineChars="0"/>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4"/>
        <w:keepNext/>
        <w:spacing w:before="280" w:after="280"/>
        <w:ind w:firstLine="0" w:firstLineChars="0"/>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4"/>
        <w:keepNext/>
        <w:spacing w:before="280" w:after="280"/>
        <w:ind w:firstLine="0" w:firstLineChars="0"/>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4"/>
        <w:keepNext/>
        <w:spacing w:before="280" w:after="280"/>
        <w:ind w:firstLine="0" w:firstLineChars="0"/>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4"/>
        <w:keepNext/>
        <w:spacing w:before="280" w:after="280"/>
        <w:ind w:firstLine="0" w:firstLineChars="0"/>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图3-29  “可见的学习”视域下五环学习模型（2.0版）</w:t>
      </w:r>
    </w:p>
    <w:p w14:paraId="11A349A4">
      <w:pPr>
        <w:pStyle w:val="4"/>
        <w:keepNext/>
        <w:spacing w:before="280" w:after="280"/>
        <w:ind w:firstLine="0" w:firstLineChars="0"/>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（6）学科奠基与科创拓展的场域转化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拓展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知识与方法为项目实践提供基础，项目中的问题、测试结果和实践经验又反馈至学科教学，促进理解与方法深化。由此，两域形成学科奠基、科创拓展、经验反馈的联系。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4"/>
        <w:keepNext/>
        <w:spacing w:before="280" w:after="280"/>
        <w:ind w:firstLine="0" w:firstLineChars="0"/>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图3-30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14:paraId="06A9888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三年的研究围绕三个问题展开：高阶能力怎样进入学生的真实学习，教师怎样依据学习表现提供支持，学校怎样把零散的探索变成持续的实践。研究成果因此包括两类。一类是可以迁移使用的成果，包括五环学习模型、教师四步调节、总模型2.0、学科与科创两域的转化路径、五种典型样态和多源证据体系；另一类是这些成果在本校引起的变化，包括1346组学生前后测记录所呈现的七维自评提高，163组教师记录所呈现的实践与效能增强，课堂与作品中可以追溯的修订过程，以及校本研修关注点的转移。两类成果在同一过程中相互塑造：模型在课堂中被检验和修改，课堂中暴露的问题又决定了模型最终的样子。</w:t>
      </w:r>
    </w:p>
    <w:p w14:paraId="0D208822">
      <w:pPr>
        <w:pStyle w:val="3"/>
        <w:keepNext/>
        <w:ind w:firstLine="0"/>
        <w:rPr>
          <w:rFonts w:hint="eastAsia" w:ascii="宋体" w:hAnsi="宋体" w:eastAsia="宋体" w:cs="宋体"/>
        </w:rPr>
      </w:pPr>
      <w:bookmarkStart w:id="123" w:name="_Toc14498"/>
      <w:r>
        <w:rPr>
          <w:rFonts w:hint="eastAsia" w:ascii="宋体" w:hAnsi="宋体" w:eastAsia="宋体" w:cs="宋体"/>
          <w:b/>
          <w:sz w:val="28"/>
        </w:rPr>
        <w:t>（一）主要研究成果</w:t>
      </w:r>
      <w:bookmarkEnd w:id="123"/>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14:paraId="2032CE8E">
      <w:pPr>
        <w:pStyle w:val="4"/>
        <w:keepNext/>
        <w:spacing w:before="280" w:after="280"/>
        <w:ind w:firstLine="0"/>
        <w:rPr>
          <w:rFonts w:hint="eastAsia" w:ascii="宋体" w:hAnsi="宋体" w:eastAsia="宋体" w:cs="宋体"/>
        </w:rPr>
      </w:pPr>
      <w:bookmarkStart w:id="124" w:name="_Toc8966"/>
      <w:r>
        <w:rPr>
          <w:rFonts w:hint="eastAsia" w:ascii="宋体" w:hAnsi="宋体" w:eastAsia="宋体" w:cs="宋体"/>
          <w:b/>
          <w:sz w:val="28"/>
        </w:rPr>
        <w:t xml:space="preserve">1.三层学习贯穿的五环学习模型</w:t>
      </w:r>
      <w:bookmarkEnd w:id="124"/>
    </w:p>
    <w:p w14:paraId="3BE11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2.0版把学生依据反馈形成新的回答、方案或作品，作为这一环节成立的标志。浅层、深层和迁移学习贯穿五环，用来判断学习进行到哪一层，五环之间允许往返。《秋天的怀念》中，学生在《合欢树》迁移阅读中自评卡在“品意象”一步，这为教师回到意象与情节的联系上补充支持提供了依据，五环之间的往返由此发生。</w:t>
      </w:r>
    </w:p>
    <w:p w14:paraId="729DBA46">
      <w:pPr>
        <w:pStyle w:val="4"/>
        <w:keepNext/>
        <w:spacing w:before="280" w:after="280"/>
        <w:ind w:firstLine="0"/>
        <w:rPr>
          <w:rFonts w:hint="eastAsia" w:ascii="宋体" w:hAnsi="宋体" w:eastAsia="宋体" w:cs="宋体"/>
        </w:rPr>
      </w:pPr>
      <w:bookmarkStart w:id="125" w:name="_Toc3700"/>
      <w:r>
        <w:rPr>
          <w:rFonts w:hint="eastAsia" w:ascii="宋体" w:hAnsi="宋体" w:eastAsia="宋体" w:cs="宋体"/>
          <w:b/>
          <w:sz w:val="28"/>
        </w:rPr>
        <w:t xml:space="preserve">2.嵌入学习全过程的教师四步调节</w:t>
      </w:r>
      <w:bookmarkEnd w:id="125"/>
    </w:p>
    <w:p w14:paraId="33ED8E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你的意思是……”复述对方观点再回应；机械臂项目中学生反复修改参数却找不到故障时，教师用故障排查单引导学生先区分硬件与软件原因，再做验证。每一次调节之后，都以学生的再次表现检验其效果。</w:t>
      </w:r>
    </w:p>
    <w:p w14:paraId="3B7DDF54">
      <w:pPr>
        <w:pStyle w:val="4"/>
        <w:keepNext/>
        <w:spacing w:before="280" w:after="280"/>
        <w:ind w:firstLine="0"/>
        <w:rPr>
          <w:rFonts w:hint="eastAsia" w:ascii="宋体" w:hAnsi="宋体" w:eastAsia="宋体" w:cs="宋体"/>
        </w:rPr>
      </w:pPr>
      <w:bookmarkStart w:id="126" w:name="_Toc14733"/>
      <w:r>
        <w:rPr>
          <w:rFonts w:hint="eastAsia" w:ascii="宋体" w:hAnsi="宋体" w:eastAsia="宋体" w:cs="宋体"/>
          <w:b/>
          <w:sz w:val="28"/>
        </w:rPr>
        <w:t xml:space="preserve">3.以教与学协同为运行核心的总模型2.0</w:t>
      </w:r>
      <w:bookmarkEnd w:id="126"/>
    </w:p>
    <w:p w14:paraId="1A96FB6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把分散的要素放进同一个结构。它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2.0版有三点主要变化：教师调节由附属环节上升为与学生学习并列的一条主线；七维能力并列为统一目标，社会情感能力与高阶思维在同一任务中被观察；学科奠基与科创拓展的分工得到明确。</w:t>
      </w:r>
    </w:p>
    <w:p w14:paraId="72D2F520">
      <w:pPr>
        <w:pStyle w:val="4"/>
        <w:keepNext/>
        <w:spacing w:before="280" w:after="280"/>
        <w:ind w:firstLine="0"/>
        <w:rPr>
          <w:rFonts w:hint="eastAsia" w:ascii="宋体" w:hAnsi="宋体" w:eastAsia="宋体" w:cs="宋体"/>
        </w:rPr>
      </w:pPr>
      <w:bookmarkStart w:id="127" w:name="_Toc26758"/>
      <w:r>
        <w:rPr>
          <w:rFonts w:hint="eastAsia" w:ascii="宋体" w:hAnsi="宋体" w:eastAsia="宋体" w:cs="宋体"/>
          <w:b/>
          <w:sz w:val="28"/>
        </w:rPr>
        <w:t xml:space="preserve">4.学科四要素向科创五要素拓展的实践路径</w:t>
      </w:r>
      <w:bookmarkEnd w:id="127"/>
    </w:p>
    <w:p w14:paraId="4328AF0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教学是高阶能力培育的基础域，科创教育是综合运用与拓展域。学科课堂围绕知识、目标、实践、评价四要素，提供概念、方法和持续练习；科创项目在此基础上增加方案要素，学生必须先把知识和目标变成一份可以评审、制作、测试和修订的方案，才能进入行动。三个科创项目中，方案都是学习真正发生的地方：“水足迹”的节水方案在模拟听证的质询后补写了具体用途和数据依据，机械臂的路径草图补上中转抬升点后才能安全运行，导盲系统的框图在测试中暴露出振动分级难以辨认的问题。两域都包含浅层、深层和迁移学习，区别在于任务条件和成果要求，科创并不意味着更高的学习层次。项目中暴露的问题还可以带回学科课堂，例如个人数据与小组汇总的分母不一致，正好是统计学习中的典型问题。</w:t>
      </w:r>
    </w:p>
    <w:p w14:paraId="56E5DE86">
      <w:pPr>
        <w:pStyle w:val="4"/>
        <w:keepNext/>
        <w:spacing w:before="280" w:after="280"/>
        <w:ind w:firstLine="0"/>
        <w:rPr>
          <w:rFonts w:hint="eastAsia" w:ascii="宋体" w:hAnsi="宋体" w:eastAsia="宋体" w:cs="宋体"/>
        </w:rPr>
      </w:pPr>
      <w:bookmarkStart w:id="128" w:name="_Toc8569"/>
      <w:r>
        <w:rPr>
          <w:rFonts w:hint="eastAsia" w:ascii="宋体" w:hAnsi="宋体" w:eastAsia="宋体" w:cs="宋体"/>
          <w:b/>
          <w:sz w:val="28"/>
        </w:rPr>
        <w:t xml:space="preserve">5.连接能力目标与任务表现的五种典型样态</w:t>
      </w:r>
      <w:bookmarkEnd w:id="128"/>
    </w:p>
    <w:p w14:paraId="216AA0F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五种典型样态。任务性实践立足真实情境中的问题界定，如“水足迹”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8至10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3C11725">
      <w:pPr>
        <w:pStyle w:val="4"/>
        <w:keepNext/>
        <w:spacing w:before="280" w:after="280"/>
        <w:ind w:firstLine="0"/>
        <w:rPr>
          <w:rFonts w:hint="eastAsia" w:ascii="宋体" w:hAnsi="宋体" w:eastAsia="宋体" w:cs="宋体"/>
        </w:rPr>
      </w:pPr>
      <w:bookmarkStart w:id="129" w:name="_Toc24821"/>
      <w:r>
        <w:rPr>
          <w:rFonts w:hint="eastAsia" w:ascii="宋体" w:hAnsi="宋体" w:eastAsia="宋体" w:cs="宋体"/>
          <w:b/>
          <w:sz w:val="28"/>
        </w:rPr>
        <w:t xml:space="preserve">6.支持学习判断与教学调节的多源证据体系</w:t>
      </w:r>
      <w:bookmarkEnd w:id="129"/>
    </w:p>
    <w:p w14:paraId="52ED469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这套体系的要点在于分清每类证据能回答什么问题：问卷回答学生和教师的自我判断是否变化，作品和修订记录回答变化具体发生在哪里，课堂评价和行为数据回答学习机会是否存在。人工智能记录用于描述课堂行为、定位值得回看的片段，思维质量的判断回到原始对话和作品。</w:t>
      </w:r>
    </w:p>
    <w:p w14:paraId="334C80B5">
      <w:pPr>
        <w:pStyle w:val="4"/>
        <w:keepNext/>
        <w:spacing w:before="280" w:after="280"/>
        <w:ind w:firstLine="0"/>
        <w:rPr>
          <w:rFonts w:hint="eastAsia" w:ascii="宋体" w:hAnsi="宋体" w:eastAsia="宋体" w:cs="宋体"/>
        </w:rPr>
      </w:pPr>
      <w:bookmarkStart w:id="130" w:name="_Toc28594"/>
      <w:r>
        <w:rPr>
          <w:rFonts w:hint="eastAsia" w:ascii="宋体" w:hAnsi="宋体" w:eastAsia="宋体" w:cs="宋体"/>
          <w:b/>
          <w:sz w:val="28"/>
        </w:rPr>
        <w:t xml:space="preserve">7.可供复盘与持续改进的校本资源</w:t>
      </w:r>
      <w:bookmarkEnd w:id="130"/>
    </w:p>
    <w:p w14:paraId="5E1DC6C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了典型案例，保留目标、任务链、评价量规、学生作品、实验记录与反馈修订材料。这些案例既呈现教师的设计，也追踪学生进入任务、形成观点和调整方案的过程。问卷、评课、课堂行为及开放性材料进一步转化为校本诊断资源，后续研修可以依据已有的问题、工具和证据开展复盘与再设计。对照研究目标，五环学习模型、教师四步调节和总模型2.0回应了形成学习模型框架的目标，学科四要素与科创五要素的实施框架回应了构建实践模式的目标，问卷、课堂、作品和项目记录回应了考察变化并持续优化的目标。</w:t>
      </w:r>
    </w:p>
    <w:p w14:paraId="46DE0A7E">
      <w:pPr>
        <w:pStyle w:val="3"/>
        <w:keepNext/>
        <w:ind w:firstLine="0"/>
        <w:rPr>
          <w:rFonts w:hint="eastAsia" w:ascii="宋体" w:hAnsi="宋体" w:eastAsia="宋体" w:cs="宋体"/>
        </w:rPr>
      </w:pPr>
      <w:bookmarkStart w:id="131" w:name="_Toc30557"/>
      <w:r>
        <w:rPr>
          <w:rFonts w:hint="eastAsia" w:ascii="宋体" w:hAnsi="宋体" w:eastAsia="宋体" w:cs="宋体"/>
          <w:b/>
          <w:sz w:val="28"/>
        </w:rPr>
        <w:t>（二）学生七维高阶能力与学习方式的积极变化</w:t>
      </w:r>
      <w:bookmarkEnd w:id="131"/>
    </w:p>
    <w:p w14:paraId="1083E8B8">
      <w:pPr>
        <w:pStyle w:val="4"/>
        <w:keepNext/>
        <w:spacing w:before="280" w:after="280"/>
        <w:ind w:firstLine="0"/>
        <w:rPr>
          <w:rFonts w:hint="eastAsia" w:ascii="宋体" w:hAnsi="宋体" w:eastAsia="宋体" w:cs="宋体"/>
        </w:rPr>
      </w:pPr>
      <w:bookmarkStart w:id="132" w:name="_Toc12909"/>
      <w:r>
        <w:rPr>
          <w:rFonts w:hint="eastAsia" w:ascii="宋体" w:hAnsi="宋体" w:eastAsia="宋体" w:cs="宋体"/>
          <w:b/>
          <w:sz w:val="28"/>
        </w:rPr>
        <w:t xml:space="preserve">1.数据来源与成效判断口径</w:t>
      </w:r>
      <w:bookmarkEnd w:id="132"/>
    </w:p>
    <w:p w14:paraId="02A586E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成效分析纳入1346组前后测对应记录，两次编号唯一，性别与年级一致，32道共同评分题无缺失。问卷采用五级评分，维度得分取所属题项均值，总体取32题均值；采用双侧配对t检验，报告均值、标准差、95%置信区间和效应量dz，p值经霍尔姆校正。前测43072个题项作答中没有出现5分，后测5分作答占73.12%，后测作答明显向高分集中，这是理解上述效应量的重要背景。</w:t>
      </w:r>
    </w:p>
    <w:p w14:paraId="461ED574">
      <w:pPr>
        <w:pStyle w:val="4"/>
        <w:keepNext/>
        <w:spacing w:before="280" w:after="280"/>
        <w:ind w:firstLine="0"/>
        <w:rPr>
          <w:rFonts w:hint="eastAsia" w:ascii="宋体" w:hAnsi="宋体" w:eastAsia="宋体" w:cs="宋体"/>
        </w:rPr>
      </w:pPr>
      <w:bookmarkStart w:id="133" w:name="_Toc506"/>
      <w:r>
        <w:rPr>
          <w:rFonts w:hint="eastAsia" w:ascii="宋体" w:hAnsi="宋体" w:eastAsia="宋体" w:cs="宋体"/>
          <w:b/>
          <w:sz w:val="28"/>
        </w:rPr>
        <w:t xml:space="preserve">2.学生高阶能力总体与七维变化</w:t>
      </w:r>
      <w:bookmarkEnd w:id="13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高阶能力总体均值由3.635升至4.500，平均增加0.865分，95%置信区间为0.850～0.879，霍尔姆校正后p＜0.001；高阶思维由3.604升至4.531，高阶社会情感由3.654升至4.481。七个维度均显著提高（校正后p均＜0.001），平均增分依次为评价0.996分、责任担当0.985分、创造0.959分、分析0.827分、情绪调节0.818分、合作共情0.773分和包容创新0.732分。各项检验结果已在第三部分（五）1中报告（表3-50至表3-59），此处不再重复列表。</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起点看，前测中均值最低的创造（3.56）和情绪调节（3.59）在后测中都有较大提高，创造的增分仅次于评价和责任担当。评价增分最大，与课题让学生在各环节反复对照成功标准说明依据、比较方案的做法相一致；后测中“会思考问题的不同路径”“我学会了质疑”等回答，提供了思维方面的具体线索。责任担当后测均值在七个维度中最高（4.648），共同任务中明确的分工和完成标准使学生对自己负责的部分有了更清楚的认识；情绪调节与合作共情的提高，则与同伴支持、观点交流和允许重新尝试的安排相呼应。包容创新的后测均值和增分都相对较低，学生对不同意见的接纳尚未充分转化为尝试陌生方法的行动，下一阶段可在陌生情境中多安排方案试用与自主选择。</w:t>
      </w:r>
    </w:p>
    <w:p w14:paraId="281743B6">
      <w:pPr>
        <w:pStyle w:val="4"/>
        <w:keepNext/>
        <w:spacing w:before="280" w:after="280"/>
        <w:ind w:firstLine="0"/>
        <w:rPr>
          <w:rFonts w:hint="eastAsia" w:ascii="宋体" w:hAnsi="宋体" w:eastAsia="宋体" w:cs="宋体"/>
        </w:rPr>
      </w:pPr>
      <w:bookmarkStart w:id="142" w:name="_Toc25056"/>
      <w:r>
        <w:rPr>
          <w:rFonts w:hint="eastAsia" w:ascii="宋体" w:hAnsi="宋体" w:eastAsia="宋体" w:cs="宋体"/>
          <w:b/>
          <w:sz w:val="28"/>
        </w:rPr>
        <w:t xml:space="preserve">3.开放性回答与学习方式的变化线索</w:t>
      </w:r>
      <w:bookmarkEnd w:id="142"/>
    </w:p>
    <w:p w14:paraId="47A3CA2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开放题询问学生在学习中最容易感到困难的事情，后测询问思考、合作与解决困难方面的变化。前测的困难集中在五类：学科知识理解与解题突破，知识迁移与思维整合，自我管理与学习习惯，考试心态与情绪调节，外部环境与互动支持。数学难题、几何辅助线、函数综合、背诵遗忘和长时间没有思路等回答说明，学生的困难不只在知识储备，也在组织信息、选择方法和在困难中坚持。课题设置问题链、方法支架、合作交流和反馈修订，针对的正是这些困难。</w:t>
      </w:r>
    </w:p>
    <w:p w14:paraId="7D3810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后测回答在这些方面出现了对应的变化。“会思考问题的不同路径”“开始通过联系以前的知识进行自主学习”“在做数学题时能考虑到答案的所有情况了”指向问题分析和知识联系；“思考问题：我学会了质疑”和主动比较更简便方法的表述，说明部分学生开始关注依据与方法的质量；“与同学交流更多了”“比以前更有耐心”则分别指向交流参与和状态调整。后测中也有“没有变化”“无”等回答，变化感受在学生之间并不均匀。后续开放题可要求学生写出具体任务、最初做法、调整依据和调整结果，使回答更便于分析。</w:t>
      </w:r>
    </w:p>
    <w:p w14:paraId="253ADD04">
      <w:pPr>
        <w:pStyle w:val="4"/>
        <w:keepNext/>
        <w:spacing w:before="280" w:after="280"/>
        <w:ind w:firstLine="0"/>
        <w:rPr>
          <w:rFonts w:hint="eastAsia" w:ascii="宋体" w:hAnsi="宋体" w:eastAsia="宋体" w:cs="宋体"/>
        </w:rPr>
      </w:pPr>
      <w:bookmarkStart w:id="143" w:name="_Toc5393"/>
      <w:r>
        <w:rPr>
          <w:rFonts w:hint="eastAsia" w:ascii="宋体" w:hAnsi="宋体" w:eastAsia="宋体" w:cs="宋体"/>
          <w:b/>
          <w:sz w:val="28"/>
        </w:rPr>
        <w:t xml:space="preserve">4.从任务参与走向理解深化与迁移运用</w:t>
      </w:r>
      <w:bookmarkEnd w:id="143"/>
    </w:p>
    <w:p w14:paraId="2AD823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观察汇总的10节课中，学生行为占比平均为54.1%，8节超过50%，讨论、练习、展示和探究为思考外显提供了时间和活动条件。更能说明学习深化的是修订过程。《光的折射》中，一名学生把光的传播方向画反，经同伴指出“光从鱼发出到人眼”后改正；另一名学生漏画法线，在同伴追问角度参照后补画并重新标角，错误、追问与修订之间的联系清晰可见。《秋天的怀念》的短笺三稿由一般性的坚强表述补入考试失利的经历，再根据答辩意见区分母子对“好好儿活”的不同理解，表达与解释逐步具体。</w:t>
      </w:r>
    </w:p>
    <w:p w14:paraId="6819E5F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状物写作提供了群体层面的证据。86份作品中，进阶与高阶作品由初稿25份增至终稿54份，比例由29.07%提高到62.79%，初始水平作品由32份降至11份（见表3-37），版本中补充生活场景、联系个人记忆和依据主旨筛选细节的修改与这一分布变化相互印证。三层学习在这些材料中都有对应的表现：基础概念与操作通过解释、作图和记录核查，深层联系通过比较和论证呈现，迁移表现为新条件下的方法调整。《合欢树》迁移阅读记录卡中，学生能够摘录细节、比较两篇文章的意象，同时自评卡在“品意象”这一步，迁移与诊断在同一份记录中同时发生。</w:t>
      </w:r>
    </w:p>
    <w:p w14:paraId="62F358EA">
      <w:pPr>
        <w:pStyle w:val="3"/>
        <w:keepNext/>
        <w:ind w:firstLine="0"/>
        <w:rPr>
          <w:rFonts w:hint="eastAsia" w:ascii="宋体" w:hAnsi="宋体" w:eastAsia="宋体" w:cs="宋体"/>
        </w:rPr>
      </w:pPr>
      <w:bookmarkStart w:id="144" w:name="_Toc18513"/>
      <w:r>
        <w:rPr>
          <w:rFonts w:hint="eastAsia" w:ascii="宋体" w:hAnsi="宋体" w:eastAsia="宋体" w:cs="宋体"/>
          <w:b/>
          <w:sz w:val="28"/>
        </w:rPr>
        <w:t>（三）教师高阶能力培育实践的持续改进</w:t>
      </w:r>
      <w:bookmarkEnd w:id="144"/>
    </w:p>
    <w:p w14:paraId="0D36778B">
      <w:pPr>
        <w:pStyle w:val="4"/>
        <w:keepNext/>
        <w:spacing w:before="280" w:after="280"/>
        <w:ind w:firstLine="0"/>
        <w:rPr>
          <w:rFonts w:hint="eastAsia" w:ascii="宋体" w:hAnsi="宋体" w:eastAsia="宋体" w:cs="宋体"/>
        </w:rPr>
      </w:pPr>
      <w:bookmarkStart w:id="145" w:name="_Toc4107"/>
      <w:r>
        <w:rPr>
          <w:rFonts w:hint="eastAsia" w:ascii="宋体" w:hAnsi="宋体" w:eastAsia="宋体" w:cs="宋体"/>
          <w:b/>
          <w:sz w:val="28"/>
        </w:rPr>
        <w:t xml:space="preserve">1.样本构成与比较方法</w:t>
      </w:r>
      <w:bookmarkEnd w:id="145"/>
    </w:p>
    <w:p w14:paraId="6A2D2F0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师前测回收163份，后测回收172份，两次问卷匿名填写，按教龄、职称、学科和年级等背景信息匹配出163组对应记录。样本覆盖不同教龄、职称和初高中学段，79.75%的教师在研究开始前已有相关培训经历，课题对教师的支持重点因此放在推动理念进入学科任务、课堂反馈和学习证据分析。前后测共有22道评分题，分为认知与价值认同、课堂教学实践、教学自我效能和现实开展阻碍四个维度，采用双侧配对t检验及霍尔姆校正；部分共同题目和引导语在后测中有所调整，阻碍维度尤其明显。</w:t>
      </w:r>
    </w:p>
    <w:p w14:paraId="51066071">
      <w:pPr>
        <w:pStyle w:val="4"/>
        <w:keepNext/>
        <w:spacing w:before="280" w:after="280"/>
        <w:ind w:firstLine="0"/>
        <w:rPr>
          <w:rFonts w:hint="eastAsia" w:ascii="宋体" w:hAnsi="宋体" w:eastAsia="宋体" w:cs="宋体"/>
        </w:rPr>
      </w:pPr>
      <w:bookmarkStart w:id="146" w:name="_Toc31896"/>
      <w:r>
        <w:rPr>
          <w:rFonts w:hint="eastAsia" w:ascii="宋体" w:hAnsi="宋体" w:eastAsia="宋体" w:cs="宋体"/>
          <w:b/>
          <w:sz w:val="28"/>
        </w:rPr>
        <w:t xml:space="preserve">2.四个维度与新增题目的变化</w:t>
      </w:r>
      <w:bookmarkEnd w:id="146"/>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按现有对应关系，认知与价值认同均值由4.351升至4.764，课堂教学实践由4.260升至4.881，教学自我效能由4.090升至4.753，现实开展阻碍由3.639降至1.546，四个维度经霍尔姆校正后p均＜0.001（见表3-66至表3-69）。后测新增题目中，161位教师（98.77%）认可已将培训方法用于课堂，154位（94.48%）认可高阶活动频率提高，147位（90.18%）认可理解更加清晰，150位（92.02%）认可高阶能力培育与学科教学质量可以协同推进，155位（95.09%）认可自身课堂教学能力有所提升；146位（89.57%）对培训或教研表示“满意”或“很满意”，121位（74.23%）认为培训“有较大帮助”或“帮助很大”（见表3-70）。</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四个维度的变化幅度不同，含义也不同。认知与价值认同起点已高，提高最少（0.414分）；课堂教学实践提高0.622分，效应量在三个正向维度中最大（dz＝0.695），是教学行动层面最直接的自报证据；教学自我效能提高0.663分，教师在设计高阶任务、课堂点拨和识别学生高阶表现上更有把握；现实开展阻碍下降2.093分，教师主观感到的实施困难明显减轻。从认同到做法再到信心，变化的重心落在课堂实践上，这与课题以研究课、课例研讨和共同备课为主的支持方式相符。开放性回答中课时、分层和评价方面的困难依然存在，阻碍维度的下降主要反映教师对实施条件的主观感受。</w:t>
      </w:r>
    </w:p>
    <w:p w14:paraId="7881F30D">
      <w:pPr>
        <w:pStyle w:val="4"/>
        <w:keepNext/>
        <w:spacing w:before="280" w:after="280"/>
        <w:ind w:firstLine="0"/>
        <w:rPr>
          <w:rFonts w:hint="eastAsia" w:ascii="宋体" w:hAnsi="宋体" w:eastAsia="宋体" w:cs="宋体"/>
        </w:rPr>
      </w:pPr>
      <w:bookmarkStart w:id="152" w:name="_Toc5715"/>
      <w:r>
        <w:rPr>
          <w:rFonts w:hint="eastAsia" w:ascii="宋体" w:hAnsi="宋体" w:eastAsia="宋体" w:cs="宋体"/>
          <w:b/>
          <w:sz w:val="28"/>
        </w:rPr>
        <w:t xml:space="preserve">3.开放性回答中的专业关注变化</w:t>
      </w:r>
      <w:bookmarkEnd w:id="152"/>
    </w:p>
    <w:p w14:paraId="35D250E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开放题关注想法、顾虑与建议，后测关注变化、困难与建议。前测的表达多停留在如何落实、课时与学情限制、评价标准和案例支持等需求层面，有教师提出“除了理念灌输，更重要的是通过实训、具体指导提升教师相关教学设计能力”。后测中则出现了具体的教学对象，如“对于开放性问题及课堂问题链设计更熟悉”“课堂会更注重学生的生成性问题，过程性问题的设计和反馈”。教师能够说出自己在设计什么、反馈什么，这与课堂实践和自我效能的量化变化相互印证。后测同样保留了“变化不大，有想法，难推进”等回答，以及课时紧张、分层困难和评价工具不足等问题。下一阶段的研修可以从同一任务的学生初始表现出发，比较不同支架、追问和反馈带来的差异，让教师获得可以直接用于判断和调整的证据。</w:t>
      </w:r>
    </w:p>
    <w:p w14:paraId="0F87B200">
      <w:pPr>
        <w:pStyle w:val="4"/>
        <w:keepNext/>
        <w:spacing w:before="280" w:after="280"/>
        <w:ind w:firstLine="0"/>
        <w:rPr>
          <w:rFonts w:hint="eastAsia" w:ascii="宋体" w:hAnsi="宋体" w:eastAsia="宋体" w:cs="宋体"/>
        </w:rPr>
      </w:pPr>
      <w:bookmarkStart w:id="153" w:name="_Toc27035"/>
      <w:r>
        <w:rPr>
          <w:rFonts w:hint="eastAsia" w:ascii="宋体" w:hAnsi="宋体" w:eastAsia="宋体" w:cs="宋体"/>
          <w:b/>
          <w:sz w:val="28"/>
        </w:rPr>
        <w:t xml:space="preserve">4.研究课专业评价与人工智能课堂过程证据</w:t>
      </w:r>
      <w:bookmarkEnd w:id="153"/>
    </w:p>
    <w:p w14:paraId="1C1AE9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已汇总的10节研究课共获得46份有效评课表，总分均值90.83分，标准差4.85分；90分及以上35份，占76.09%，80分及以上45份，占97.83%。研究课经过集体设计和打磨，评分反映的是课题组在较充分准备条件下能够达到的课堂支持水平。</w:t>
      </w:r>
    </w:p>
    <w:p w14:paraId="1A17328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表4-2  研究课五维专业评价结果</w:t>
      </w:r>
    </w:p>
    <w:tbl>
      <w:tblPr>
        <w:tblStyle w:val="12"/>
        <w:tblW w:w="9216" w:type="dxa"/>
        <w:tblInd w:w="108" w:type="dxa"/>
        <w:tblLayout w:type="fixed"/>
        <w:tblCellMar>
          <w:top w:w="0" w:type="dxa"/>
          <w:left w:w="108" w:type="dxa"/>
          <w:bottom w:w="0" w:type="dxa"/>
          <w:right w:w="108" w:type="dxa"/>
        </w:tblCellMar>
      </w:tblPr>
      <w:tblGrid>
        <w:gridCol w:w="3887"/>
        <w:gridCol w:w="5329"/>
      </w:tblGrid>
      <w:tr w14:paraId="0C6DD619">
        <w:tblPrEx>
          <w:tblCellMar>
            <w:top w:w="0" w:type="dxa"/>
            <w:left w:w="108" w:type="dxa"/>
            <w:bottom w:w="0" w:type="dxa"/>
            <w:right w:w="108" w:type="dxa"/>
          </w:tblCellMar>
        </w:tblPrEx>
        <w:trPr>
          <w:cantSplit/>
          <w:tblHeader/>
        </w:trPr>
        <w:tc>
          <w:tcPr>
            <w:tcW w:w="3887" w:type="dxa"/>
            <w:tcBorders>
              <w:top w:val="single" w:color="000000" w:sz="8" w:space="0"/>
              <w:bottom w:val="single" w:color="000000" w:sz="8" w:space="0"/>
            </w:tcBorders>
            <w:vAlign w:val="center"/>
          </w:tcPr>
          <w:p w14:paraId="30CC62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维度</w:t>
            </w:r>
          </w:p>
        </w:tc>
        <w:tc>
          <w:tcPr>
            <w:tcW w:w="5329" w:type="dxa"/>
            <w:tcBorders>
              <w:top w:val="single" w:color="000000" w:sz="8" w:space="0"/>
              <w:bottom w:val="single" w:color="000000" w:sz="8" w:space="0"/>
            </w:tcBorders>
            <w:vAlign w:val="center"/>
          </w:tcPr>
          <w:p w14:paraId="6C3127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达成度（%）</w:t>
            </w:r>
          </w:p>
        </w:tc>
      </w:tr>
      <w:tr w14:paraId="4F8A24FE">
        <w:tblPrEx>
          <w:tblCellMar>
            <w:top w:w="0" w:type="dxa"/>
            <w:left w:w="108" w:type="dxa"/>
            <w:bottom w:w="0" w:type="dxa"/>
            <w:right w:w="108" w:type="dxa"/>
          </w:tblCellMar>
        </w:tblPrEx>
        <w:trPr>
          <w:cantSplit/>
        </w:trPr>
        <w:tc>
          <w:tcPr>
            <w:tcW w:w="3887" w:type="dxa"/>
            <w:vAlign w:val="center"/>
          </w:tcPr>
          <w:p w14:paraId="3F6244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社会情感支持</w:t>
            </w:r>
          </w:p>
        </w:tc>
        <w:tc>
          <w:tcPr>
            <w:tcW w:w="5329" w:type="dxa"/>
            <w:vAlign w:val="center"/>
          </w:tcPr>
          <w:p w14:paraId="5E55880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94.80</w:t>
            </w:r>
          </w:p>
        </w:tc>
      </w:tr>
      <w:tr w14:paraId="033B1FFB">
        <w:tblPrEx>
          <w:tblCellMar>
            <w:top w:w="0" w:type="dxa"/>
            <w:left w:w="108" w:type="dxa"/>
            <w:bottom w:w="0" w:type="dxa"/>
            <w:right w:w="108" w:type="dxa"/>
          </w:tblCellMar>
        </w:tblPrEx>
        <w:trPr>
          <w:cantSplit/>
        </w:trPr>
        <w:tc>
          <w:tcPr>
            <w:tcW w:w="3887" w:type="dxa"/>
            <w:vAlign w:val="center"/>
          </w:tcPr>
          <w:p w14:paraId="63A311E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学科内容建构</w:t>
            </w:r>
          </w:p>
        </w:tc>
        <w:tc>
          <w:tcPr>
            <w:tcW w:w="5329" w:type="dxa"/>
            <w:vAlign w:val="center"/>
          </w:tcPr>
          <w:p w14:paraId="4DE5E8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92.70</w:t>
            </w:r>
          </w:p>
        </w:tc>
      </w:tr>
      <w:tr w14:paraId="6532856D">
        <w:tblPrEx>
          <w:tblCellMar>
            <w:top w:w="0" w:type="dxa"/>
            <w:left w:w="108" w:type="dxa"/>
            <w:bottom w:w="0" w:type="dxa"/>
            <w:right w:w="108" w:type="dxa"/>
          </w:tblCellMar>
        </w:tblPrEx>
        <w:trPr>
          <w:cantSplit/>
        </w:trPr>
        <w:tc>
          <w:tcPr>
            <w:tcW w:w="3887" w:type="dxa"/>
            <w:vAlign w:val="center"/>
          </w:tcPr>
          <w:p w14:paraId="711EB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认知参与</w:t>
            </w:r>
          </w:p>
        </w:tc>
        <w:tc>
          <w:tcPr>
            <w:tcW w:w="5329" w:type="dxa"/>
            <w:vAlign w:val="center"/>
          </w:tcPr>
          <w:p w14:paraId="0E713E9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89.70</w:t>
            </w:r>
          </w:p>
        </w:tc>
      </w:tr>
      <w:tr w14:paraId="7027AF9B">
        <w:tblPrEx>
          <w:tblCellMar>
            <w:top w:w="0" w:type="dxa"/>
            <w:left w:w="108" w:type="dxa"/>
            <w:bottom w:w="0" w:type="dxa"/>
            <w:right w:w="108" w:type="dxa"/>
          </w:tblCellMar>
        </w:tblPrEx>
        <w:trPr>
          <w:cantSplit/>
        </w:trPr>
        <w:tc>
          <w:tcPr>
            <w:tcW w:w="3887" w:type="dxa"/>
            <w:vAlign w:val="center"/>
          </w:tcPr>
          <w:p w14:paraId="4D1FAD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课堂互动</w:t>
            </w:r>
          </w:p>
        </w:tc>
        <w:tc>
          <w:tcPr>
            <w:tcW w:w="5329" w:type="dxa"/>
            <w:vAlign w:val="center"/>
          </w:tcPr>
          <w:p w14:paraId="4A03CB7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88.70</w:t>
            </w:r>
          </w:p>
        </w:tc>
      </w:tr>
      <w:tr w14:paraId="4070021B">
        <w:tblPrEx>
          <w:tblCellMar>
            <w:top w:w="0" w:type="dxa"/>
            <w:left w:w="108" w:type="dxa"/>
            <w:bottom w:w="0" w:type="dxa"/>
            <w:right w:w="108" w:type="dxa"/>
          </w:tblCellMar>
        </w:tblPrEx>
        <w:trPr>
          <w:cantSplit/>
        </w:trPr>
        <w:tc>
          <w:tcPr>
            <w:tcW w:w="3887" w:type="dxa"/>
            <w:tcBorders>
              <w:bottom w:val="single" w:color="000000" w:sz="8" w:space="0"/>
            </w:tcBorders>
            <w:vAlign w:val="center"/>
          </w:tcPr>
          <w:p w14:paraId="08D827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形成性评价</w:t>
            </w:r>
          </w:p>
        </w:tc>
        <w:tc>
          <w:tcPr>
            <w:tcW w:w="5329" w:type="dxa"/>
            <w:tcBorders>
              <w:bottom w:val="single" w:color="000000" w:sz="8" w:space="0"/>
            </w:tcBorders>
            <w:vAlign w:val="center"/>
          </w:tcPr>
          <w:p w14:paraId="7B4E31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88.40</w:t>
            </w:r>
          </w:p>
        </w:tc>
      </w:tr>
    </w:tbl>
    <w:p w14:paraId="6FD9852B">
      <w:pPr>
        <w:spacing w:line="240" w:lineRule="auto"/>
        <w:ind w:firstLine="0"/>
        <w:jc w:val="left"/>
        <w:rPr>
          <w:rFonts w:hint="eastAsia" w:ascii="宋体" w:hAnsi="宋体" w:eastAsia="宋体" w:cs="宋体"/>
        </w:rPr>
      </w:pPr>
      <w:r>
        <w:rPr>
          <w:rFonts w:hint="eastAsia" w:ascii="宋体" w:hAnsi="宋体" w:eastAsia="宋体" w:cs="宋体"/>
          <w:b w:val="0"/>
          <w:sz w:val="21"/>
        </w:rPr>
        <w:t>注：各维度满分20分，达成度为维度均值与满分之比；本表依据已汇总的评课资料呈现。</w:t>
      </w:r>
    </w:p>
    <w:p w14:paraId="699BDB3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个维度的达成度均超过88%，社会情感支持和学科内容建构相对突出，课堂互动和形成性评价相对较低。这一结构与学生问卷的结果相互呼应：学生在责任担当、合作共情上的积极自评有相应的课堂环境，而互动能否推进理由澄清、反馈能否引发实际修改，仍是课堂中较弱的环节。在6节具有完整认知层级记录的课例中，评价与创造类问题合计约8.6%，高阶任务的机会仍然偏少。教师可以围绕同一核心问题增加判断标准、竞争性解释、反例检验和条件变化等要求，让学生不只给出答案，还能说明为什么采用这一方案、什么证据会改变判断。人工智能记录在这里的作用，是帮助教师找到值得回看的课堂片段。</w:t>
      </w:r>
      <w:r>
        <w:rPr>
          <w:rFonts w:hint="eastAsia" w:ascii="宋体" w:hAnsi="宋体" w:eastAsia="宋体" w:cs="宋体"/>
          <w:b w:val="0"/>
          <w:sz w:val="24"/>
        </w:rPr>
        <w:t xml:space="preserve"/>
      </w:r>
    </w:p>
    <w:p w14:paraId="6B4B6BEF">
      <w:pPr>
        <w:pStyle w:val="4"/>
        <w:keepNext/>
        <w:spacing w:before="280" w:after="280"/>
        <w:ind w:firstLine="0"/>
        <w:rPr>
          <w:rFonts w:hint="eastAsia" w:ascii="宋体" w:hAnsi="宋体" w:eastAsia="宋体" w:cs="宋体"/>
        </w:rPr>
      </w:pPr>
      <w:bookmarkStart w:id="154" w:name="_Toc32683"/>
      <w:r>
        <w:rPr>
          <w:rFonts w:hint="eastAsia" w:ascii="宋体" w:hAnsi="宋体" w:eastAsia="宋体" w:cs="宋体"/>
          <w:b/>
          <w:sz w:val="28"/>
        </w:rPr>
        <w:t xml:space="preserve">5.教师专业行动中的循证调节</w:t>
      </w:r>
      <w:bookmarkEnd w:id="154"/>
    </w:p>
    <w:p w14:paraId="272E5A1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65B239AE">
      <w:pPr>
        <w:pStyle w:val="3"/>
        <w:keepNext/>
        <w:ind w:firstLine="0"/>
        <w:rPr>
          <w:rFonts w:hint="eastAsia" w:ascii="宋体" w:hAnsi="宋体" w:eastAsia="宋体" w:cs="宋体"/>
        </w:rPr>
      </w:pPr>
      <w:bookmarkStart w:id="155" w:name="_Toc11058"/>
      <w:r>
        <w:rPr>
          <w:rFonts w:hint="eastAsia" w:ascii="宋体" w:hAnsi="宋体" w:eastAsia="宋体" w:cs="宋体"/>
          <w:b/>
          <w:sz w:val="28"/>
        </w:rPr>
        <w:t>（四）学科奠基与科创拓展的实践成效</w:t>
      </w:r>
      <w:bookmarkEnd w:id="155"/>
    </w:p>
    <w:p w14:paraId="08D80C60">
      <w:pPr>
        <w:pStyle w:val="4"/>
        <w:keepNext/>
        <w:spacing w:before="280" w:after="280"/>
        <w:ind w:firstLine="0"/>
        <w:rPr>
          <w:rFonts w:hint="eastAsia" w:ascii="宋体" w:hAnsi="宋体" w:eastAsia="宋体" w:cs="宋体"/>
        </w:rPr>
      </w:pPr>
      <w:bookmarkStart w:id="156" w:name="_Toc18219"/>
      <w:r>
        <w:rPr>
          <w:rFonts w:hint="eastAsia" w:ascii="宋体" w:hAnsi="宋体" w:eastAsia="宋体" w:cs="宋体"/>
          <w:b/>
          <w:sz w:val="28"/>
        </w:rPr>
        <w:t xml:space="preserve">1.学科四要素促进任务与评价相互衔接</w:t>
      </w:r>
      <w:bookmarkEnd w:id="156"/>
    </w:p>
    <w:p w14:paraId="33D5D23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使知识、目标、实践与评价指向同一种表现。状物写作依据初稿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8至10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课题能够在其他学科复用的部分。</w:t>
      </w:r>
    </w:p>
    <w:p w14:paraId="586DF5A7">
      <w:pPr>
        <w:pStyle w:val="4"/>
        <w:keepNext/>
        <w:spacing w:before="280" w:after="280"/>
        <w:ind w:firstLine="0"/>
        <w:rPr>
          <w:rFonts w:hint="eastAsia" w:ascii="宋体" w:hAnsi="宋体" w:eastAsia="宋体" w:cs="宋体"/>
        </w:rPr>
      </w:pPr>
      <w:bookmarkStart w:id="157" w:name="_Toc8328"/>
      <w:r>
        <w:rPr>
          <w:rFonts w:hint="eastAsia" w:ascii="宋体" w:hAnsi="宋体" w:eastAsia="宋体" w:cs="宋体"/>
          <w:b/>
          <w:sz w:val="28"/>
        </w:rPr>
        <w:t xml:space="preserve">2.方案要素推动科创从活动参与走向设计与验证</w:t>
      </w:r>
      <w:bookmarkEnd w:id="157"/>
    </w:p>
    <w:p w14:paraId="1D80B32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水足迹”项目呈现了方案由倡议走向有依据行动的过程。学生连续3天记录家庭直接用水并分类汇总，提出双语节水建议；在模拟听证中，同伴追问再利用的水能拿来做什么，教师提示写明淋浴缩短到几分钟，学生据此补写浇花用途、洗漱用水约占40%的依据和时间建议，方案初稿中“每天节水20升”的估算则留待家庭试行记录检验。机械臂项目把空间关系与方法选择拓展到安全、效率和运行条件的权衡。部分小组的初始草图只用一条水平直线连接抓取点和投放点，教师批注指出缺少抬升和空间约束；故障排查单按现象、猜想、验证和修改组织排查，学生调整参数时需要说明依据，教师反馈也要求按先查硬件约束、再修改软件的顺序排查。</w:t>
      </w:r>
    </w:p>
    <w:p w14:paraId="442E88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辅助系统把环境深度信息转换为可以辨识的触觉信号，涉及测距、程序处理、电机编码和佩戴结构。2025年9月18—22日的多障碍物调试中，多目标识别准确率由70%升至75%，响应延迟由0.55秒降至0.38秒，误报率由10%降至5%（见表3-44）；同一份记录也指出，使用者对振动强度分级的辨识仍不明显。项目没有回避这一负面结果，而是把它写进下一轮设计：问题在哪里，依据是什么，准备改什么，再次测试检查什么。三个项目中，知识、证据和行动路径都在方案的提出、质询和修改中成为讨论的对象。</w:t>
      </w:r>
    </w:p>
    <w:p w14:paraId="71DEDE88">
      <w:pPr>
        <w:pStyle w:val="4"/>
        <w:keepNext/>
        <w:spacing w:before="280" w:after="280"/>
        <w:ind w:firstLine="0"/>
        <w:rPr>
          <w:rFonts w:hint="eastAsia" w:ascii="宋体" w:hAnsi="宋体" w:eastAsia="宋体" w:cs="宋体"/>
        </w:rPr>
      </w:pPr>
      <w:bookmarkStart w:id="158" w:name="_Toc12745"/>
      <w:r>
        <w:rPr>
          <w:rFonts w:hint="eastAsia" w:ascii="宋体" w:hAnsi="宋体" w:eastAsia="宋体" w:cs="宋体"/>
          <w:b/>
          <w:sz w:val="28"/>
        </w:rPr>
        <w:t xml:space="preserve">3.项目经验反馈学科理解与方法深化</w:t>
      </w:r>
      <w:bookmarkEnd w:id="158"/>
    </w:p>
    <w:p w14:paraId="3F31DA0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三个科创案例分别呈现了行动方案、工程路径与系统开发三种拓展方式。“水足迹”把统计和语言表达用于真实倡议，机械臂把空间分析用于约束权衡，导盲系统把物理、信息科技与结构设计用于信息转换，共同形成从知识理解、方案论证到实践检验的学习路径。项目中的问题又可以返回学科课堂：个人数据卡中洗漱占35.1%，小组方案写作约40%，两个比例的分母不同，正是统计学习中值得讨论的问题；机械臂故障排查中“先硬件约束、再修改软件”的顺序，也对应着物理和信息科技学习中控制变量、逐项排查的方法。</w:t>
      </w:r>
    </w:p>
    <w:p w14:paraId="35EDF337">
      <w:pPr>
        <w:pStyle w:val="4"/>
        <w:keepNext/>
        <w:spacing w:before="280" w:after="280"/>
        <w:ind w:firstLine="0"/>
        <w:rPr>
          <w:rFonts w:hint="eastAsia" w:ascii="宋体" w:hAnsi="宋体" w:eastAsia="宋体" w:cs="宋体"/>
        </w:rPr>
      </w:pPr>
      <w:bookmarkStart w:id="159" w:name="_Toc30314"/>
      <w:r>
        <w:rPr>
          <w:rFonts w:hint="eastAsia" w:ascii="宋体" w:hAnsi="宋体" w:eastAsia="宋体" w:cs="宋体"/>
          <w:b/>
          <w:sz w:val="28"/>
        </w:rPr>
        <w:t xml:space="preserve">4.学生科创获奖呈现多领域实践与高层级成果</w:t>
      </w:r>
      <w:bookmarkEnd w:id="159"/>
    </w:p>
    <w:p w14:paraId="78FB8F2F">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科创获奖为项目学习成果提供了校外评选层面的补充证据。依据《2023—2025科创获奖情况统计》，按原表“时间（年份）”归属和“总获奖数量”逐行汇总，共有64条奖项记录、539获奖项次，其中国家级48项次、市级224项次、区级267项次。三年均有国家级、市级和区级成果，表明学校科创实践形成了跨年度、多层级的成果积累。</w:t>
      </w:r>
    </w:p>
    <w:p w14:paraId="1A2F1ECB">
      <w:pPr>
        <w:rPr>
          <w:rFonts w:hint="eastAsia" w:ascii="宋体" w:hAnsi="宋体" w:eastAsia="宋体" w:cs="宋体"/>
        </w:rPr>
      </w:pPr>
      <w:r>
        <w:rPr>
          <w:rFonts w:hint="eastAsia" w:ascii="宋体" w:hAnsi="宋体" w:eastAsia="宋体" w:cs="宋体"/>
          <w:b w:val="0"/>
          <w:sz w:val="21"/>
        </w:rPr>
        <w:t xml:space="preserve">表4-3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1A2A7443">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年度分布看，获奖总项次由2023年的285项次变为2024年的100项次、2025年的154项次，未呈连续增长；但市级及以上占比由32.28%提高至71.00%，2025年保持在70.78%。国家级获奖由2024年的1项次增加至2025年的42项次，2025年占当年获奖总项次的27.27%。这一结构表明，在现有统计范围内，后两年成果较多集中于市级及以上评选，2025年在国家级赛事中形成较突出表现，为学校科创拓展域能够支持部分学生形成可展示、可评审的成果提供了外部参照。</w:t>
      </w:r>
    </w:p>
    <w:p w14:paraId="50F530B1">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成果内容看，奖项涉及科技创新、电子设计、人工智能与编程、机器人、研究性学习、气象与生态探究、发明创造等领域。其中，2025年“地球小博士”全国地理科普知识大赛32项次、校园气象科学展评活动5项次、模拟联合国气候变化谈判活动3项次，呈现了地理知识、数据解释、生态议题与交流表达向真实主题实践延伸的多种途径。获奖材料与前后测、作品修订和方案测试来自不同的观察角度，共同构成学生发展、实践过程和外部认可三个方面的证据，也说明科创拓展为学科知识的综合运用和成果交流创造了更广的实践机会。</w:t>
      </w:r>
    </w:p>
    <w:p w14:paraId="5CA5981C">
      <w:pPr>
        <w:pStyle w:val="3"/>
        <w:keepNext/>
        <w:ind w:firstLine="0"/>
        <w:rPr>
          <w:rFonts w:hint="eastAsia" w:ascii="宋体" w:hAnsi="宋体" w:eastAsia="宋体" w:cs="宋体"/>
        </w:rPr>
      </w:pPr>
      <w:bookmarkStart w:id="160" w:name="_Toc3596"/>
      <w:r>
        <w:rPr>
          <w:rFonts w:hint="eastAsia" w:ascii="宋体" w:hAnsi="宋体" w:eastAsia="宋体" w:cs="宋体"/>
          <w:b/>
          <w:sz w:val="28"/>
        </w:rPr>
        <w:t>（五）学校高阶能力培育实践体系的初步形成</w:t>
      </w:r>
      <w:bookmarkEnd w:id="160"/>
    </w:p>
    <w:p w14:paraId="5784036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校探索”的定位决定了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60070CB">
      <w:pPr>
        <w:pStyle w:val="4"/>
        <w:keepNext/>
        <w:spacing w:before="280" w:after="280"/>
        <w:ind w:firstLine="0"/>
        <w:rPr>
          <w:rFonts w:hint="eastAsia" w:ascii="宋体" w:hAnsi="宋体" w:eastAsia="宋体" w:cs="宋体"/>
        </w:rPr>
      </w:pPr>
      <w:bookmarkStart w:id="161" w:name="_Toc27273"/>
      <w:r>
        <w:rPr>
          <w:rFonts w:hint="eastAsia" w:ascii="宋体" w:hAnsi="宋体" w:eastAsia="宋体" w:cs="宋体"/>
          <w:b/>
          <w:sz w:val="28"/>
        </w:rPr>
        <w:t>1.以高阶能力培育为共同议题的校本研修机制</w:t>
      </w:r>
      <w:bookmarkEnd w:id="161"/>
    </w:p>
    <w:p w14:paraId="1A7EC4D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不同学科围绕怎样让高阶能力进入真实学习形成共同研究议题，逐步使用目标、任务、反馈、学习证据和循证调节等概念分析课堂。共同语言有助于跨学科讨论从活动形式走向学习过程。校本研修方案提出教研组“一组一案、一科一策”，教师“一师一问、一课一改”，并结合课堂观察、五维评价和人工智能数据开展会诊，体现课题成果向日常研修组织的转化。</w:t>
      </w:r>
    </w:p>
    <w:p w14:paraId="0811266C">
      <w:pPr>
        <w:pStyle w:val="4"/>
        <w:keepNext/>
        <w:spacing w:before="280" w:after="280"/>
        <w:ind w:firstLine="0"/>
        <w:rPr>
          <w:rFonts w:hint="eastAsia" w:ascii="宋体" w:hAnsi="宋体" w:eastAsia="宋体" w:cs="宋体"/>
        </w:rPr>
      </w:pPr>
      <w:bookmarkStart w:id="162" w:name="_Toc12055"/>
      <w:r>
        <w:rPr>
          <w:rFonts w:hint="eastAsia" w:ascii="宋体" w:hAnsi="宋体" w:eastAsia="宋体" w:cs="宋体"/>
          <w:b/>
          <w:sz w:val="28"/>
        </w:rPr>
        <w:t>2.由经验判断走向证据支持的校本教研</w:t>
      </w:r>
      <w:bookmarkEnd w:id="162"/>
    </w:p>
    <w:p w14:paraId="12372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研究推动教研判断尽可能回到学习材料。专业评价帮助观察支持结构，人工智能记录呈现行为分布，作品与学习单呈现思维和修订，问卷用于观察阶段自评。讨论由教师讲了什么进一步转向学生学到什么、依据是什么、下一轮如何调整。这种做法为专业判断提供可追踪的理由，也避免用课堂气氛或参与次数替代学习质量。</w:t>
      </w:r>
    </w:p>
    <w:p w14:paraId="1D67AABD">
      <w:pPr>
        <w:pStyle w:val="4"/>
        <w:keepNext/>
        <w:spacing w:before="280" w:after="280"/>
        <w:ind w:firstLine="0"/>
        <w:rPr>
          <w:rFonts w:hint="eastAsia" w:ascii="宋体" w:hAnsi="宋体" w:eastAsia="宋体" w:cs="宋体"/>
        </w:rPr>
      </w:pPr>
      <w:bookmarkStart w:id="163" w:name="_Toc18122"/>
      <w:r>
        <w:rPr>
          <w:rFonts w:hint="eastAsia" w:ascii="宋体" w:hAnsi="宋体" w:eastAsia="宋体" w:cs="宋体"/>
          <w:b/>
          <w:sz w:val="28"/>
        </w:rPr>
        <w:t>3.学科教学与科创教育协同推进的实践格局</w:t>
      </w:r>
      <w:bookmarkEnd w:id="163"/>
    </w:p>
    <w:p w14:paraId="084746C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两域实践使学校逐步明确，高阶能力需要在日常学科教学中持续培育，并在真实复杂项目中综合运用。课堂提供稳定的知识与方法练习，科创项目通过更长周期、更多约束与开放结果，要求学生综合调用知识、协作和验证。两域共同服务学生发展，在内容与组织上相互补充，为高阶能力从少数活动走向持续实践提供路径。</w:t>
      </w:r>
    </w:p>
    <w:p w14:paraId="7A8C3C55">
      <w:pPr>
        <w:pStyle w:val="4"/>
        <w:keepNext/>
        <w:spacing w:before="280" w:after="280"/>
        <w:ind w:firstLine="0"/>
        <w:rPr>
          <w:rFonts w:hint="eastAsia" w:ascii="宋体" w:hAnsi="宋体" w:eastAsia="宋体" w:cs="宋体"/>
        </w:rPr>
      </w:pPr>
      <w:bookmarkStart w:id="164" w:name="_Toc13642"/>
      <w:r>
        <w:rPr>
          <w:rFonts w:hint="eastAsia" w:ascii="宋体" w:hAnsi="宋体" w:eastAsia="宋体" w:cs="宋体"/>
          <w:b/>
          <w:sz w:val="28"/>
        </w:rPr>
        <w:t>4.可持续使用的校本研究资源</w:t>
      </w:r>
      <w:bookmarkEnd w:id="164"/>
    </w:p>
    <w:p w14:paraId="44461D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案例、任务单、评价量规、学生作品、课堂记录及项目材料形成了可以复用的资源。这些资源保留了问题、设计、表现、调整和结果之间的联系，教师可以拿来比较和再设计；资源的价值最终体现在研修中的反复调用，以及由此产生的新的实践记录。</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表4-4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 xml:space="preserve">专业评价、人工智能记录、学习单与学生作品共同进入诊断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14:paraId="081C6343">
      <w:pPr>
        <w:pStyle w:val="3"/>
        <w:keepNext/>
        <w:ind w:firstLine="0"/>
        <w:rPr>
          <w:rFonts w:hint="eastAsia" w:ascii="宋体" w:hAnsi="宋体" w:eastAsia="宋体" w:cs="宋体"/>
        </w:rPr>
      </w:pPr>
      <w:bookmarkStart w:id="165" w:name="_Toc22515"/>
      <w:r>
        <w:rPr>
          <w:rFonts w:hint="eastAsia" w:ascii="宋体" w:hAnsi="宋体" w:eastAsia="宋体" w:cs="宋体"/>
          <w:b/>
          <w:sz w:val="28"/>
        </w:rPr>
        <w:t>（六）综合成效与模型完善的证据支持</w:t>
      </w:r>
      <w:bookmarkEnd w:id="165"/>
    </w:p>
    <w:p w14:paraId="719AA5FD">
      <w:pPr>
        <w:pStyle w:val="4"/>
        <w:keepNext/>
        <w:spacing w:before="280" w:after="280"/>
        <w:ind w:firstLine="0"/>
        <w:rPr>
          <w:rFonts w:hint="eastAsia" w:ascii="宋体" w:hAnsi="宋体" w:eastAsia="宋体" w:cs="宋体"/>
        </w:rPr>
      </w:pPr>
      <w:bookmarkStart w:id="166" w:name="_Toc14503"/>
      <w:r>
        <w:rPr>
          <w:rFonts w:hint="eastAsia" w:ascii="宋体" w:hAnsi="宋体" w:eastAsia="宋体" w:cs="宋体"/>
          <w:b/>
          <w:sz w:val="28"/>
        </w:rPr>
        <w:t xml:space="preserve">1.多源证据的相互支持</w:t>
      </w:r>
      <w:bookmarkEnd w:id="166"/>
    </w:p>
    <w:p w14:paraId="1E55D64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教师和学校三个层面的变化相互关联。学生层面，1346组记录显示总体与七维自评均显著提高，文本与案例提供了方法比较、知识联系、合作表达和修订的具体线索；教师层面，163组对应记录的认知、实践、自我效能显著提高，主观阻碍下降，新增题目和开放性回答进一步呈现了方法应用及任务设计的变化；学校层面，模型、评价工具和课例资源进入共同研修议题，为持续改进提供了组织基础。</w:t>
      </w:r>
    </w:p>
    <w:p w14:paraId="6EAB9989">
      <w:pPr>
        <w:pStyle w:val="4"/>
        <w:keepNext/>
        <w:spacing w:before="280" w:after="280"/>
        <w:ind w:firstLine="0"/>
        <w:rPr>
          <w:rFonts w:hint="eastAsia" w:ascii="宋体" w:hAnsi="宋体" w:eastAsia="宋体" w:cs="宋体"/>
        </w:rPr>
      </w:pPr>
      <w:bookmarkStart w:id="167" w:name="_Toc17137"/>
      <w:r>
        <w:rPr>
          <w:rFonts w:hint="eastAsia" w:ascii="宋体" w:hAnsi="宋体" w:eastAsia="宋体" w:cs="宋体"/>
          <w:b/>
          <w:sz w:val="28"/>
        </w:rPr>
        <w:t xml:space="preserve">2.对研究问题的回应</w:t>
      </w:r>
      <w:bookmarkEnd w:id="167"/>
    </w:p>
    <w:p w14:paraId="724E4B9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对四个问题的回答可以归结为一条线索：前测识别出复杂问题分析、方案生成和学习调节方面的需要；五环学习与教师四步把这些需要转化为任务和支持；学科四要素向科创五要素的拓展，为知识方法的综合运用提供了真实条件；学生七维自评的提高、作品水平分布的变化、修订记录和项目测试，则从不同角度呈现了实践带来的变化。最终形成的总模型2.0，把教与学协同、三层学习和学科向科创的拓展放进同一个框架，使学校的实践有了可以持续使用和检验的整体表达。</w:t>
      </w:r>
    </w:p>
    <w:p w14:paraId="2A4E6701">
      <w:pPr>
        <w:pStyle w:val="4"/>
        <w:keepNext/>
        <w:spacing w:before="280" w:after="280"/>
        <w:ind w:firstLine="0"/>
        <w:rPr>
          <w:rFonts w:hint="eastAsia" w:ascii="宋体" w:hAnsi="宋体" w:eastAsia="宋体" w:cs="宋体"/>
        </w:rPr>
      </w:pPr>
      <w:bookmarkStart w:id="168" w:name="_Toc19352"/>
      <w:r>
        <w:rPr>
          <w:rFonts w:hint="eastAsia" w:ascii="宋体" w:hAnsi="宋体" w:eastAsia="宋体" w:cs="宋体"/>
          <w:b/>
          <w:sz w:val="28"/>
        </w:rPr>
        <w:t xml:space="preserve">3.成效结论的适用范围与持续验证</w:t>
      </w:r>
      <w:bookmarkEnd w:id="168"/>
    </w:p>
    <w:p w14:paraId="55AD4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后续还有需要改进的地方。学生前测没有出现5分，后测作答明显向高分集中；教师前后测依据背景信息匹配，后测部分题干和引导语有所调整。这些情况会影响对提升幅度和个体变化的解释。后续施测应保持统一的问卷版本，使用稳定的匿名编号，并保存原始导出记录。</w:t>
      </w:r>
    </w:p>
    <w:p w14:paraId="7482C882">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从课题持续发展的角度看，最值得保留的是一套可以反复使用的专业判断方式：明确希望学生发展什么，观察学生怎样处理任务，依据表达、作品和修订判断支持是否适切，再决定下一步如何调整。当前研究已在模型、工具、课堂实践和校本研修之间建立联系；继续以真实任务表现验证变化，以持续追踪检验稳定性，将有助于把阶段性成果转化为学校日常育人的长期实践。</w:t>
      </w:r>
    </w:p>
    <w:p w14:paraId="363E74B0">
      <w:pPr>
        <w:spacing w:before="0" w:after="0" w:line="360" w:lineRule="auto"/>
        <w:ind w:firstLine="480"/>
        <w:jc w:val="both"/>
        <w:rPr>
          <w:rFonts w:hint="eastAsia" w:ascii="宋体" w:hAnsi="宋体" w:eastAsia="宋体" w:cs="宋体"/>
          <w:b w:val="0"/>
          <w:sz w:val="24"/>
        </w:rPr>
      </w:pP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