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A84B40" w14:textId="77777777" w:rsidR="00221D30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华中科技大学教师教育能力提升工程设备更新项目</w:t>
      </w:r>
      <w:r>
        <w:rPr>
          <w:rFonts w:ascii="黑体" w:eastAsia="黑体" w:hAnsi="黑体"/>
          <w:b/>
          <w:sz w:val="32"/>
          <w:lang w:eastAsia="zh-CN"/>
        </w:rPr>
        <w:br/>
        <w:t>审查意见</w:t>
      </w:r>
    </w:p>
    <w:p w14:paraId="735B9569" w14:textId="77777777" w:rsidR="00221D30" w:rsidRDefault="00000000">
      <w:pPr>
        <w:rPr>
          <w:lang w:eastAsia="zh-CN"/>
        </w:rPr>
      </w:pPr>
      <w:r>
        <w:rPr>
          <w:b/>
          <w:lang w:eastAsia="zh-CN"/>
        </w:rPr>
        <w:t>总体意见：</w:t>
      </w:r>
      <w:r>
        <w:rPr>
          <w:lang w:eastAsia="zh-CN"/>
        </w:rPr>
        <w:t>项目建设方向和总体框架较为合理，能够结合学校理工科优势推进教师教育能力提升。建议进一步从“先进设备配置”转向“未来教师能力发展”来审视建设方案，重点处理技术快速迭代、设备必要性、四个中心协同以及后续运行机制等问题。</w:t>
      </w:r>
    </w:p>
    <w:p w14:paraId="1B7FE212" w14:textId="77777777" w:rsidR="00221D30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一、关注建设周期与人工智能技术快速迭代的适配问题</w:t>
      </w:r>
    </w:p>
    <w:p w14:paraId="141088DC" w14:textId="77777777" w:rsidR="00221D30" w:rsidRDefault="00000000">
      <w:pPr>
        <w:ind w:firstLine="420"/>
        <w:rPr>
          <w:lang w:eastAsia="zh-CN"/>
        </w:rPr>
      </w:pPr>
      <w:r>
        <w:rPr>
          <w:lang w:eastAsia="zh-CN"/>
        </w:rPr>
        <w:t>项目建设周期较长，而人工智能、大模型、多模态分析和沉浸式教学等技术仍处于快速演进阶段。建议区分技术生命周期：相对稳定的实验设备和基础设施可按既定方案建设；AI软件、智能分析系统等快速迭代内容宜采用模块化、开放式、可升级架构，并在正式采购前设置技术复核环节，避免技术方案过早固化。采购时应重点关注开放接口、数据可迁移、模型可替换、软件持续升级和算力扩展能力。</w:t>
      </w:r>
    </w:p>
    <w:p w14:paraId="595F1BDD" w14:textId="414E3A7B" w:rsidR="00221D30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二、</w:t>
      </w:r>
      <w:r w:rsidR="007C4D2E">
        <w:rPr>
          <w:rFonts w:ascii="黑体" w:eastAsia="黑体" w:hAnsi="黑体" w:hint="eastAsia"/>
          <w:b/>
          <w:sz w:val="24"/>
          <w:lang w:eastAsia="zh-CN"/>
        </w:rPr>
        <w:t>需</w:t>
      </w:r>
      <w:r>
        <w:rPr>
          <w:rFonts w:ascii="黑体" w:eastAsia="黑体" w:hAnsi="黑体"/>
          <w:b/>
          <w:sz w:val="24"/>
          <w:lang w:eastAsia="zh-CN"/>
        </w:rPr>
        <w:t>论证部分前沿设备与教师教育的直接关系</w:t>
      </w:r>
    </w:p>
    <w:p w14:paraId="30BCD31D" w14:textId="31C7F3AA" w:rsidR="00221D30" w:rsidRDefault="00000000">
      <w:pPr>
        <w:ind w:firstLine="420"/>
        <w:rPr>
          <w:lang w:eastAsia="zh-CN"/>
        </w:rPr>
      </w:pPr>
      <w:r>
        <w:rPr>
          <w:lang w:eastAsia="zh-CN"/>
        </w:rPr>
        <w:t>设备方案中包含无人机、人形机器人、四足机器人、智能小车等前沿设备。相关设备可以用于STEM和跨学科教学，但仍需进一步回答其对于未来教师培养是否具有足够强的必要性。建议按照“核心必需</w:t>
      </w:r>
      <w:r w:rsidR="000B16EB">
        <w:rPr>
          <w:rFonts w:hint="eastAsia"/>
          <w:lang w:eastAsia="zh-CN"/>
        </w:rPr>
        <w:t>、</w:t>
      </w:r>
      <w:r>
        <w:rPr>
          <w:lang w:eastAsia="zh-CN"/>
        </w:rPr>
        <w:t>重要支撑</w:t>
      </w:r>
      <w:r w:rsidR="000B16EB">
        <w:rPr>
          <w:rFonts w:hint="eastAsia"/>
          <w:lang w:eastAsia="zh-CN"/>
        </w:rPr>
        <w:t>、</w:t>
      </w:r>
      <w:r>
        <w:rPr>
          <w:lang w:eastAsia="zh-CN"/>
        </w:rPr>
        <w:t>前沿探索”对设备进行分类，对展示性较强、使用对象较窄或可由通用设备替代的项目审慎配置，优先保障高频、基础和长期使用的教师教育设施。</w:t>
      </w:r>
    </w:p>
    <w:p w14:paraId="56FBD39B" w14:textId="77777777" w:rsidR="00221D30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三、进一步明确四个中心的功能边界与协同关系</w:t>
      </w:r>
    </w:p>
    <w:p w14:paraId="15F1B382" w14:textId="77777777" w:rsidR="00221D30" w:rsidRDefault="00000000">
      <w:pPr>
        <w:ind w:firstLine="420"/>
        <w:rPr>
          <w:lang w:eastAsia="zh-CN"/>
        </w:rPr>
      </w:pPr>
      <w:r>
        <w:rPr>
          <w:lang w:eastAsia="zh-CN"/>
        </w:rPr>
        <w:t>未来教师学科实验中心、未来教师技能实训中心、STEM教育中心和未来教师智慧教育中心之间存在一定功能交叉，尤其是技能实训中心与智慧教育中心均涉及人工智能、课堂分析和教学评价。建议从教师能力发展链重新明确四个中心的分工：学科实验突出学科教学转化，STEM突出跨学科问题解决，技能实训突出课堂实施与互动，智慧教育突出AI与数据支持下的设计、评价、诊断和改进，并设计跨中心共享课程与综合实训场景。</w:t>
      </w:r>
    </w:p>
    <w:p w14:paraId="74803FAA" w14:textId="77777777" w:rsidR="00221D30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四、强化面向AI时代的未来教师能力培养</w:t>
      </w:r>
    </w:p>
    <w:p w14:paraId="77175ADC" w14:textId="77777777" w:rsidR="00221D30" w:rsidRDefault="00000000">
      <w:pPr>
        <w:ind w:firstLine="420"/>
        <w:rPr>
          <w:lang w:eastAsia="zh-CN"/>
        </w:rPr>
      </w:pPr>
      <w:r>
        <w:rPr>
          <w:lang w:eastAsia="zh-CN"/>
        </w:rPr>
        <w:t>智慧教育中心不宜主要停留在智慧教室、数据采集、虚拟仿真和课堂行为分析层面。建议围绕未来教师真实工作流程设计建设内容，覆盖AI辅助备课与课程设计、教学资源生成与甄别、人机协同课堂、形成性评价与学情分析、AI辅助教研、教师专业判断以及AI伦理与数据治理，使技术建设更加直接服务于未来教师核心能力。</w:t>
      </w:r>
    </w:p>
    <w:p w14:paraId="56059EBC" w14:textId="77777777" w:rsidR="00221D30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五、强化“软建设”与设备建设的同步推进</w:t>
      </w:r>
    </w:p>
    <w:p w14:paraId="30A77308" w14:textId="77777777" w:rsidR="00221D30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项目能否持续发挥作用，关键取决于课程、师资、教学场景和运行机制。建议进一步强化“课程—教师—场景—设备”的对应关系，大额设备原则上应明确对应课程或实训模块、年度使用对象、负责团队、典型教学任务及预期学习成果。同时明确设备和软件的持续更新、技术维护、课程开发以及向中小学教学实践转化的责任机制，避免出现设备建成后使用不足的问题。</w:t>
      </w:r>
    </w:p>
    <w:p w14:paraId="25190BDF" w14:textId="77777777" w:rsidR="007C4D2E" w:rsidRDefault="007C4D2E">
      <w:pPr>
        <w:rPr>
          <w:rFonts w:ascii="黑体" w:eastAsia="黑体" w:hAnsi="黑体"/>
          <w:b/>
          <w:sz w:val="24"/>
          <w:lang w:eastAsia="zh-CN"/>
        </w:rPr>
      </w:pPr>
    </w:p>
    <w:p w14:paraId="22F4C07E" w14:textId="1004D982" w:rsidR="00221D30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建议重点关注的核心问题</w:t>
      </w:r>
    </w:p>
    <w:p w14:paraId="2289594C" w14:textId="4F3FE73E" w:rsidR="00221D30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 w:rsidR="000F178E">
        <w:rPr>
          <w:rFonts w:hint="eastAsia"/>
          <w:lang w:eastAsia="zh-CN"/>
        </w:rPr>
        <w:t>长</w:t>
      </w:r>
      <w:r>
        <w:rPr>
          <w:lang w:eastAsia="zh-CN"/>
        </w:rPr>
        <w:t>建设周期下，AI类技术和设备如何保证建成后仍具有先进性和可升级性？</w:t>
      </w:r>
    </w:p>
    <w:p w14:paraId="0A3382F1" w14:textId="77777777" w:rsidR="00221D30" w:rsidRDefault="00000000">
      <w:pPr>
        <w:rPr>
          <w:lang w:eastAsia="zh-CN"/>
        </w:rPr>
      </w:pPr>
      <w:r>
        <w:rPr>
          <w:lang w:eastAsia="zh-CN"/>
        </w:rPr>
        <w:t>2. 部分高技术设备是否属于教师教育的核心需要，其预期使用频率和不可替代性是否充分？</w:t>
      </w:r>
    </w:p>
    <w:p w14:paraId="75331237" w14:textId="77777777" w:rsidR="00221D30" w:rsidRDefault="00000000">
      <w:pPr>
        <w:rPr>
          <w:lang w:eastAsia="zh-CN"/>
        </w:rPr>
      </w:pPr>
      <w:r>
        <w:rPr>
          <w:lang w:eastAsia="zh-CN"/>
        </w:rPr>
        <w:t>3. 四个中心如何形成一体化的教师能力培养体系，而非相对独立的设备和空间建设？</w:t>
      </w:r>
    </w:p>
    <w:p w14:paraId="434ED0CD" w14:textId="77777777" w:rsidR="00221D30" w:rsidRDefault="00000000">
      <w:pPr>
        <w:rPr>
          <w:lang w:eastAsia="zh-CN"/>
        </w:rPr>
      </w:pPr>
      <w:r>
        <w:rPr>
          <w:lang w:eastAsia="zh-CN"/>
        </w:rPr>
        <w:t>4. 项目建成后，课程、师资、技术维护和持续更新机制能否支撑设备长期有效运行？</w:t>
      </w:r>
    </w:p>
    <w:sectPr w:rsidR="00221D30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018320">
    <w:abstractNumId w:val="8"/>
  </w:num>
  <w:num w:numId="2" w16cid:durableId="112677969">
    <w:abstractNumId w:val="6"/>
  </w:num>
  <w:num w:numId="3" w16cid:durableId="1304579288">
    <w:abstractNumId w:val="5"/>
  </w:num>
  <w:num w:numId="4" w16cid:durableId="951743518">
    <w:abstractNumId w:val="4"/>
  </w:num>
  <w:num w:numId="5" w16cid:durableId="737678565">
    <w:abstractNumId w:val="7"/>
  </w:num>
  <w:num w:numId="6" w16cid:durableId="1528133877">
    <w:abstractNumId w:val="3"/>
  </w:num>
  <w:num w:numId="7" w16cid:durableId="778448584">
    <w:abstractNumId w:val="2"/>
  </w:num>
  <w:num w:numId="8" w16cid:durableId="1367632805">
    <w:abstractNumId w:val="1"/>
  </w:num>
  <w:num w:numId="9" w16cid:durableId="13212351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6EB"/>
    <w:rsid w:val="000F178E"/>
    <w:rsid w:val="0015074B"/>
    <w:rsid w:val="00221D30"/>
    <w:rsid w:val="0029639D"/>
    <w:rsid w:val="00326F90"/>
    <w:rsid w:val="007C4D2E"/>
    <w:rsid w:val="00AA1D8D"/>
    <w:rsid w:val="00B47730"/>
    <w:rsid w:val="00CB0664"/>
    <w:rsid w:val="00E448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81698"/>
  <w14:defaultImageDpi w14:val="300"/>
  <w15:docId w15:val="{F9D453E8-F0E8-5347-BD99-1884A126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48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H98376@365mak.com</cp:lastModifiedBy>
  <cp:revision>4</cp:revision>
  <dcterms:created xsi:type="dcterms:W3CDTF">2013-12-23T23:15:00Z</dcterms:created>
  <dcterms:modified xsi:type="dcterms:W3CDTF">2026-09-11T01:28:00Z</dcterms:modified>
  <cp:category/>
</cp:coreProperties>
</file>