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w:t>
      </w:r>
      <w:r w:rsidRPr="00BF4EC4">
        <w:rPr>
          <w:rFonts w:ascii="Times New Roman" w:eastAsia="宋体" w:hAnsi="Times New Roman" w:cs="Times New Roman"/>
          <w:color w:val="000000"/>
          <w:kern w:val="0"/>
          <w:sz w:val="24"/>
        </w:rPr>
        <w:lastRenderedPageBreak/>
        <w:t xml:space="preserve"/>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实践层面把可见的学习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r w:rsidRPr="00BF4EC4">
        <w:rPr>
          <w:rFonts w:ascii="Times New Roman" w:eastAsia="宋体" w:hAnsi="Times New Roman" w:cs="Times New Roman"/>
          <w:b/>
          <w:bCs/>
          <w:color w:val="000000"/>
          <w:sz w:val="30"/>
          <w:szCs w:val="30"/>
        </w:rPr>
        <w:t>二、文献综述与概念界定</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篇作为国内文献分析样本。综述围绕高阶能力与高阶思维、社会情感能力和可见的学习三个核心概念展开，先梳理已有界定和研究结论，再据此界定中学生高阶能力的内涵与构成要素。</w:t>
      </w:r>
      <w:r w:rsidRPr="00BF4EC4">
        <w:rPr>
          <w:rFonts w:ascii="Times New Roman" w:eastAsia="宋体" w:hAnsi="Times New Roman" w:cs="Times New Roman"/>
          <w:color w:val="000000"/>
          <w:kern w:val="0"/>
          <w:sz w:val="24"/>
        </w:rPr>
        <w:lastRenderedPageBreak/>
        <w:t xml:space="preserve"/>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高阶能力的提出与研究线索</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高阶能力是相对于记忆、复述和套用程序等低阶能力提出的，指学生在复杂、开放、没有固定解法的任务中综合运用知识、作出判断并解决问题的能力。国内研究多结合核心素养改革讨论高阶能力。</w:t>
      </w:r>
      <w:r w:rsidRPr="00BF4EC4">
        <w:rPr>
          <w:rFonts w:ascii="Times New Roman" w:eastAsia="宋体" w:hAnsi="Times New Roman" w:cs="Times New Roman"/>
          <w:color w:val="000000"/>
          <w:kern w:val="0"/>
          <w:sz w:val="24"/>
        </w:rPr>
        <w:t xml:space="preserve">已有研究对高阶能力构成的讨论主要沿两条线索展开。一条是认知线索，以高阶思维为核心，关注分析、评价和创造，以及批判性思维和创造力等成分；另一条是社会情感线索，关注学生完成复杂任务时所需的责任、情绪调节、合作和开放。两条线索各自有关于内涵、培养和评价的研究，可见的学习则为二者提供了把能力转化为可观察表现的机制。</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（1）高阶思维的内涵与构成</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高阶思维最常见的含义来自布卢姆（Benjamin Bloom）教育目标分类修订版中的较高认知层次。洛林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。分析、评价和创造三个层次由此成为高阶思维最常用的操作性含义。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高阶思维也是一种需要自我调节的复杂思维过程，由多个成分共同构成。劳伦·瑞斯尼克（Lauren B. Resnick）把</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。国内研究同样强调过程，以新旧知识关系的建立为核心，提出由问题情境分析、新旧知识关系建立、多维信息综合、创新性知识生成以及思维过程监控与调节构成的五成分框架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元认知是贯穿高阶思维各成分的调节机制。约翰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弗拉维尔（John H. Flavell）把元认知界定为关于认知的认知，包括对自身认知特点、任务性质和策略有效性的认识，以及在计划、监控和评估中对思维过程的调节</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分析、评价和创造都离不开这种调节，学生要判断自己是否抓住了问题的关键，检查推理是否有依据，并在方案出现问题时调整思路。问题解决更是如此，面对没有现成解法的任务，学生需要先表征问题、分析条件，再在多条路径中选择和修正。元认知因此是高阶思维的组成部分，而不只是外在的辅助条件。</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对高阶思维的界定大体有三种取向。认知层级取向以布卢姆分类修订版为代表，把分析、评价和创造视为较高的认知层次；过程取向以瑞斯尼克为代表，强调非算法性、心智努力和自我调节；成分取向以批判性思维和创造力为核心，并把元认知和问题解决纳入其中。三种取向都把分析、评价和创造作为高阶思维的核心操作，也都认为元认知和问题解决贯穿其中。</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（2）批判性思维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批判性思维是高阶思维中研究最多的成分之一，指向依据理由作出判断。彼得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完整的批判性思维还包括思维倾向、领域知识和认识论理解，中学阶段是培养这类能力的有利时期。罗伯特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恩尼斯（Robert Ennis）把批判性思维界定为决定相信什么或做什么时所进行的合理、反思性思维，后续研究普遍认为，完整的批判性思维包括技能、倾向以及使判断成立的领域知识，评价动作只有放回具体学科和情境才能判断其质量</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Kuhn）等指出，学生只有认识到知识虽由人建构、却可以依据证据区分优劣，才会主动用证据比较不同观点</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。一项综合26项干预研究、4373名学生的元分析发现，认识论认知干预对论证表现的效应达d＝1.047，中小学学生的获益（d＝0.606）约为大学生（d＝0.309）的两倍</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（3）创造力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创造力是高阶思维中生成新想法和新方案的成分，同样可以通过教学提升。马克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朗科（Mark A. Runco）等把创造力界定为在特定情境中生成既新颖又适切的观念、方案或产品的能力</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。一项综合29项大学生实验与准实验研究、109个效应量的元分析中，创造力训练的平均效应为g＝0.628，两个月以内的中短期训练效果最好</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不只是想出更多点子，还包括对想法的评价和改进。经合组织在2022年国际学生评估项目中首次测评创造性思维，把它界定为产生多样想法、产生有创意的想法以及评价和改进想法三方面的能力，关注义务教育阶段人人都可以发展的日常创造力，测评情境涵盖书面表达、视觉表达、社会问题解决和科学问题解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。二阶元分析显示，发散思维与创造力指标的综合相关为r＝0.14，包含问题发现、酝酿和灵活整合的整体创造过程则为r＝0.27</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，单靠发散训练难以解释创造性表现。中学生的创造因此应当既包括提出新方案，也包括依据任务条件比较、筛选和改进方案。</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（4）高阶思维的培养</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不会随知识难度提高而自然形成，需要在教学中有意培养。首先要把它列为明确的教学目标。恩尼斯按思维教学与学科内容的关系，把批判性思维课程分为独立设课的通用模式、在学科中显性教授的融入模式、在学科中隐性渗透的沉浸模式，以及独立显性教学与学科融入相结合的混合模式。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按这一分类编码，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其次要让思考外显并接受同伴检验。一项涵盖15项元分析、403项原始研究的二阶元分析显示，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图形组织器也有类似作用。在汇总66项研究、72个效应量的元分析中，图形组织器对高阶思维的总体效应为g＝0.778，其中思维导图最强（g＝1.041），概念图结构复杂、绘制负担重，效应较弱（g＝0.548）；它对思维倾向（g＝0.945）和思维过程（g＝0.912）的促进，明显强于对终结性技能测验（g＝0.560）的促进</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再次是给予适度的教学指导。有研究综合受控实验、跨国大规模测评和长周期课程项目三类证据，发现有指导的探究在概念理解和知识迁移上总体优于直接讲授，也优于无指导的发现学习；过程约束、启发提示、过程反馈和适时讲解都能起到指导作用，先备知识薄弱的学生获益更多</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。指导也要适度，同时提供多种相互重叠的外部支架不会产生叠加效应，反而可能增加无关认知负荷</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元认知策略同样可以通过教学培养。在显性讲授计划、监控和自评策略的准实验研究中，学生的创造性问题解决表现和元认知意识都有明显提高</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；英国教育捐赠基金会的教学工具包把元认知与自我调节列为平均额外进步8个月的策略，在所列策略中进步月数最高</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。教师示范如何拆解任务、检查推理、回看目标，并让学生在任务结束后说明自己用了什么方法、哪里需要调整，能够把外部支架逐步转化为学生自己的调节能力。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任务本身的要求决定学生会开展什么样的思维活动。约翰·比格斯（John Biggs）比较了讲授与问题本位学习中两类学生的投入：学术取向强的学生在讲授中也会自发地联系、应用和推论，学术取向弱的学生则可能只记录和背诵；问题本位学习要求每个学生提问、推测、提出方案并检验解释，两类学生的认知投入差距随之缩小</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。设计有认知挑战的任务，因而不只是为少数学生提供拓展，也是让更多学生开展高阶思维活动的条件。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教学与评价发出的信号同样影响学生的学习取向。比格斯还观察到</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培养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（5）高阶思维的评价</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思维需要同时考查技能和倾向，并判断学生表现达到的结构水平。一项在澳大利亚开设知识论课程的学校开展的调查（1338名11—12年级学生）同时使用思维策略量表和思维倾向量表，前者考查学生界定问题、分析论证、搜寻对立证据和控制主张范围的策略，后者考查求真、开放、探究和判断成熟度等倾向</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SOLO）按学生回答的结构复杂程度，把理解分为前结构、单点结构、多点结构、关联结构和拓展抽象五个层次，后两个层次对应整合多方面信息并迁移到新问题的能力，可作为判断思维质量的表现性参照</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评价还要区分术语使用和真实的判断，这正是教师感到最难的地方。对知识论课程评分的分析发现，评分标准依赖特定分析术语时，学生可以靠罗列术语、套用反思句式得分</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。一项覆盖111个国家960名知识论任课教师和585名协调员的调查中，评估学生批判性思维的进步被视为最难的工作，探究性思维没有标准答案，学生却习惯索要确定的分数</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。成功标准因此要描述判断的质量，即学生是否比较了不同来源的证据、是否说明了判断标准，而不是是否用上了某些术语。</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评价还需要综合多种证据。前述创造力与批判性思维的元分析中，二者都用自陈量表测量时相关为r＝0.509，都用任务表现测量时为r＝0.317，共享测量方法会放大构念之间的关联，单靠问卷容易高估能力之间的一致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。课堂观察可以补充问卷的不足。世界银行的Teach课堂观察工具把批判性思维拆成三项可观察的行为，即教师提出开放性问题、教师布置需要思考的任务、学生在课堂上提出问题或说明推理依据</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。高阶思维评价因此需要把自评、作品和课堂表现结合起来，并分别说明各类证据的含义。</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高阶社会情感能力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（1）社会情感能力的内涵与框架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完成复杂任务还需要学生承担责任、管理情绪、与人协作，社会情感能力因此构成高阶能力的另一部分。经济合作与发展组织（Organisation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与情感能力调查和社会情感学习协作组织的框架划分方式不同，但都包含责任与任务管理、情绪调节、人际协作与理解他人等领域，社会与情感能力调查还单列了开放能力。两套框架描述的是一般意义上的社会情感能力，没有区分这些能力在简单任务和复杂任务中的不同要求。高阶能力研究关注的恰是复杂任务，需要从中选取与复杂学习直接相关的领域，并说明它们在不同复杂程度情境中的表现差异。</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开放能力与本课题所说的包容创新关系最直接。认识论研究把思想开放界定为面对分歧或挑战性证据时，能够公允地生成和审视替代观点，并依据更合理的理由修正原有立场的理智品格，它既需要多角度思考的技能，也需要求真的动机；引导学生对同一问题提出不止一种答案并说明各自的理由，是训练这种品格的可行做法</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（2）社会情感能力的发展与培养</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中国学生的测评数据表明，社会情感能力进入中学后不会随年龄自然增长，需要学校有意识地培养。在社会与情感能力调查的第二轮中国测评中，济南市15岁组学生在全部16项社会与情感能力上的得分都低于10岁组</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。基于苏州数据的分报告显示，交往能力受同伴关系、教师和学校因素影响，学校环境可以为这些能力的发展提供条件</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社会情感能力可以通过学校教育培养。一项涵盖213项校本普适性项目、27万余名学生的元分析显示，系统实施社会情感学习后，学生的社会情感技能、日常行为和学业成绩都有改善，学业成绩平均提高11个百分位</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；由学校教职员实施的项目同样有效，做到循序渐进、主动练习、专门聚焦和目标明确（Sequenced, Active, Focused, Explicit, SAFE）的项目效果更好</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社会情感能力也可以在学科任务中发展。阿尔伯特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班杜拉（Albert Bandura）的社会认知理论认为，亲身经历的成功是自我效能感最可靠的来源</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。有研究指出，在有支架的探究中，学生提出假设、设计实验并克服困难，在学习兴趣和自我效能感上的收获是直接讲授难以替代的</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；合作学习对学生情感与行为的效应为0.51</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。让学生在有挑战的学科任务中承担分工、面对挫折、协商分歧，本身就是培养责任担当、情绪调节和合作共情的途径，这与独立开设社会情感课程相比，更容易和高阶思维的培养结合起来。</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中的自我调节与高阶思维相互支撑。自我调节学习要求学生设定目标、选择策略、监控进展并依据反馈调整，这一过程同时包含认知、动机和情绪的调节。综合29项生成式人工智能教学实验与准实验研究的元分析发现，自我调节能力较强的学生能主动规划和检验，在高阶思维上获益明显，自我调节能力较弱的学生则容易直接照搬现成答案；研究者也指出，持续参与复杂、多视角的探究任务，反过来会锻炼学生的自我调节能力</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。高阶思维与社会情感能力因此并非两条平行的线索，而是在同一任务中相互支撑。</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可见的学习</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可见的学习的核心主张是让教师看见自身教学对学生学习的影响，其证据基础是对大量元分析的综合。新西兰学者约翰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Hattie）的统计基础可以追溯到对134项元分析、两万余个效应量的综合，这次综合确立了约0.40个标准差的平均效应，作为比较不同教育干预相对效果的参照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这里的效应量指标准化均值差，即用干预组与对照组的平均分之差除以两组的合并标准差，把不同研究的结果换算到同一尺度上</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，见式（2-1）。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（2-1）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式中，M和s分别为各组的平均分和标准差，n为各组人数。样本较小时d会略为高估，拉里·赫奇斯（Larry V. Hedges）因此引入校正系数J，得到g＝J×d，其中J≈1－3/（4N－9），N为两组总人数，文献中报告的g即属这一类</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。判断效应量的大小通常有三种参照。科恩把0.2、0.5、0.8作为小、中、大效应的经验界线</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哈蒂以各类教育影响的平均效应0.40作为参照，d＝0.40表示干预组的平均水平比对照组高出0.4个标准差，在正态分布下，干预组的平均分高于对照组约66%的学生；对3426个以标准化学业测验为结果的教育随机对照试验的汇总显示，效应量中位数只有0.10，约36%小于0.05</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，同一个0.40放在真实课堂干预中已属较大的效果。</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进一步说明了教师怎样才能看见自身的影响。他列出教师发挥影响的六个关键条件及其效应量，即把自身角色理解为评价影响（0.91）、与同事共同评价影响（0.91）、了解学生的先前学习（0.85）、在开始时明确成功标准（0.77）、平衡表层与深层学习（0.71），以及设置适当挑战而不满足于“尽力而为”（0.57）</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。这些条件都指向同一件事，即教师依据学生学习的证据判断和调整教学。</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把教师视为改进学习的关键。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asTTle），以课程锚定的诊断性测评告诉教师学生目前达到的水平</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（2）国内研究的解读与转化</w:t>
      </w:r>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由引介逐步走向本土转化，面向课堂的应用研究越来越多。引介工作以华东师范大学彭正梅团队为主。该团队是可见的学习系列著作在国内的主要译者，由彭正梅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此后扩展到学习科学基础、反馈评价和教师心智框架。近年来，研究重心转向学科教学和项目化学习中的应用。2025年《上海教育》第26期以专题形式刊发14篇文章，其中多篇由高校研究者与中小学教师合作撰写，讨论成功标准、反馈以及表层、深层和迁移学习如何用于学科课堂和项目设计。</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从教学论角度解读这一理论，强调教师在具体情境中组织教学条件的作用。彭正梅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。团队成员还沿用哈蒂与克劳斯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。该团队也比较了哈蒂的元分析证据与经合组织的国际学生评估项目（Programme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在课堂层面，可见的学习的各项主张可以按反馈三问组织起来。学习意图与成功标准回答学习要到达哪里；表层、深层与迁移学习描述学生由理解知识走向迁移运用的路径，是判断学生当前位置的参照；反馈与形成性评价回答当前处于什么位置、下一步如何推进；教师的诊断、干预、实施与评估，则是教师依据这些证据调整教学的循环。</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（3）学习意图与成功标准</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学习意图与成功标准是形成性评价的起点。罗伊斯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萨德勒（D. Royce Sadler）指出，学生要改进自己的表现，需要对目标质量有与教师相近的认识，能把当前表现与目标加以比较，并采取行动缩小差距</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。迪伦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威廉（Dylan Wiliam）和马妮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汤普森（Marnie Thompson）据此提出形成性评价的五项关键策略，第一项就是澄清、理解和分享学习意图与成功标准，其余四项依次为组织能够引出学习证据的讨论与任务、提供推动学习前进的反馈、让学生成为彼此的学习资源、让学生成为自己学习的主人</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。学习意图与成功标准为后面的反馈、互评和自评提供了共同的参照。</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清晰的学习意图和成功标准，能把学生的注意力从完成任务引向达成理解。学习意图说明学生需要理解和掌握什么。哈蒂注意到，许多学生并不了解任务背后的学习目的，常把篇幅长、字迹工整、没有拼写错误当作优秀的标准</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；教师与学生共同解读学习意图之后，学生更能区分完成任务和理解概念，把注意力放到概念之间的联系和因果推理上</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。成功标准说明达成目标需要哪些证据，它同样要指向理解的质量。哈蒂以历史单元为例指出，要求学生说明原因、过程和结果之间联系的标准，能把学生从罗列史实引向因果解释</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成功标准只有被学生用起来，才能起到作用。在海蒂</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安德雷德（Heidi L. Andrade）等对3至7年级268名学生的研究中，实验班学生先阅读并讨论范文，列出好作品具备的特征，再拿到评价量规，在初稿中标出与量规对应的证据并据此自评</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。一项综合23项研究的元分析显示，评价量规对学业表现的效应为g＝0.57，校正发表偏倚后约为0.45，在高中阶段的效应大于小学和初中</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。课堂上的实际使用并不总能达到这种程度。黑兹尔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克赖顿（Hazel Crichton）和安</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麦克戴德（Ann McDaid）发现，师生都认为学习意图和成功标准有用，课堂上却很少真正讨论，一些学生觉得它们只是走过场</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 xml:space="preserve">。成功标准因此需要配合样例解读、学生自评和同伴互评，才能成为学生判断自身学习的工具。</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（4）表层学习、深层学习与迁移学习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表层与深层的区分最早来自阅读研究。面向可能考题阅读的学生把文本拆成零散细节，面向理解阅读的学生则把细节放回作者的整体论证中。约翰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据此把表层方式界定为与任务要求不相称的低阶活动，把深层方式界定为足以完成任务、获得相应理解的活动；二者描述的是学生在具体任务中的活动方式，不是学生的固定类型，教学可以通过提高任务要求，让原本只记录和背诵的学生也去提问、联系和应用</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在此基础上把学习分为表层、深层和迁移三类，并主张教学要依据学生所处的层次安排任务。表层知识是深层理解的起点，关键在于事实性知识是学习的终点，还是建立联系、解释和迁移的基础；学生缺乏必要知识时就开展问题本位学习，容易添加无关材料并保留推理错误</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。他在访谈中提到，许多学校在学生尚未掌握基础概念时就引入自主探究，这是问题本位学习效果偏低的重要原因</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。他把平衡表层与深层学习列为教师发挥影响的关键条件之一（d＝0.71）</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这一模型用于高阶能力的培养，强调教师要适时推动学生由表层走向深层和迁移。彭正梅团队指出，基础知识和技能经刻意练习达到自动化，有助于减少认知负荷，但停留于训练和考试会使学生难以进入深层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 xml:space="preserve">。沈勍等结合安德斯·艾利克森</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沈勍等还把这一模型具体化为语文议论文、数学函数和科学生态系统的教学设计，强调教师要判断学生所处的学习阶段，避免在基础不足时过早提高要求，也避免在学生已形成深层理解后继续重复表层练习</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（5）反馈与形成性评价</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反馈要回答学生学到哪里、下一步怎么做，它在师生之间双向流动，并需要被学生理解和使用。哈蒂与海伦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 xml:space="preserve">。反馈也是双向的，学生的作业、提问和错误同样是教师判断教学效果的信息来源</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 xml:space="preserve">。教师需要这类信息，是因为单凭自身感觉难以准确把握课堂。新西兰学者格雷厄姆·纳托尔（Graham Nuthall）多年的课堂观察发现，教师看不到也听不到课堂上约八成的事情；哈蒂团队向七八千名教师展示其课堂话语转录后，教师原以为自己只讲了两三成时间，实际却占七到八成</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反馈的作用取决于它把学生的注意力引向哪里。阿夫拉罕</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克鲁格（Avraham N. Kluger）和安杰洛</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德尼西（Angelo DeNisi）的元分析显示，反馈干预总体上能提高表现（d＝0.41），但效果差异很大</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 xml:space="preserve">。他们提出的反馈干预理论认为，反馈把注意力引向任务和学习策略时有助于表现，引向自我和与他人比较时则会削弱表现。反馈三问强调任务、过程和自我调节层面，原因正在于此。</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形成性评价把反馈组织进日常教学。保罗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布莱克（Paul Black）和迪伦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威廉（Dylan Wiliam）的综述把形成性评价理解为收集学生学习的证据，并用它来调整教与学</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 xml:space="preserve">。经合组织对各国评价政策与实践的梳理指出，只给评语时学生更关注任务本身，给分数或分数加评语时注意力会转向自我，过早给出终结性分数会使学生回避智识风险，低利害的多轮练习、修订和描述性反馈更有利于批判性思维和创造力的发展</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 xml:space="preserve">。哈蒂也强调，形成性评价的作用在于教师把学生没有掌握的内容看作对自身教学的反馈</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 xml:space="preserve">。可见的学习元分析数据库中，形成性评价的效应量为0.39</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彭正梅团队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 xml:space="preserve">。杭州闻涛中学的实践记录了师生共同制订和优化成功标准的做法，生长式评价量表成为学生的学习支架，教师的元认知示范与学校领导组织的协作式专业对话共同支持了学生自评能力的发展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（6）教师的诊断、干预、实施与评估</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依据学生的学习证据诊断、干预和评估，是可见的学习落实到教学中的方式。哈蒂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 xml:space="preserve">。他还把教师的工作概括为诊断、干预和评估，即诊断学生进入课堂时的状态，准备多种干预方式，再评价学生对干预的反应</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哈蒂等在《以设计实现卓越教学》一书中，把这一过程系统化为诊断与发现、干预、实施和评估四个阶段，用以引导教师从教学意图走向课堂实施</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 xml:space="preserve">。与早期的诊断—干预—评估相比，单列的实施阶段强调干预要在课堂中真正落实，评估结果又成为下一轮诊断的起点，教师的调整由此形成循环。</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 xml:space="preserve">高阶能力与可见的学习的连接点</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的可见性同样需要专门设计。可见的学习的大量研究以学业成就为结果，较少讨论责任承担、情绪调节和合作等表现如何被看见；社会情感学习的研究则多采用问卷测量，较少说明这些能力在课堂任务中的具体表现。把社会情感能力纳入可见的学习框架，需要为它设定可观察的成功标准，例如学生能否在分工中按时完成自己的部分、在方案失败后继续调整、在分歧中复述对方观点并给出回应，并在常规任务和复杂任务中分别观察。</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描述高阶能力发展水平的参照。高阶思维研究提供了布卢姆分类修订版的认知层级和学习结果结构分类的结构层级，前者描述学习任务对认知加工提出的要求，后者描述学生实际表现所达到的结构水平，二者结合使用，可以在任务设计和表现判断两个环节为判断高阶能力的发展水平提供参照。现有测评研究揭示了社会情感能力随年龄和情境变化的特点，但适用于课堂观察的发展水平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发展水平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在研究情境上，创造力训练、生成式人工智能与高阶思维等方面的元分析多以大学生为对象，面向中学生的证据相对较少；一所中学在多个学科和科创项目中持续开展、多轮改进的研究也较为缺乏，学校层面如何把能力目标、课堂实践和教师研修连接起来，缺少具体经验。</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下文据此界定中学生高阶能力的内涵与构成要素。</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中学生高阶能力的内涵与构成要素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述文献为界定中学生高阶能力提供了三点依据。一是高阶思维的已有界定都以分析、评价和创造为核心操作，元认知和问题解决贯穿其中；二是社会情感能力的主要框架都包含责任与任务管理、情绪调节、人际协作与理解他人等领域，但没有区分简单任务和复杂任务中的不同要求；三是可见的学习要求把能力目标转化为学生能理解、教师能观察的表现。课题组据此界定中学生高阶能力的内涵，区分高阶思维能力和高阶社会情感能力两类构成要素，并把这一界定直接作为学生问卷测评维度的依据。</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 xml:space="preserve">1.中学生高阶能力的内涵</w:t>
      </w:r>
      <w:r w:rsidRPr="00BF4EC4">
        <w:rPr>
          <w:rFonts w:ascii="Times New Roman" w:hAnsi="Times New Roman" w:hint="default"/>
          <w:color w:val="000000"/>
          <w:kern w:val="2"/>
          <w:sz w:val="24"/>
          <w:szCs w:val="24"/>
        </w:rPr>
        <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2.高阶思维能力及其构成要素</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3.高阶社会情感能力及其构成要素</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社会情感能力是学生在复杂学习、合作探究和真实问题解决中调动的社会情感能力。课题组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4.构成要素与测评维度的对应</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双维七维结构以布卢姆分类修订版、社会与情感能力调查和社会情感学习协作组织框架为理论依据，结合中学生的学习特点形成，用于组织学习目标、编制测评工具和设计课堂观察。</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七个构成要素直接作为学生高阶能力问卷的测评维度，每个维度的考察要点由其定义转化而来。例如，分析维度考察问题拆解、信息辨析与知识关联，情绪调节维度考察学生在压力、挫折和观点冲突中的状态调整。高阶思维每个维度4题，高阶社会情感每个维度5题，共32题，见表2-1。</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 xml:space="preserve">中学生高阶能力的构成要素与问卷测评要点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5.发展水平的描述</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可见的学习与学习证据</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本课题所说的可见的学习包括四个要素。一是学习意图与成功标准，使学生在任务开始前知道要学什么、做到什么程度才算学会；二是表层、深层与迁移学习的学习模型，使教师判断学生的理解处在哪一层次，并据此安排下一步学习；三是反馈三问，即学习要到达哪里、当前处于什么位置、下一步如何推进，把目标、当前表现和后续行动连接起来；四是教师的诊断、干预、实施与评估，使评价结果首先被理解为关于教学影响的反馈。</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 xml:space="preserve">2.学习证据</w:t>
      </w:r>
      <w:r w:rsidRPr="00BF4EC4">
        <w:rPr>
          <w:rFonts w:ascii="Times New Roman" w:hAnsi="Times New Roman" w:hint="default"/>
          <w:color w:val="000000"/>
          <w:kern w:val="2"/>
          <w:sz w:val="24"/>
          <w:szCs w:val="24"/>
        </w:rPr>
        <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 xml:space="preserve">三、思路与设计</w:t>
      </w:r>
      <w:bookmarkEnd w:id="16"/>
    </w:p>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 xml:space="preserve">）形成可见的学习视域下中学生高阶能力培育的学习模型框架。通过文献研究，界定中学生高阶能力的内涵与构成要素，明确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通过学生问卷、教师问卷、访谈和课堂观察，了解学生高阶思维与高阶社会情感的发展状况，以及教师开展高阶能力培育的认识、课堂实践、教学自我效能、现实困难和专业需求，诊断学校高阶能力培育中的主要问题，为确定模型的实施重点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文献研究和概念界定，依据建构性对齐原则，研究能力目标、学习任务、学习过程、学习层次和评价反馈之间的关系，以三层六阶和两境四维描述能力发展水平，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学习证据按五个层面组织，即模型中的五见，包括目标可见、思维可见、证据可见、进步可见和能力可见。表3-1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表层、深层与迁移学习的学习模型</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培育模型的理论建构</w:t>
      </w:r>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 xml:space="preserve">1.高阶能力培育总模型</w:t>
      </w:r>
      <w:r w:rsidRPr="00BF4EC4">
        <w:rPr>
          <w:rFonts w:ascii="Times New Roman" w:hAnsi="Times New Roman" w:hint="default"/>
          <w:color w:val="000000"/>
          <w:kern w:val="2"/>
          <w:sz w:val="24"/>
          <w:szCs w:val="24"/>
        </w:rPr>
        <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（1）模型的理论依据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培育模型依据第二部分的概念界定和上述理论框架建构，以七个构成要素为培养目标，以可见的学习中的学习意图与成功标准、表层—深层—迁移学习模型、反馈三问和教师诊断、干预、实施、评估为运行机制。前测结果不参与确定模型的结构，只用于判断学生和教师的起点，并据此确定模型在本校实施时的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环的顺序来自可见的学习的两条主线。一是反馈三问，即学习要到达哪里、当前处于什么位置、下一步如何推进；二是哈蒂的学习模型，即学习由表层知识走向深层理解，再迁移到新情境。把两条主线合在一起，一次完整的高阶学习包括五个环节：明确学习去向，在有挑战的任务中调动已有知识，把思考展开并接受同伴和教师的检验，依据反馈修正，在新情境中再次运用。这五个环节分别对应目标引领、任务驱动、探究展学、反馈迭代和反思迁移，前两环以表层知识的调动为主，探究展学和反馈迭代推动深层理解，反思迁移指向迁移学习。教师的诊断、干预、实施和评估则贯穿五环，依据学生在每个环节留下的证据调整支持。</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可见的学习元分析数据库（Visible Learning MetaX）汇总了各类教育影响因素的元分析结果，英国教育捐赠基金会（Education Endowment Foundation, EEF）的教学工具包（Teaching and Learning Toolkit）以平均额外进步月数呈现干预效果。课题组从中选取与五个环节直接相关的影响因素，用来确定每个环节的设计要求，见表3-2。</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引领回答学习要到达哪里。教师清晰度（0.85）、成功标准（0.64）和适度挑战性目标（0.62）的效应量都较高，自我评判与反思（0.81）也以学生知道好的表现是什么样子为前提，这一环节因此先呈现学习意图和成功标准，再进入任务。任务驱动让学生在有挑战的问题中调动已有知识。项目式学习的效应量为0.88，但只基于6项元分析，问题导向学习（31项元分析，0.53）和探究式教学（0.51）的估计更稳健，说明开放任务的效果取决于指导与支架，任务设计因此要配套支架和阶段检查，科创项目还增设方案要素。探究展学让学生把思考说出来并接受检验。论证／课堂讨论的效应量（0.86）明显高于合作学习（0.56）和协作学习（0.47），这一环节因此要求学生说明理由、回应质疑和修订观点，分组只是形式。</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反馈迭代回答当前处于什么位置。反馈的总体效应量为0.50，指向任务与过程的反馈达到0.73，指向学生自我的反馈只有0.14，这一环节因此要求反馈指向任务和思考过程，并以学生形成新的回答、方案或作品作为完成的标志。反思迁移回答下一步如何推进。迁移策略的效应量为0.89，元认知策略为0.59，EEF工具包对元认知与自我调节的估计为平均额外进步8个月，是工具包所列策略中最高的一项，这一环节因此要求学生提炼方法，并在新条件下再次运用。</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社会情感能力的培养和教师的调节贯穿五环。独立实施的社会情感学习项目对学业成就的效应量只有0.14，EEF的估计为3个月，情绪智力（0.53）和数学／科学焦虑（−0.52）则说明情绪状态与学习表现密切相关，模型因此不另设社会情感课程，而在五环的同一任务中观察和支持责任担当、情绪调节、合作共情与包容创新。教师层面，支架与情境学习（0.50）、提问（0.49）和形成性评价（0.39）支持教师在各环节诊断和干预；教师集体效能的效应量为1.34，高于一般的教师专业发展项目（0.46），这是模型把教师四步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据此，以新课标的素养要求为方向，以反馈三问和学习模型为组织线索，以元分析证据确定各环节的设计要求，构建</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课题组依据新课标的核心素养要求，结合“可见的学习”理论和中学生高阶能力的构成要素，</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表3-3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 xml:space="preserve">2.学习模型</w:t>
      </w:r>
      <w:r w:rsidRPr="00BF4EC4">
        <w:rPr>
          <w:rFonts w:ascii="Times New Roman" w:hAnsi="Times New Roman" w:hint="default"/>
          <w:color w:val="000000"/>
          <w:kern w:val="2"/>
          <w:sz w:val="24"/>
          <w:szCs w:val="24"/>
        </w:rPr>
        <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 xml:space="preserve">在高阶能力培育模型的整体框架下，进一步聚焦学生的学习过程，提出以五环学习组织活动、以三层学习判断学习深度、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 xml:space="preserve">（1）以三层学习判断五环中的学习深度</w:t>
      </w:r>
      <w:r w:rsidRPr="00BF4EC4">
        <w:rPr>
          <w:rFonts w:ascii="Times New Roman" w:eastAsia="宋体" w:hAnsi="Times New Roman" w:cs="Times New Roman"/>
          <w:b/>
          <w:bCs/>
          <w:color w:val="000000"/>
          <w:sz w:val="24"/>
        </w:rPr>
        <w:t xml:space="preserve"/>
      </w:r>
      <w:r w:rsidRPr="00BF4EC4">
        <w:rPr>
          <w:rFonts w:ascii="Times New Roman" w:eastAsia="宋体" w:hAnsi="Times New Roman" w:cs="Times New Roman"/>
          <w:b/>
          <w:bCs/>
          <w:color w:val="000000"/>
          <w:sz w:val="24"/>
        </w:rPr>
        <w:t xml:space="preserve"/>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学习、深层学习和迁移学习用于判断五环中学习达到的深度。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由五环学习、五见贯穿和循证调节三部分构成，以浅层、深层和迁移学习作为贯穿三部分的学习深度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三层学习体现学习质量的深浅，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据此，模型以五环组织学习过程，以三层判断学习深度，以五见支持共同判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深度、共同判断与教学支持之间的联系，为后续两域实践及模型迭代提供依据。</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研究立足学校真实教育教学情境，按照理论研究与模型建构、现状诊断、多场域实践、成效评价和持续优化的思路展开。整体上采用设计型研究（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与模型建构、现状诊断、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3-3</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 xml:space="preserve">么、怎样研究、怎样评价的基本思路。在此基础上，课题组通过学生问卷、教师问卷、访谈、课堂观察和已有教学资料分析，了解学生高阶能力的初始状况，以及教师开展高阶能力培育的认识、实践、困难和专业需求；在概念界定和可见的学习理论的基础上初步建构培育模型与学习模型，依据前期调查结果确定模型的实施重点，并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学科课堂和科创项目两个场域实施培育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 xml:space="preserve">四、研究过程与结果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三年间，课题组先通过学生问卷、教师问卷、开放性回答和课堂观察，诊断学生高阶能力的起点和教师培育的基础，据此确定培育模型的实施重点；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确定模型的实施重点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（1）测评维度与题目构成</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学生问卷的测评维度直接来自第二部分对中学生高阶能力构成要素的界定，即分析、评价、创造三个高阶思维维度和责任担当、情绪调节、合作共情、包容创新四个高阶社会情感维度，各维度的考察要点见表2-1。</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高阶思维部分自行编制《中学生高阶思维能力测评量表》（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 xml:space="preserve">题。复杂问题解决作为三个维度共同指向的应用情境，策略反思融入相关题项，不另设测量维度。量表的信度与结构效度见下文检验结果。</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高阶社会情感部分参照国内基于社会与情感能力调查开展的测评框架</w:t>
      </w:r>
      <w:r w:rsidRPr="00BF4EC4">
        <w:rPr>
          <w:rStyle w:val="a8"/>
          <w:rFonts w:ascii="Times New Roman" w:eastAsia="宋体" w:hAnsi="Times New Roman" w:cs="Times New Roman"/>
          <w:kern w:val="0"/>
          <w:sz w:val="24"/>
        </w:rPr>
        <w:footnoteReference w:id="103"/>
      </w:r>
      <w:r w:rsidRPr="00BF4EC4">
        <w:rPr>
          <w:rFonts w:ascii="Times New Roman" w:eastAsia="宋体" w:hAnsi="Times New Roman" w:cs="Times New Roman"/>
          <w:kern w:val="0"/>
          <w:sz w:val="24"/>
        </w:rPr>
        <w:t xml:space="preserve">编制题项，每个维度设置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w:t>
      </w:r>
      <w:r w:rsidRPr="00BF4EC4">
        <w:rPr>
          <w:rFonts w:ascii="Times New Roman" w:eastAsia="宋体" w:hAnsi="Times New Roman" w:cs="Times New Roman"/>
          <w:kern w:val="0"/>
          <w:sz w:val="24"/>
        </w:rPr>
        <w:t xml:space="preserve"/>
      </w:r>
      <w:r w:rsidRPr="00BF4EC4">
        <w:rPr>
          <w:rFonts w:ascii="Times New Roman" w:eastAsia="宋体" w:hAnsi="Times New Roman" w:cs="Times New Roman"/>
          <w:kern w:val="0"/>
          <w:sz w:val="24"/>
        </w:rPr>
        <w:t xml:space="preserve"/>
      </w:r>
    </w:p>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，表明题项相关矩阵并非单位矩阵，数据具备开展后续结构分析的条件，具体结果见表4-2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表4-8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表4-9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表4-10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表4-11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开放性回答中，学生提到的学习困难可归为五类（表4-12</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表4-12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道评分题（表4-13</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表4-13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04"/>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表4-17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表4-18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 xml:space="preserve">，表明教师对高阶能力培育总体持积极态度，并报告了相应教学尝试。教学自我效能均值相对较低，说明教师认同培育理念，但对具体实施的把握还不够。现实阻碍均值为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表4-19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表4-20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表4-21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表4-22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表4-23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结果如表4-23</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表4-24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分，表明观察者对本批课堂总体评价较为积极，同时不同评价记录之间存在差异。五维中，社会情感支持与学科内容建构均值较高，课堂互动、形成性评价与反馈相对靠后（表4-25</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表4-25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教师评课关键词词云图补充呈现了观察者关注的课堂内容（图4-2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 xml:space="preserve">结合量表与希沃资料，本批课堂具有内容组织和学习活动的基础；评课文本多次提到问题、探究与互动，说明教师评课已开始关注高阶能力培育。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描述为探究互动较为突出的课例。学生行为占比及活动描述表明，课堂已安排一定的表达与交流机会；从量表得分看，互动质量仍有提升空间。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希沃行为热力图补充呈现了各课例在学生参与、教师指导、互动交流和探究活动方面的分布（图4-3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4-26</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表4-26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课堂观察表明，前期教学已具备内容组织、学生参与和情感支持的基础，但深入互动与形成性评价仍需加强。综合量表、希沃资料和评课文本，后续应进一步关注</w:t>
      </w:r>
      <w:r w:rsidRPr="00BF4EC4">
        <w:rPr>
          <w:rFonts w:ascii="Times New Roman" w:eastAsia="宋体" w:hAnsi="Times New Roman" w:cs="Times New Roman"/>
          <w:sz w:val="24"/>
        </w:rPr>
        <w:lastRenderedPageBreak/>
        <w:t xml:space="preserve">学生思考的呈现、同伴观点的回应及反馈后的修订，将七维高阶能力落实为具体任务与表现标准，使学习过程和进步有据可察，为模型实施明确重点。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 xml:space="preserve">4.前测结果确定模型的实施重点</w:t>
      </w:r>
      <w:r w:rsidRPr="00BF4EC4">
        <w:rPr>
          <w:rFonts w:ascii="Times New Roman" w:hAnsi="Times New Roman" w:hint="default"/>
          <w:color w:val="000000"/>
          <w:kern w:val="2"/>
          <w:sz w:val="24"/>
          <w:szCs w:val="24"/>
        </w:rPr>
        <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、知识迁移困难和考试后难以调整等表现，说明教学需要加强思考方法与自我调节方面的支持。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实施时需要把七维高阶能力落实为明确的目标、任务与表现标准，通过思路呈现、同伴回应、反馈修订和反思迁移回应学生需要，并结合任务分层、学习支架与情绪支持，帮助教师依据学习表现调整教学。</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 xml:space="preserve">（二）培育模型在学科课堂与科创项目两域的实施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图4-4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图4-4</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以目标为参照，将知识、实践与评价联系起来，并在每个要素中同时呈现学生行动与教师支持。表4-27</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表4-27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目标维度从课程标准与单元内容出发，依次明确任务目标、表现要求及相应证据。表4-28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表4-28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4-28</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4-5），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图4-5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图4-5</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在图4-5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所示整体关系基础上，表4-29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表4-29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表4-29</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过程维度把教师活动与学生实践联系起来，依据证据反馈推动学习深化（图4-6），将五环学习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图4-6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图4-6</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表4-30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将图4-6</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多元评价围绕学习目标收集和解释证据，综合运用学生自评、同伴互评与教师评价，考察知识理解、关系建构、迁移运用及共同任务中的合作与调节。表4-31</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表4-31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从高阶能力培育看，比较图文差异与补充物件特征涉及分析，依据主旨判断细节的适切性涉及评价，重新组织物件、故事与情感则为观察创造表现提供了依据。图4-7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版本中的童年叙事。版本之间的差异呈现了表达内容的扩展，也使表4-27</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图4-8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的学习过程，与图4-6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表4-32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图4-9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图4-10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表4-34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图4-12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表4-36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图4-13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图4-14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图4-15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保留同伴提问、学生回应、意见采纳及终稿变化，与图4-14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的版本记录相互参照，可追踪学生如何在交流后修正理解。评价重点是学生能否说明取舍理由、使表达更有依据，而非采纳意见的数量。表4-37</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表4-37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表4-38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互评表将核心观点、支持依据、建议与理由及语言表现分别列出，并要求在原文标示或补充建议。表中记录说明同伴参与了诊断；互评是否有效，还要看下一稿是否回应所指出的问题。图4-16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与图4-17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以目标为参照，将知识、方案、实践与评价相互联系，并在五个要素中同时明确学生行动和教师支持。表4-39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表4-39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表4-40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表4-41</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图4-19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图4-19</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通过实践表征联系学习深度、学生行动与教师调节。方案草图、数据记录、原型或试行结果，使设计中的理解与困难能够被共同讨论；反馈后的修订及再次验证，又为教师评估支持是否适切提供依据。表4-42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表4-42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4-43</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表4-43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图4-20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图4-20</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图4-21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图4-21</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模拟听证会组织方案质询。同伴提出再利用用途需要具体，教师提示明确缩短淋浴的时间；学生在修改清单中补入浇花用途、占比说明和时间建议。图4-22</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图4-22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表4-44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表4-44</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图4-23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图4-23</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4-20</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图4-22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评价上，机械臂案例的图书归架任务单留有另一小组的路径草图及约束说明（图4-23右侧），为考察新情境中的方法运用提供了更具体的材料，可用于分析学生是否关注到新的空间约束。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图4-24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图4-24</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图4-25</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日的记录将多障碍物干扰作为调试问题，记载了时序振动、算法预测及调试显示等调整，并报告了修改前后的部分结果。表4-45</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图4-26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表4-45</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分。该分配提示评价需同时关注设计依据、技术实现及验证改进，但权重属于工具设计，不是学生实际得分。表4-46</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表4-46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表4-47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表4-47</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 xml:space="preserve">（三）嵌入实践过程的评价与多源证据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其次，以三层六阶和两境四维把握能力发展的程度。高阶思维由学习理解、应用实践和迁移创新逐步深入，并体现出记忆、理解、应用、分析、评价和创造的认知层次；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05"/>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06"/>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表4-48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 xml:space="preserve">（四）前后测比较与模型迭代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表4-49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表4-50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表4-51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表4-52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表4-53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表4-54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表4-55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表4-56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表4-57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表4-58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表4-59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表4-60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表4-61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表4-62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表4-63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表4-64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表4-65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表4-66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表4-67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表4-68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表4-69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表4-70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表4-71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表4-72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研究初期，课题组依据理论设计了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因此需要进一步考察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模型以浅层学习、深层学习和迁移学习描述学习深度，并以六类认知过程作为任务要求的分析参照；两境四维关注常规情境及复杂、冲突、开放情境中的责任担当、情绪调节、合作共情和包容创新表现。三层学习、六类认知过程与七维能力分别承担学习深度判断、任务分析和能力观察的功能，不作机械的一一对应。</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图4-27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图4-28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 xml:space="preserve">五、研究成果与实践成效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5-1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表5-1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 xml:space="preserve">以新课标核心素养要求为育人导向，以分析、评价、创造、责任担当、情绪调节、合作共情和包容创新七维能力为统一目标；三层六阶描述高阶思维的发展层次，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4-45</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，七个维度均显著提高（表4-50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至表4-59</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份（见表4-32</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项次（表5-2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表5-2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四个维度的变化幅度和含义不同（表4-65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至表4-70</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的定位决定了成效不能只落在个别学生或教师身上。经过三年实践，高阶能力培育由若干研究课、个别项目和课题组成员的探索，逐步转化为学校层面的共同议题、研修方式和资源体系（表5-3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表5-3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哈蒂 J. 可见的学习：对800多项关于学业成就的元分析的综合报告[M]. 彭正梅, 邓莉, 高原, 等译. 北京: 教育科学出版社, 2015.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ÜNAL E, KAYA M, UZUN A M, et al. A second-order meta-analysis on the effects of artificial intelligence applications on student outcomes[J]. Journal of Educational Computing Research, 2026, 64(5): 1360-1389. DOI:10.1177/07356331261424767.</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ANDERSON L W, KRATHWOHL D R. A taxonomy for learning, teaching, and assessing: A revision of Bloom's taxonomy of educational objectives[M]. New York: Longman, 2001.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ANDRADE H L, WANG X, DU Y, et al. Rubric-referenced self-assessment and self-efficacy for writing[J]. The Journal of Educational Research, 2009, 102(4): 287-301.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BANDURA A. Self-efficacy: The exercise of control[M]. New York: W. H. Freeman, 1997.</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BERGERON L, ROGERS L. Teaching the Theory of Knowledge course in IB World Schools[R]. La Crosse: University of Wisconsin-La Crosse, 2015.</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BIGGS J. What the student does: Teaching for enhanced learning[J]. Higher Education Research &amp; Development, 1999, 18(1): 57-75. DOI:10.1080/0729436990180105.</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BLACK P, WILIAM D. Assessment and classroom learning[J]. Assessment in Education: Principles, Policy &amp; Practice, 1998, 5(1): 7-74.</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BOUCKAERT M. The assessment of students' creative and critical thinking skills in higher education across OECD countries: A review of policies and related practices[R]. Paris: OECD Publishing, 2023. DOI:10.1787/35dbd439-en.</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CARTIFF B M, DUKE R F, GREENE J A. The effect of epistemic cognition interventions on academic achievement: A meta-analysis[J]. Journal of Educational Psychology, 2021, 113(3): 477-498. DOI:10.1037/edu0000490.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CRICHTON H, MCDAID A. Learning intentions and success criteria: Learners' and teachers' views[J]. The Curriculum Journal, 2016, 27(2): 190-203. DOI:10.1080/09585176.2015.1103278.</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DE JONG T, LAZONDER A W, CHINN C A, et al. Let's talk evidence – The case for combining inquiry-based and direct instruction[J]. Educational Research Review, 2023, 39: 100536. DOI:10.1016/j.edurev.2023.100536.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DURLAK J A, WEISSBERG R P, DYMNICKI A B, et al. The impact of enhancing students' social and emotional learning: A meta-analysis of school-based universal interventions[J]. Child Development, 2011, 82(1): 405-432.</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FLAVELL J H. Metacognition and cognitive monitoring: A new area of cognitive-developmental inquiry[J]. American Psychologist, 1979, 34(10): 906-911.</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GÜNGÖR F, ALTUNBAŞAK İ, AYDIN A T, et al. A second-order meta-analysis on the effects of cooperative learning on students' academic achievement, higher-order thinking, and affective behaviors[J]. Current Psychology, 2026, 45: 552. DOI:10.1007/s12144-025-08943-0.</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HARGROVE R A, NIETFELD J L. The impact of metacognitive instruction on creative problem solving[J]. The Journal of Experimental Education, 2015, 83(3): 291-318.</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HATTIE J, BUSTAMANTE V, ALMARODE J T, et al. Great teaching by design: From intention to implementation in the visible learning classroom[M]. Thousand Oaks: Corwin, 2020.</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HATTIE J, TIMPERLEY H. The power of feedback[J]. Review of Educational Research, 2007, 77(1): 81-112.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HATTIE J. Synlig læring i dag[J]. Paideia, 2015(9): 9-21.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HATTIE J. The applicability of Visible Learning to higher education[J]. Scholarship of Teaching and Learning in Psychology, 2015, 1(1): 79-91.</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KLUGER A N, DENISI A. The effects of feedback interventions on performance: A historical review, a meta-analysis, and a preliminary feedback intervention theory[J]. Psychological Bulletin, 1996, 119(2): 254-284.</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KRAFT M A. The effect-size benchmark that matters most: Education interventions often fail[J]. Educational Researcher, 2023, 52(3): 183-187. DOI:10.3102/0013189X231155154.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NAEEM H. Teaching skills and intellectual virtues with generative AI[J]. Episteme, 2026, 23: 269-286. DOI:10.1017/epi.2025.10089.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OECD. Beyond academic learning: First results from the Survey of Social and Emotional Skills[R]. Paris: OECD Publishing, 2021.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OECD. PISA 2022 assessment and analytical framework[M]. Paris: OECD Publishing, 2023.</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PANADERO E, JONSSON A, PINEDO L, et al. Effects of rubrics on academic performance, self-regulated learning, and self-efficacy: A meta-analytic review[J]. Educational Psychology Review, 2023, 35: 113. DOI:10.1007/s10648-023-09823-4.</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[71] RUNCO M A, MAMMADOV S, SUI D, et al. Second-order meta-analysis of the creativity research[J/OL]. Creativity Research Journal, 2026. DOI:10.1080/10400419.2026.2644245.</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SADLER D R. Formative assessment and the design of instructional systems[J]. Instructional Science, 1989, 18(2): 119-144.</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WILIAM D, THOMPSON M. Integrating assessment with learning: What will it take to make it work?[M]//DWYER C A. The future of assessment: Shaping teaching and learning. Mahwah: Lawrence Erlbaum Associates, 2007: 53-82.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[75] WORLD BANK. Teach: Observer manual[M]. Washington, DC: World Bank, 2019.</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FLAVELL J H. Metacognition and cognitive monitoring: A new area of cognitive-developmental inquiry[J]. American Psychologist, 1979, 34(10): 906-911.</w:t>
      </w:r>
    </w:p>
  </w:footnote>
  <w:footnote w:id="21">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2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2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CARTIFF B M, DUKE R F, GREENE J A. The effect of epistemic cognition interventions on academic achievement: A meta-analysis[J]. Journal of Educational Psychology, 2021, 113(3): 477-498. DOI:10.1037/edu0000490.</w:t>
      </w:r>
    </w:p>
  </w:footnote>
  <w:footnote w:id="25">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6">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PISA 2022 assessment and analytical framework[M]. Paris: OECD Publishing, 2023.</w:t>
      </w:r>
    </w:p>
  </w:footnote>
  <w:footnote w:id="2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9">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3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HARGROVE R A, NIETFELD J L. The impact of metacognitive instruction on creative problem solving[J]. The Journal of Experimental Education, 2015, 83(3): 291-318.</w:t>
      </w:r>
    </w:p>
  </w:footnote>
  <w:footnote w:id="3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EDUCATION ENDOWMENT FOUNDATION. Teaching and learning toolkit[DB/OL]. [2026-10-25]. https://educationendowmentfoundation.org.uk/education-evidence/teaching-learning-toolkit.</w:t>
      </w:r>
    </w:p>
  </w:footnote>
  <w:footnote w:id="3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9">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0">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3">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WORLD BANK. Teach: Observer manual[M]. Washington, DC: World Bank, 2019.</w:t>
      </w:r>
    </w:p>
  </w:footnote>
  <w:footnote w:id="45">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46">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4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NAEEM H. Teaching skills and intellectual virtues with generative AI[J]. Episteme, 2026, 23: 269-286. DOI:10.1017/epi.2025.10089.</w:t>
      </w:r>
    </w:p>
  </w:footnote>
  <w:footnote w:id="48">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49">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5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BANDURA A. Self-efficacy: The exercise of control[M]. New York: W. H. Freeman, 1997.</w:t>
      </w:r>
    </w:p>
  </w:footnote>
  <w:footnote w:id="5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5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5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56">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7">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5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5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60">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6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62">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6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6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6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6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6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6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SADLER D R. Formative assessment and the design of instructional systems[J]. Instructional Science, 1989, 18(2): 119-144.</w:t>
      </w:r>
    </w:p>
  </w:footnote>
  <w:footnote w:id="6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WILIAM D, THOMPSON M. Integrating assessment with learning: What will it take to make it work?[M]//DWYER C A. The future of assessment: Shaping teaching and learning. Mahwah: Lawrence Erlbaum Associates, 2007: 53-82.</w:t>
      </w:r>
    </w:p>
  </w:footnote>
  <w:footnote w:id="7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7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ANDRADE H L, WANG X, DU Y, et al. Rubric-referenced self-assessment and self-efficacy for writing[J]. The Journal of Educational Research, 2009, 102(4): 287-301.</w:t>
      </w:r>
    </w:p>
  </w:footnote>
  <w:footnote w:id="7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PANADERO E, JONSSON A, PINEDO L, et al. Effects of rubrics on academic performance, self-regulated learning, and self-efficacy: A meta-analytic review[J]. Educational Psychology Review, 2023, 35: 113. DOI:10.1007/s10648-023-09823-4.</w:t>
      </w:r>
    </w:p>
  </w:footnote>
  <w:footnote w:id="7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CRICHTON H, MCDAID A. Learning intentions and success criteria: Learners' and teachers' views[J]. The Curriculum Journal, 2016, 27(2): 190-203. DOI:10.1080/09585176.2015.1103278.</w:t>
      </w:r>
    </w:p>
  </w:footnote>
  <w:footnote w:id="7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7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7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8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8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8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马梓越, 沈勍, 伍绍杨. 可见的学习与学科教学应用[J]. 上海教育, 2025(26): 42-43.</w:t>
      </w:r>
    </w:p>
  </w:footnote>
  <w:footnote w:id="83">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84">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85">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86">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8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KLUGER A N, DENISI A. The effects of feedback interventions on performance: A historical review, a meta-analysis, and a preliminary feedback intervention theory[J]. Psychological Bulletin, 1996, 119(2): 254-284.</w:t>
      </w:r>
    </w:p>
  </w:footnote>
  <w:footnote w:id="8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BLACK P, WILIAM D. Assessment and classroom learning[J]. Assessment in Education: Principles, Policy &amp; Practice, 1998, 5(1): 7-74.</w:t>
      </w:r>
    </w:p>
  </w:footnote>
  <w:footnote w:id="8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9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9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Visible Learning MetaX[DB/OL]. Thousand Oaks: Corwin. [2026-10-20]. https://www.visiblelearningmetax.com/influences.</w:t>
      </w:r>
    </w:p>
  </w:footnote>
  <w:footnote w:id="92">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93">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94">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9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96">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9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BUSTAMANTE V, ALMARODE J T, et al. Great teaching by design: From intention to implementation in the visible learning classroom[M]. Thousand Oaks: Corwin, 2020.</w:t>
      </w:r>
    </w:p>
  </w:footnote>
  <w:footnote w:id="98">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99">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0">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1">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02">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3">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04">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05">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06">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6B2C36F2"/>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6">
    <w:abstractNumId w:val="9"/>
  </w: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