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 xml:space="preserve">的课时设计跨学科主题学习</w:t>
      </w:r>
      <w:r>
        <w:rPr>
          <w:rFonts w:ascii="Times New Roman" w:eastAsia="宋体" w:hAnsi="Times New Roman" w:cs="Times New Roman"/>
          <w:color w:val="000000"/>
          <w:kern w:val="0"/>
          <w:sz w:val="24"/>
          <w:vertAlign w:val="superscript"/>
        </w:rPr>
        <w:footnoteReference w:id="1"/>
      </w:r>
      <w:r>
        <w:rPr>
          <w:rFonts w:ascii="Times New Roman" w:eastAsia="宋体" w:hAnsi="Times New Roman" w:cs="Times New Roman"/>
          <w:color w:val="000000"/>
          <w:kern w:val="0"/>
          <w:sz w:val="24"/>
        </w:rPr>
        <w:t xml:space="preserve">。这一要求意味着，学生不仅要掌握分科知识，还要学会在复杂问题面前调动不同学科的知识。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w:t>
      </w:r>
      <w:r>
        <w:rPr>
          <w:rFonts w:ascii="Times New Roman" w:eastAsia="宋体" w:hAnsi="Times New Roman" w:cs="Times New Roman"/>
          <w:color w:val="000000"/>
          <w:kern w:val="0"/>
          <w:sz w:val="24"/>
          <w:vertAlign w:val="superscript"/>
        </w:rPr>
        <w:footnoteReference w:id="2"/>
      </w:r>
      <w:r>
        <w:rPr>
          <w:rFonts w:ascii="Times New Roman" w:eastAsia="宋体" w:hAnsi="Times New Roman" w:cs="Times New Roman"/>
          <w:color w:val="000000"/>
          <w:kern w:val="0"/>
          <w:sz w:val="24"/>
        </w:rPr>
        <w:t xml:space="preserve">。《深化新时代教育评价改革总体方案》此前也提出改进结果评价、强化过程评价、探索增值评价、健全综合评价</w:t>
      </w:r>
      <w:r>
        <w:rPr>
          <w:rFonts w:ascii="Times New Roman" w:eastAsia="宋体" w:hAnsi="Times New Roman" w:cs="Times New Roman"/>
          <w:color w:val="000000"/>
          <w:kern w:val="0"/>
          <w:sz w:val="24"/>
          <w:vertAlign w:val="superscript"/>
        </w:rPr>
        <w:footnoteReference w:id="3"/>
      </w:r>
      <w:r>
        <w:rPr>
          <w:rFonts w:ascii="Times New Roman" w:eastAsia="宋体" w:hAnsi="Times New Roman" w:cs="Times New Roman"/>
          <w:color w:val="000000"/>
          <w:kern w:val="0"/>
          <w:sz w:val="24"/>
        </w:rPr>
        <w:t xml:space="preserve">。</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 xml:space="preserve">高中和义务教育阶段的课程实施方案</w:t>
      </w:r>
      <w:r>
        <w:rPr>
          <w:rFonts w:ascii="Times New Roman" w:eastAsia="宋体" w:hAnsi="Times New Roman" w:cs="Times New Roman"/>
          <w:color w:val="000000"/>
          <w:kern w:val="0"/>
          <w:sz w:val="24"/>
          <w:vertAlign w:val="superscript"/>
        </w:rPr>
        <w:footnoteReference w:id="4"/>
      </w:r>
      <w:r>
        <w:rPr>
          <w:rFonts w:ascii="Times New Roman" w:eastAsia="宋体" w:hAnsi="Times New Roman" w:cs="Times New Roman"/>
          <w:color w:val="000000"/>
          <w:kern w:val="0"/>
          <w:sz w:val="24"/>
        </w:rPr>
        <w:t xml:space="preserve">，研制新课程新教材实施研究与实践项目指南，通过项目招标推动各区和学校开展行动研究，并在市、区两级建立了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 xml:space="preserve">余所中小学实施</w:t>
      </w:r>
      <w:r>
        <w:rPr>
          <w:rFonts w:ascii="Times New Roman" w:eastAsia="宋体" w:hAnsi="Times New Roman" w:cs="Times New Roman"/>
          <w:color w:val="000000"/>
          <w:kern w:val="0"/>
          <w:sz w:val="24"/>
          <w:vertAlign w:val="superscript"/>
        </w:rPr>
        <w:footnoteReference w:id="5"/>
      </w:r>
      <w:r>
        <w:rPr>
          <w:rFonts w:ascii="Times New Roman" w:eastAsia="宋体" w:hAnsi="Times New Roman" w:cs="Times New Roman"/>
          <w:color w:val="000000"/>
          <w:kern w:val="0"/>
          <w:sz w:val="24"/>
        </w:rPr>
        <w:t xml:space="preserve">。上海的课程改革已经从文件层面进入学校日常教学和持续研究的层面。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 xml:space="preserve">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Pr>
          <w:rFonts w:ascii="Times New Roman" w:eastAsia="宋体" w:hAnsi="Times New Roman" w:cs="Times New Roman"/>
          <w:color w:val="000000"/>
          <w:kern w:val="0"/>
          <w:sz w:val="24"/>
          <w:vertAlign w:val="superscript"/>
        </w:rPr>
        <w:footnoteReference w:id="6"/>
      </w:r>
      <w:r>
        <w:rPr>
          <w:rFonts w:ascii="Times New Roman" w:eastAsia="宋体" w:hAnsi="Times New Roman" w:cs="Times New Roman"/>
          <w:color w:val="000000"/>
          <w:kern w:val="0"/>
          <w:sz w:val="24"/>
        </w:rPr>
        <w:t xml:space="preserve">。</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 xml:space="preserve">分的跨学科案例分析题</w:t>
      </w:r>
      <w:r>
        <w:rPr>
          <w:rFonts w:ascii="Times New Roman" w:eastAsia="宋体" w:hAnsi="Times New Roman" w:cs="Times New Roman"/>
          <w:color w:val="000000"/>
          <w:kern w:val="0"/>
          <w:sz w:val="24"/>
          <w:vertAlign w:val="superscript"/>
        </w:rPr>
        <w:footnoteReference w:id="7"/>
      </w:r>
      <w:r>
        <w:rPr>
          <w:rFonts w:ascii="Times New Roman" w:eastAsia="宋体" w:hAnsi="Times New Roman" w:cs="Times New Roman"/>
          <w:color w:val="000000"/>
          <w:kern w:val="0"/>
          <w:sz w:val="24"/>
        </w:rPr>
        <w:t xml:space="preserve">；初中学生综合素质评价设有创新精神与实践能力板块，重点记录学生参加探究学习、科技活动等方面的过程和成果</w:t>
      </w:r>
      <w:r>
        <w:rPr>
          <w:rFonts w:ascii="Times New Roman" w:eastAsia="宋体" w:hAnsi="Times New Roman" w:cs="Times New Roman"/>
          <w:color w:val="000000"/>
          <w:kern w:val="0"/>
          <w:sz w:val="24"/>
          <w:vertAlign w:val="superscript"/>
        </w:rPr>
        <w:footnoteReference w:id="8"/>
      </w:r>
      <w:r>
        <w:rPr>
          <w:rFonts w:ascii="Times New Roman" w:eastAsia="宋体" w:hAnsi="Times New Roman" w:cs="Times New Roman"/>
          <w:color w:val="000000"/>
          <w:kern w:val="0"/>
          <w:sz w:val="24"/>
        </w:rPr>
        <w:t xml:space="preserve">。对一所上海初高中学校而言，学生能否在真实、复杂的问题中分析判断、提出方案并与人合作，已经成为课程、教学和评价共同关注的内容，学校需要找到在日常课堂和科创活动中系统培养这些能力的办法。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 xml:space="preserve">案，并要求教师引导学生审视生成文本中的逻辑漏洞、价值倾向和文化偏见，培养学生对技术输出内容的质疑精神与甄别能力</w:t>
      </w:r>
      <w:r>
        <w:rPr>
          <w:rFonts w:ascii="Times New Roman" w:eastAsia="宋体" w:hAnsi="Times New Roman" w:cs="Times New Roman"/>
          <w:color w:val="000000"/>
          <w:kern w:val="0"/>
          <w:sz w:val="24"/>
          <w:vertAlign w:val="superscript"/>
        </w:rPr>
        <w:footnoteReference w:id="9"/>
      </w:r>
      <w:r>
        <w:rPr>
          <w:rFonts w:ascii="Times New Roman" w:eastAsia="宋体" w:hAnsi="Times New Roman" w:cs="Times New Roman"/>
          <w:color w:val="000000"/>
          <w:kern w:val="0"/>
          <w:sz w:val="24"/>
        </w:rPr>
        <w:t xml:space="preserve">。</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 xml:space="preserve">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vertAlign w:val="superscript"/>
        </w:rPr>
        <w:footnoteReference w:id="10"/>
      </w:r>
      <w:r>
        <w:rPr>
          <w:rFonts w:ascii="Times New Roman" w:eastAsia="宋体" w:hAnsi="Times New Roman" w:cs="Times New Roman"/>
          <w:color w:val="000000"/>
          <w:kern w:val="0"/>
          <w:sz w:val="24"/>
        </w:rPr>
        <w:t xml:space="preserve">。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vertAlign w:val="superscript"/>
        </w:rPr>
        <w:footnoteReference w:id="11"/>
      </w:r>
      <w:r>
        <w:rPr>
          <w:rFonts w:ascii="Times New Roman" w:eastAsia="宋体" w:hAnsi="Times New Roman" w:cs="Times New Roman"/>
          <w:color w:val="000000"/>
          <w:kern w:val="0"/>
          <w:sz w:val="24"/>
        </w:rPr>
        <w:t xml:space="preserve">。技术越普及，学校越需要通过任务设计、追问引导和反馈，帮助学生在使用技术时保持独立判断</w:t>
      </w:r>
      <w:r>
        <w:rPr>
          <w:rFonts w:ascii="Times New Roman" w:eastAsia="宋体" w:hAnsi="Times New Roman" w:cs="Times New Roman"/>
          <w:color w:val="000000"/>
          <w:kern w:val="0"/>
          <w:sz w:val="24"/>
          <w:vertAlign w:val="superscript"/>
        </w:rPr>
        <w:footnoteReference w:id="12"/>
      </w:r>
      <w:r>
        <w:rPr>
          <w:rFonts w:ascii="Times New Roman" w:eastAsia="宋体" w:hAnsi="Times New Roman" w:cs="Times New Roman"/>
          <w:color w:val="000000"/>
          <w:kern w:val="0"/>
          <w:sz w:val="24"/>
        </w:rPr>
        <w:t xml:space="preserve">。</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vertAlign w:val="superscript"/>
        </w:rPr>
        <w:footnoteReference w:id="13"/>
      </w:r>
      <w:r>
        <w:rPr>
          <w:rFonts w:ascii="Times New Roman" w:eastAsia="宋体" w:hAnsi="Times New Roman" w:cs="Times New Roman"/>
          <w:color w:val="000000"/>
          <w:kern w:val="0"/>
          <w:sz w:val="24"/>
        </w:rPr>
        <w:t xml:space="preserve">。合作学习之所以能够促进高阶思维，在于学生需要向同伴解释概念、回应质疑并整合不同意见</w:t>
      </w:r>
      <w:r>
        <w:rPr>
          <w:rFonts w:ascii="Times New Roman" w:eastAsia="宋体" w:hAnsi="Times New Roman" w:cs="Times New Roman"/>
          <w:color w:val="000000"/>
          <w:kern w:val="0"/>
          <w:sz w:val="24"/>
          <w:vertAlign w:val="superscript"/>
        </w:rPr>
        <w:footnoteReference w:id="14"/>
      </w:r>
      <w:r>
        <w:rPr>
          <w:rFonts w:ascii="Times New Roman" w:eastAsia="宋体" w:hAnsi="Times New Roman" w:cs="Times New Roman"/>
          <w:color w:val="000000"/>
          <w:kern w:val="0"/>
          <w:sz w:val="24"/>
        </w:rPr>
        <w:t xml:space="preserve">；如果小组任务没有分工、不要求说明理由，也没有反思环节，讨论就容易沦为简单的信息交换，甚至只是少数学生发言、多数学生旁听。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vertAlign w:val="superscript"/>
        </w:rPr>
        <w:footnoteReference w:id="15"/>
      </w:r>
      <w:r>
        <w:rPr>
          <w:rFonts w:ascii="Times New Roman" w:eastAsia="宋体" w:hAnsi="Times New Roman" w:cs="Times New Roman"/>
          <w:color w:val="000000"/>
          <w:kern w:val="0"/>
          <w:sz w:val="24"/>
        </w:rPr>
        <w:t xml:space="preserve">。如果只看考试结果，可能会低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vertAlign w:val="superscript"/>
        </w:rPr>
        <w:footnoteReference w:id="16"/>
      </w:r>
      <w:r>
        <w:rPr>
          <w:rFonts w:ascii="Times New Roman" w:eastAsia="宋体" w:hAnsi="Times New Roman" w:cs="Times New Roman"/>
          <w:color w:val="000000"/>
          <w:kern w:val="0"/>
          <w:sz w:val="24"/>
        </w:rPr>
        <w:t xml:space="preserve">。如何把这一主张转化为能够识别和支持高阶能力的具体课堂做法，是当前课堂教学改革需要解决的现实问题。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vertAlign w:val="superscript"/>
        </w:rPr>
        <w:footnoteReference w:id="17"/>
      </w:r>
      <w:r>
        <w:rPr>
          <w:rFonts w:ascii="Times New Roman" w:eastAsia="宋体" w:hAnsi="Times New Roman" w:cs="Times New Roman"/>
          <w:color w:val="000000"/>
          <w:kern w:val="0"/>
          <w:sz w:val="24"/>
        </w:rPr>
        <w:t xml:space="preserve">。分析、评价和创造通常被视为较高层次的认知活动，构成高阶思维最常见的操作性含义。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 xml:space="preserve">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r>
        <w:rPr>
          <w:rFonts w:ascii="Times New Roman" w:eastAsia="宋体" w:hAnsi="Times New Roman" w:cs="Times New Roman"/>
          <w:color w:val="000000"/>
          <w:kern w:val="0"/>
          <w:sz w:val="24"/>
          <w:vertAlign w:val="superscript"/>
        </w:rPr>
        <w:footnoteReference w:id="18"/>
      </w:r>
      <w:proofErr w:type="spellStart"/>
      <w:proofErr w:type="spellEnd"/>
      <w:r>
        <w:rPr>
          <w:rFonts w:ascii="Times New Roman" w:eastAsia="宋体" w:hAnsi="Times New Roman" w:cs="Times New Roman"/>
          <w:color w:val="000000"/>
          <w:kern w:val="0"/>
          <w:sz w:val="24"/>
        </w:rPr>
        <w:t xml:space="preserve">。这一取向把高阶思维从静态的目标层级拓展为在劣构情境中展开的动态加工过程。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上述成分中，批判性思维与创造力受到的关注最多。批判性思维被界定为以理由为依据、有目的并能够自我调节的反思性判断，既包括解释、分析、评价、推论、说明和自我调节等技能，也包括求真、开放和公正等思维倾向</w:t>
      </w:r>
      <w:r>
        <w:rPr>
          <w:rFonts w:ascii="Times New Roman" w:eastAsia="宋体" w:hAnsi="Times New Roman" w:cs="Times New Roman"/>
          <w:color w:val="000000"/>
          <w:kern w:val="0"/>
          <w:sz w:val="24"/>
          <w:vertAlign w:val="superscript"/>
        </w:rPr>
        <w:footnoteReference w:id="19"/>
      </w:r>
      <w:proofErr w:type="spellStart"/>
      <w:proofErr w:type="spellEnd"/>
      <w:r>
        <w:rPr>
          <w:rFonts w:ascii="Times New Roman" w:eastAsia="宋体" w:hAnsi="Times New Roman" w:cs="Times New Roman"/>
          <w:color w:val="000000"/>
          <w:kern w:val="0"/>
          <w:sz w:val="24"/>
        </w:rPr>
        <w:t xml:space="preserve">。创造力被界定为在特定情境中生成兼具新颖性和适切性的观念、方案或产品的能力</w:t>
      </w:r>
      <w:r>
        <w:rPr>
          <w:rFonts w:ascii="Times New Roman" w:eastAsia="宋体" w:hAnsi="Times New Roman" w:cs="Times New Roman"/>
          <w:color w:val="000000"/>
          <w:kern w:val="0"/>
          <w:sz w:val="24"/>
          <w:vertAlign w:val="superscript"/>
        </w:rPr>
        <w:footnoteReference w:id="20"/>
      </w:r>
      <w:r>
        <w:rPr>
          <w:rFonts w:ascii="Times New Roman" w:eastAsia="宋体" w:hAnsi="Times New Roman" w:cs="Times New Roman"/>
          <w:color w:val="000000"/>
          <w:kern w:val="0"/>
          <w:sz w:val="24"/>
        </w:rPr>
        <w:t xml:space="preserve">，针对大学生的多层元分析表明，创造力能够通过系统训练得到显著提升</w:t>
      </w:r>
      <w:r>
        <w:rPr>
          <w:rFonts w:ascii="Times New Roman" w:eastAsia="宋体" w:hAnsi="Times New Roman" w:cs="Times New Roman"/>
          <w:color w:val="000000"/>
          <w:kern w:val="0"/>
          <w:sz w:val="24"/>
          <w:vertAlign w:val="superscript"/>
        </w:rPr>
        <w:footnoteReference w:id="21"/>
      </w:r>
      <w:r>
        <w:rPr>
          <w:rFonts w:ascii="Times New Roman" w:eastAsia="宋体" w:hAnsi="Times New Roman" w:cs="Times New Roman"/>
          <w:color w:val="000000"/>
          <w:kern w:val="0"/>
          <w:sz w:val="24"/>
        </w:rPr>
        <w:t xml:space="preserve">。国内研究进一步指出，高阶思维的核心在于新旧知识关系的建立，其概念框架包括问题情境分析、新旧知识关系建立、多维信息综合、创新性知识生成以及对思维过程的监控与调节五个成分</w:t>
      </w:r>
      <w:r>
        <w:rPr>
          <w:rFonts w:ascii="Times New Roman" w:eastAsia="宋体" w:hAnsi="Times New Roman" w:cs="Times New Roman"/>
          <w:color w:val="000000"/>
          <w:kern w:val="0"/>
          <w:sz w:val="24"/>
          <w:vertAlign w:val="superscript"/>
        </w:rPr>
        <w:footnoteReference w:id="22"/>
      </w:r>
      <w:r>
        <w:rPr>
          <w:rFonts w:ascii="Times New Roman" w:eastAsia="宋体" w:hAnsi="Times New Roman" w:cs="Times New Roman"/>
          <w:color w:val="000000"/>
          <w:kern w:val="0"/>
          <w:sz w:val="24"/>
        </w:rPr>
        <w:t xml:space="preserve">。</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vertAlign w:val="superscript"/>
        </w:rPr>
        <w:footnoteReference w:id="23"/>
      </w:r>
      <w:r>
        <w:rPr>
          <w:rFonts w:ascii="Times New Roman" w:eastAsia="宋体" w:hAnsi="Times New Roman" w:cs="Times New Roman"/>
          <w:color w:val="000000"/>
          <w:kern w:val="0"/>
          <w:sz w:val="24"/>
        </w:rPr>
        <w:t xml:space="preserve">。这一发现提示，高阶思维的各个成分在真实任务中往往同时被调用，将分析、评价和创造置于同一学习过程中加以培养，比孤立训练某一成分更符合高阶思维的实际运作方式。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 xml:space="preserve">）从任务能力、情绪调节、协作能力、开放能力和交往能力五个领域考察青少年的社会情感发展</w:t>
      </w:r>
      <w:r>
        <w:rPr>
          <w:rFonts w:ascii="Times New Roman" w:eastAsia="宋体" w:hAnsi="Times New Roman" w:cs="Times New Roman"/>
          <w:color w:val="000000"/>
          <w:kern w:val="0"/>
          <w:sz w:val="24"/>
          <w:vertAlign w:val="superscript"/>
        </w:rPr>
        <w:footnoteReference w:id="24"/>
      </w:r>
      <w:r>
        <w:rPr>
          <w:rFonts w:ascii="Times New Roman" w:eastAsia="宋体" w:hAnsi="Times New Roman" w:cs="Times New Roman"/>
          <w:color w:val="000000"/>
          <w:kern w:val="0"/>
          <w:sz w:val="24"/>
        </w:rPr>
        <w:t xml:space="preserve">；学术、社会与情感学习协作组织（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 xml:space="preserve">）提出自我意识、自我管理、社会意识、人际关系技能和负责任决策五个领域</w:t>
      </w:r>
      <w:r>
        <w:rPr>
          <w:rFonts w:ascii="Times New Roman" w:eastAsia="宋体" w:hAnsi="Times New Roman" w:cs="Times New Roman"/>
          <w:color w:val="000000"/>
          <w:kern w:val="0"/>
          <w:sz w:val="24"/>
          <w:vertAlign w:val="superscript"/>
        </w:rPr>
        <w:footnoteReference w:id="25"/>
      </w:r>
      <w:r>
        <w:rPr>
          <w:rFonts w:ascii="Times New Roman" w:eastAsia="宋体" w:hAnsi="Times New Roman" w:cs="Times New Roman"/>
          <w:color w:val="000000"/>
          <w:kern w:val="0"/>
          <w:sz w:val="24"/>
        </w:rPr>
        <w:t xml:space="preserve">。元分析表明，系统实施的校本社会情感学习能够改善学生的社会情感技能、日常行为和学业成绩</w:t>
      </w:r>
      <w:r>
        <w:rPr>
          <w:rFonts w:ascii="Times New Roman" w:eastAsia="宋体" w:hAnsi="Times New Roman" w:cs="Times New Roman"/>
          <w:color w:val="000000"/>
          <w:kern w:val="0"/>
          <w:sz w:val="24"/>
          <w:vertAlign w:val="superscript"/>
        </w:rPr>
        <w:footnoteReference w:id="26"/>
      </w:r>
      <w:r>
        <w:rPr>
          <w:rFonts w:ascii="Times New Roman" w:eastAsia="宋体" w:hAnsi="Times New Roman" w:cs="Times New Roman"/>
          <w:color w:val="000000"/>
          <w:kern w:val="0"/>
          <w:sz w:val="24"/>
        </w:rPr>
        <w:t xml:space="preserve">。</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 xml:space="preserve">岁组女生在责任感、共情和包容度上得分高于男生，情绪控制和抗压力与学业焦虑关系最为密切，成就动机、毅力和好奇心与语文、数学和艺术成绩相关</w:t>
      </w:r>
      <w:r>
        <w:rPr>
          <w:rFonts w:ascii="Times New Roman" w:eastAsia="宋体" w:hAnsi="Times New Roman" w:cs="Times New Roman"/>
          <w:color w:val="000000"/>
          <w:kern w:val="0"/>
          <w:sz w:val="24"/>
          <w:vertAlign w:val="superscript"/>
        </w:rPr>
        <w:footnoteReference w:id="27"/>
      </w:r>
      <w:r>
        <w:rPr>
          <w:rFonts w:ascii="Times New Roman" w:eastAsia="宋体" w:hAnsi="Times New Roman" w:cs="Times New Roman"/>
          <w:color w:val="000000"/>
          <w:kern w:val="0"/>
          <w:sz w:val="24"/>
        </w:rPr>
        <w:t xml:space="preserve">。基于苏州市数据的研究发现，交往能力与其他社会与情感能力之间存在中等程度的相关，并受同伴关系、家庭背景、教师和学校因素的影响</w:t>
      </w:r>
      <w:r>
        <w:rPr>
          <w:rFonts w:ascii="Times New Roman" w:eastAsia="宋体" w:hAnsi="Times New Roman" w:cs="Times New Roman"/>
          <w:color w:val="000000"/>
          <w:kern w:val="0"/>
          <w:sz w:val="24"/>
          <w:vertAlign w:val="superscript"/>
        </w:rPr>
        <w:footnoteReference w:id="28"/>
      </w:r>
      <w:r>
        <w:rPr>
          <w:rFonts w:ascii="Times New Roman" w:eastAsia="宋体" w:hAnsi="Times New Roman" w:cs="Times New Roman"/>
          <w:color w:val="000000"/>
          <w:kern w:val="0"/>
          <w:sz w:val="24"/>
        </w:rPr>
        <w:t>。上述结果表明，社会情感能力在中学阶段并不随年龄增长自然提高，学校层面的有意识培养具有必要性。同时，将深受文化影响的共情、情绪等品质转化为统一分数进行跨情境比较，存在标准化和简化的风险</w:t>
      </w:r>
      <w:r>
        <w:rPr>
          <w:rFonts w:ascii="Times New Roman" w:eastAsia="宋体" w:hAnsi="Times New Roman" w:cs="Times New Roman"/>
          <w:color w:val="000000"/>
          <w:kern w:val="0"/>
          <w:sz w:val="24"/>
          <w:vertAlign w:val="superscript"/>
        </w:rPr>
        <w:footnoteReference w:id="29"/>
      </w:r>
      <w:r>
        <w:rPr>
          <w:rFonts w:ascii="Times New Roman" w:eastAsia="宋体" w:hAnsi="Times New Roman" w:cs="Times New Roman"/>
          <w:color w:val="000000"/>
          <w:kern w:val="0"/>
          <w:sz w:val="24"/>
        </w:rPr>
        <w:t xml:space="preserve">。</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vertAlign w:val="superscript"/>
        </w:rPr>
        <w:footnoteReference w:id="30"/>
      </w:r>
      <w:r>
        <w:rPr>
          <w:rFonts w:ascii="Times New Roman" w:eastAsia="宋体" w:hAnsi="Times New Roman" w:cs="Times New Roman"/>
          <w:color w:val="000000"/>
          <w:kern w:val="0"/>
          <w:sz w:val="24"/>
        </w:rPr>
        <w:t xml:space="preserve">。</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vertAlign w:val="superscript"/>
        </w:rPr>
        <w:footnoteReference w:id="31"/>
      </w:r>
      <w:r>
        <w:rPr>
          <w:rFonts w:ascii="Times New Roman" w:eastAsia="宋体" w:hAnsi="Times New Roman" w:cs="Times New Roman"/>
          <w:color w:val="000000"/>
          <w:kern w:val="0"/>
          <w:sz w:val="24"/>
        </w:rPr>
        <w:t xml:space="preserve">。图形组织器对高阶思维同样具有显著的促进作用，其中思维导图的效果最强，概念图由于结构复杂、绘制负担较重，效果相对较弱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vertAlign w:val="superscript"/>
        </w:rPr>
        <w:footnoteReference w:id="32"/>
      </w:r>
      <w:r>
        <w:rPr>
          <w:rFonts w:ascii="Times New Roman" w:eastAsia="宋体" w:hAnsi="Times New Roman" w:cs="Times New Roman"/>
          <w:color w:val="000000"/>
          <w:kern w:val="0"/>
          <w:sz w:val="24"/>
        </w:rPr>
        <w:t xml:space="preserve">。</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 xml:space="preserve">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vertAlign w:val="superscript"/>
        </w:rPr>
        <w:footnoteReference w:id="33"/>
      </w:r>
      <w:r>
        <w:rPr>
          <w:rFonts w:ascii="Times New Roman" w:eastAsia="宋体" w:hAnsi="Times New Roman" w:cs="Times New Roman"/>
          <w:color w:val="000000"/>
          <w:kern w:val="0"/>
          <w:sz w:val="24"/>
        </w:rPr>
        <w:t xml:space="preserve">。</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vertAlign w:val="superscript"/>
        </w:rPr>
        <w:footnoteReference w:id="34"/>
      </w:r>
      <w:r>
        <w:rPr>
          <w:rFonts w:ascii="Times New Roman" w:eastAsia="宋体" w:hAnsi="Times New Roman" w:cs="Times New Roman"/>
          <w:color w:val="000000"/>
          <w:kern w:val="0"/>
          <w:sz w:val="24"/>
        </w:rPr>
        <w:t xml:space="preserve">。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vertAlign w:val="superscript"/>
        </w:rPr>
        <w:footnoteReference w:id="35"/>
      </w:r>
      <w:r>
        <w:rPr>
          <w:rFonts w:ascii="Times New Roman" w:eastAsia="宋体" w:hAnsi="Times New Roman" w:cs="Times New Roman"/>
          <w:color w:val="000000"/>
          <w:kern w:val="0"/>
          <w:sz w:val="24"/>
        </w:rPr>
        <w:t xml:space="preserve">。</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vertAlign w:val="superscript"/>
        </w:rPr>
        <w:footnoteReference w:id="36"/>
      </w:r>
      <w:r>
        <w:rPr>
          <w:rFonts w:ascii="Times New Roman" w:eastAsia="宋体" w:hAnsi="Times New Roman" w:cs="Times New Roman"/>
          <w:color w:val="000000"/>
          <w:kern w:val="0"/>
          <w:sz w:val="24"/>
        </w:rPr>
        <w:t xml:space="preserve">。</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vertAlign w:val="superscript"/>
        </w:rPr>
        <w:footnoteReference w:id="37"/>
      </w:r>
      <w:r>
        <w:rPr>
          <w:rFonts w:ascii="Times New Roman" w:eastAsia="宋体" w:hAnsi="Times New Roman" w:cs="Times New Roman"/>
          <w:color w:val="000000"/>
          <w:kern w:val="0"/>
          <w:sz w:val="24"/>
        </w:rPr>
        <w:t xml:space="preserve">。</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上海的项目化学习政策体现了同样的思路。学科项目化学习指向本学科的核心素养，跨学科项目化学习则将自然和社会中真实而复杂的问题转化为项目，指向两个及以上学科的核心素养</w:t>
      </w:r>
      <w:r>
        <w:rPr>
          <w:rFonts w:ascii="Times New Roman" w:eastAsia="宋体" w:hAnsi="Times New Roman" w:cs="Times New Roman"/>
          <w:color w:val="000000"/>
          <w:kern w:val="0"/>
          <w:sz w:val="24"/>
          <w:vertAlign w:val="superscript"/>
        </w:rPr>
        <w:footnoteReference w:id="38"/>
      </w:r>
      <w:r>
        <w:rPr>
          <w:rFonts w:ascii="Times New Roman" w:eastAsia="宋体" w:hAnsi="Times New Roman" w:cs="Times New Roman"/>
          <w:color w:val="000000"/>
          <w:kern w:val="0"/>
          <w:sz w:val="24"/>
        </w:rPr>
        <w:t xml:space="preserve">。对本课题而言，高阶能力培育既需要跨学科共享的能力目标，又需要在语文、数学、物理、英语等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认识论理解的发展研究显示，个体对知识的理解一般由视知识为确定事实的绝对主义，经过视知识为个人意见的多元主义，逐步走向依据证据和标准权衡不同主张的评价主义，后者在青少年阶段往往尚未稳定形成</w:t>
      </w:r>
      <w:r>
        <w:rPr>
          <w:rFonts w:ascii="Times New Roman" w:eastAsia="宋体" w:hAnsi="Times New Roman" w:cs="Times New Roman"/>
          <w:color w:val="000000"/>
          <w:kern w:val="0"/>
          <w:sz w:val="24"/>
          <w:vertAlign w:val="superscript"/>
        </w:rPr>
        <w:footnoteReference w:id="39"/>
      </w:r>
      <w:r>
        <w:rPr>
          <w:rFonts w:ascii="Times New Roman" w:eastAsia="宋体" w:hAnsi="Times New Roman" w:cs="Times New Roman"/>
          <w:color w:val="000000"/>
          <w:kern w:val="0"/>
          <w:sz w:val="24"/>
        </w:rPr>
        <w:t xml:space="preserve">。因此，评价设计需要区分术语使用、一般认知发展和真实的批判性判断</w:t>
      </w:r>
      <w:r>
        <w:rPr>
          <w:rFonts w:ascii="Times New Roman" w:eastAsia="宋体" w:hAnsi="Times New Roman" w:cs="Times New Roman"/>
          <w:color w:val="000000"/>
          <w:kern w:val="0"/>
          <w:sz w:val="24"/>
          <w:vertAlign w:val="superscript"/>
        </w:rPr>
        <w:footnoteReference w:id="40"/>
      </w:r>
      <w:r>
        <w:rPr>
          <w:rFonts w:ascii="Times New Roman" w:eastAsia="宋体" w:hAnsi="Times New Roman" w:cs="Times New Roman"/>
          <w:color w:val="000000"/>
          <w:kern w:val="0"/>
          <w:sz w:val="24"/>
        </w:rPr>
        <w:t xml:space="preserve">。第二个难题是教师缺乏判断依据，对国际文凭学校教师的调查显示，评估学生批判性思维的进步是教师认为最困难的工作，探究性思维缺乏标准答案，而学生又习惯于索要确定的分数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vertAlign w:val="superscript"/>
        </w:rPr>
        <w:footnoteReference w:id="41"/>
      </w:r>
      <w:r>
        <w:rPr>
          <w:rFonts w:ascii="Times New Roman" w:eastAsia="宋体" w:hAnsi="Times New Roman" w:cs="Times New Roman"/>
          <w:color w:val="000000"/>
          <w:kern w:val="0"/>
          <w:sz w:val="24"/>
        </w:rPr>
        <w:t xml:space="preserve">。</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vertAlign w:val="superscript"/>
        </w:rPr>
        <w:footnoteReference w:id="42"/>
      </w:r>
      <w:r>
        <w:rPr>
          <w:rFonts w:ascii="Times New Roman" w:eastAsia="宋体" w:hAnsi="Times New Roman" w:cs="Times New Roman"/>
          <w:color w:val="000000"/>
          <w:kern w:val="0"/>
          <w:sz w:val="24"/>
        </w:rPr>
        <w:t xml:space="preserve">。学习结果结构分类（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 xml:space="preserve">）依据学生回答的结构复杂程度，将理解水平划分为前结构、单点结构、多点结构、关联结构和拓展抽象五个层次，后两个层次对应整合多方面信息并迁移至新问题的能力，为观察思维质量提供了表现性参照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vertAlign w:val="superscript"/>
        </w:rPr>
        <w:footnoteReference w:id="43"/>
      </w:r>
      <w:r>
        <w:rPr>
          <w:rFonts w:ascii="Times New Roman" w:eastAsia="宋体" w:hAnsi="Times New Roman" w:cs="Times New Roman"/>
          <w:color w:val="000000"/>
          <w:kern w:val="0"/>
          <w:sz w:val="24"/>
        </w:rPr>
        <w:t xml:space="preserve">。</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vertAlign w:val="superscript"/>
        </w:rPr>
        <w:footnoteReference w:id="44"/>
      </w:r>
      <w:r>
        <w:rPr>
          <w:rFonts w:ascii="Times New Roman" w:eastAsia="宋体" w:hAnsi="Times New Roman" w:cs="Times New Roman"/>
          <w:color w:val="000000"/>
          <w:kern w:val="0"/>
          <w:sz w:val="24"/>
        </w:rPr>
        <w:t xml:space="preserve">。这意味着，高阶能力评价既要关注技能表现，也要关注思维倾向，并把测评结果放回具体的教学情境中理解。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vertAlign w:val="superscript"/>
        </w:rPr>
        <w:footnoteReference w:id="45"/>
      </w:r>
      <w:r>
        <w:rPr>
          <w:rFonts w:ascii="Times New Roman" w:eastAsia="宋体" w:hAnsi="Times New Roman" w:cs="Times New Roman"/>
          <w:color w:val="000000"/>
          <w:kern w:val="0"/>
          <w:sz w:val="24"/>
        </w:rPr>
        <w:t xml:space="preserve">。学习分析技术扩大了可观察的范围，但仪表盘以颜色、进度条等形式给出的直观判断，可能先于并替代教师对学生学习的专业解释</w:t>
      </w:r>
      <w:r>
        <w:rPr>
          <w:rFonts w:ascii="Times New Roman" w:eastAsia="宋体" w:hAnsi="Times New Roman" w:cs="Times New Roman"/>
          <w:color w:val="000000"/>
          <w:kern w:val="0"/>
          <w:sz w:val="24"/>
          <w:vertAlign w:val="superscript"/>
        </w:rPr>
        <w:footnoteReference w:id="46"/>
      </w:r>
      <w:proofErr w:type="spellStart"/>
      <w:proofErr w:type="spellEnd"/>
      <w:r>
        <w:rPr>
          <w:rFonts w:ascii="Times New Roman" w:eastAsia="宋体" w:hAnsi="Times New Roman" w:cs="Times New Roman"/>
          <w:color w:val="000000"/>
          <w:kern w:val="0"/>
          <w:sz w:val="24"/>
        </w:rPr>
        <w:t xml:space="preserve">。</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元分析发现，生成式人工智能对问题解决和批判性思维的促进作用较为明显，对创造力的促进作用相对较小，这可能与模型倾向于输出常规答案、学生直接采用后难以产生新颖构想有关；干预周期呈倒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 xml:space="preserve">周效果最佳，周期过短学生尚处适应阶段，周期过长则容易产生依赖和倦怠</w:t>
      </w:r>
      <w:r>
        <w:rPr>
          <w:rFonts w:ascii="Times New Roman" w:eastAsia="宋体" w:hAnsi="Times New Roman" w:cs="Times New Roman"/>
          <w:color w:val="000000"/>
          <w:kern w:val="0"/>
          <w:sz w:val="24"/>
          <w:vertAlign w:val="superscript"/>
        </w:rPr>
        <w:footnoteReference w:id="47"/>
      </w:r>
      <w:r>
        <w:rPr>
          <w:rFonts w:ascii="Times New Roman" w:eastAsia="宋体" w:hAnsi="Times New Roman" w:cs="Times New Roman"/>
          <w:color w:val="000000"/>
          <w:kern w:val="0"/>
          <w:sz w:val="24"/>
        </w:rPr>
        <w:t xml:space="preserve">。</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 xml:space="preserve">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vertAlign w:val="superscript"/>
        </w:rPr>
        <w:footnoteReference w:id="48"/>
      </w:r>
      <w:r>
        <w:rPr>
          <w:rFonts w:ascii="Times New Roman" w:eastAsia="宋体" w:hAnsi="Times New Roman" w:cs="Times New Roman"/>
          <w:color w:val="000000"/>
          <w:kern w:val="0"/>
          <w:sz w:val="24"/>
        </w:rPr>
        <w:t xml:space="preserve">。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vertAlign w:val="superscript"/>
        </w:rPr>
        <w:footnoteReference w:id="49"/>
      </w:r>
      <w:r>
        <w:rPr>
          <w:rFonts w:ascii="Times New Roman" w:eastAsia="宋体" w:hAnsi="Times New Roman" w:cs="Times New Roman"/>
          <w:color w:val="000000"/>
          <w:kern w:val="0"/>
          <w:sz w:val="24"/>
        </w:rPr>
        <w:t xml:space="preserve">。</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vertAlign w:val="superscript"/>
        </w:rPr>
        <w:footnoteReference w:id="50"/>
      </w:r>
      <w:r>
        <w:rPr>
          <w:rFonts w:ascii="Times New Roman" w:eastAsia="宋体" w:hAnsi="Times New Roman" w:cs="Times New Roman"/>
          <w:color w:val="000000"/>
          <w:kern w:val="0"/>
          <w:sz w:val="24"/>
        </w:rPr>
        <w:t xml:space="preserve">。反馈研究建议，要求学生将人工智能生成的反馈与同伴意见、教师指导和优秀范例进行比较，并说明采纳或拒绝每条建议的理由，可以使技术反馈成为学生判断的素材而非替代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vertAlign w:val="superscript"/>
        </w:rPr>
        <w:footnoteReference w:id="51"/>
      </w:r>
      <w:r>
        <w:rPr>
          <w:rFonts w:ascii="Times New Roman" w:eastAsia="宋体" w:hAnsi="Times New Roman" w:cs="Times New Roman"/>
          <w:color w:val="000000"/>
          <w:kern w:val="0"/>
          <w:sz w:val="24"/>
        </w:rPr>
        <w:t xml:space="preserve">。数智技术并未降低高阶能力的重要性，反而对学习设计以及判断学生是否真正进行思考提出了更高要求。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 xml:space="preserve">个标准差的平均效应作为比较不同教育干预相对效果的参照</w:t>
      </w:r>
      <w:r>
        <w:rPr>
          <w:rFonts w:ascii="Times New Roman" w:eastAsia="宋体" w:hAnsi="Times New Roman" w:cs="Times New Roman"/>
          <w:color w:val="000000"/>
          <w:kern w:val="0"/>
          <w:sz w:val="24"/>
          <w:vertAlign w:val="superscript"/>
        </w:rPr>
        <w:footnoteReference w:id="52"/>
      </w:r>
      <w:r>
        <w:rPr>
          <w:rFonts w:ascii="Times New Roman" w:eastAsia="宋体" w:hAnsi="Times New Roman" w:cs="Times New Roman"/>
          <w:color w:val="000000"/>
          <w:kern w:val="0"/>
          <w:sz w:val="24"/>
        </w:rPr>
        <w:t xml:space="preserve">。由于几乎所有教学干预都能带来一定进步，这一框架主张判断一项干预是否值得推广，应看其能否带来高于平均水平的增益。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 xml:space="preserve">）以课程锚定的诊断性测评为教师提供学生所处进阶位置的信息，使评价结果能够及时转化为调整教学的依据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vertAlign w:val="superscript"/>
        </w:rPr>
        <w:footnoteReference w:id="53"/>
      </w:r>
      <w:r>
        <w:rPr>
          <w:rFonts w:ascii="Times New Roman" w:eastAsia="宋体" w:hAnsi="Times New Roman" w:cs="Times New Roman"/>
          <w:color w:val="000000"/>
          <w:kern w:val="0"/>
          <w:sz w:val="24"/>
        </w:rPr>
        <w:t xml:space="preserve">。</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研究较早从教学论角度解读这一理论。可见的学习具有普通教学论的性质，其价值在于把教师、学生、内容和环境组织为相互联系的整体，因素排名并不能直接决定家庭作业、混龄编班等具体制度的取舍，教师如何组合教学条件并把握教学时机同样重要</w:t>
      </w:r>
      <w:r>
        <w:rPr>
          <w:rFonts w:ascii="Times New Roman" w:eastAsia="宋体" w:hAnsi="Times New Roman" w:cs="Times New Roman"/>
          <w:color w:val="000000"/>
          <w:kern w:val="0"/>
          <w:sz w:val="24"/>
          <w:vertAlign w:val="superscript"/>
        </w:rPr>
        <w:footnoteReference w:id="54"/>
      </w:r>
      <w:r>
        <w:rPr>
          <w:rFonts w:ascii="Times New Roman" w:eastAsia="宋体" w:hAnsi="Times New Roman" w:cs="Times New Roman"/>
          <w:color w:val="000000"/>
          <w:kern w:val="0"/>
          <w:sz w:val="24"/>
        </w:rPr>
        <w:t xml:space="preserve">。按照教学三角的解释框架，教学处于学生、教师和课程之间，家庭、学校和班级构成外部条件，教师应着力改善那些能够被教学改变的学习条件</w:t>
      </w:r>
      <w:r>
        <w:rPr>
          <w:rFonts w:ascii="Times New Roman" w:eastAsia="宋体" w:hAnsi="Times New Roman" w:cs="Times New Roman"/>
          <w:color w:val="000000"/>
          <w:kern w:val="0"/>
          <w:sz w:val="24"/>
          <w:vertAlign w:val="superscript"/>
        </w:rPr>
        <w:footnoteReference w:id="55"/>
      </w:r>
      <w:r>
        <w:rPr>
          <w:rFonts w:ascii="Times New Roman" w:eastAsia="宋体" w:hAnsi="Times New Roman" w:cs="Times New Roman"/>
          <w:color w:val="000000"/>
          <w:kern w:val="0"/>
          <w:sz w:val="24"/>
        </w:rPr>
        <w:t xml:space="preserve">。Hattie的元分析证据与OECD的PISA-TALIS调查在方法和变量上各不相同，但都凸显了教师可信度、教学热忱、反馈能力和支持性课堂环境的作用，为重新重视教师与教学提供了依据；同时，元分析依赖原始研究的数量与质量，PISA-TALIS受到横截面设计和自我报告的限制，相关结果不能直接解释为确定的因果机制</w:t>
      </w:r>
      <w:r>
        <w:rPr>
          <w:rFonts w:ascii="Times New Roman" w:eastAsia="宋体" w:hAnsi="Times New Roman" w:cs="Times New Roman"/>
          <w:color w:val="000000"/>
          <w:kern w:val="0"/>
          <w:sz w:val="24"/>
          <w:vertAlign w:val="superscript"/>
        </w:rPr>
        <w:footnoteReference w:id="56"/>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该理论自身也在不断发展。相关著作经历了由元分析综合到教师版、学习科学、影响循环和学校改进的扩展过程，可见的学习2.0在更新数据的同时，进一步反思了机械使用因素排名的做法，更加重视实施方式、教师判断、公平包容和信任关系，形成了更为均衡的教育视角</w:t>
      </w:r>
      <w:r>
        <w:rPr>
          <w:rFonts w:ascii="Times New Roman" w:eastAsia="宋体" w:hAnsi="Times New Roman" w:cs="Times New Roman"/>
          <w:color w:val="000000"/>
          <w:kern w:val="0"/>
          <w:sz w:val="24"/>
          <w:vertAlign w:val="superscript"/>
        </w:rPr>
        <w:footnoteReference w:id="57"/>
      </w:r>
      <w:r>
        <w:rPr>
          <w:rFonts w:ascii="Times New Roman" w:eastAsia="宋体" w:hAnsi="Times New Roman" w:cs="Times New Roman"/>
          <w:color w:val="000000"/>
          <w:kern w:val="0"/>
          <w:sz w:val="24"/>
        </w:rPr>
        <w:t xml:space="preserve">。这一变化意味着，理解可见的学习需要从关注哪些因素的效应量更高，转向关注教师如何在具体情境中依据证据改进教学。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可见的学习对教学的解释建立在学习科学的基础之上。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学习风格匹配、一心多用以及技术能够自动提升学习等流行观念则缺乏证据支持</w:t>
      </w:r>
      <w:r>
        <w:rPr>
          <w:rFonts w:ascii="Times New Roman" w:eastAsia="宋体" w:hAnsi="Times New Roman" w:cs="Times New Roman"/>
          <w:color w:val="000000"/>
          <w:kern w:val="0"/>
          <w:sz w:val="24"/>
          <w:vertAlign w:val="superscript"/>
        </w:rPr>
        <w:footnoteReference w:id="58"/>
      </w:r>
      <w:r>
        <w:rPr>
          <w:rFonts w:ascii="Times New Roman" w:eastAsia="宋体" w:hAnsi="Times New Roman" w:cs="Times New Roman"/>
          <w:color w:val="000000"/>
          <w:kern w:val="0"/>
          <w:sz w:val="24"/>
        </w:rPr>
        <w:t xml:space="preserve">。学习科学内部同时存在强调情境与知识建构、强调神经与认知机制两种话语，神经机制需要经过不同层次证据的转化才能进入课堂。综合元分析、心理学和神经科学的材料，可以提炼出神经可塑性、双系统模型、认知负荷、社会脑、动机调控系统和神经普适性六个共通主题，以跨层次证据支持教师的专业判断，学习风格、左右脑等被简化和商业包装的概念则需要警惕</w:t>
      </w:r>
      <w:r>
        <w:rPr>
          <w:rFonts w:ascii="Times New Roman" w:eastAsia="宋体" w:hAnsi="Times New Roman" w:cs="Times New Roman"/>
          <w:color w:val="000000"/>
          <w:kern w:val="0"/>
          <w:sz w:val="24"/>
          <w:vertAlign w:val="superscript"/>
        </w:rPr>
        <w:footnoteReference w:id="59"/>
      </w:r>
      <w:r>
        <w:rPr>
          <w:rFonts w:ascii="Times New Roman" w:eastAsia="宋体" w:hAnsi="Times New Roman" w:cs="Times New Roman"/>
          <w:color w:val="000000"/>
          <w:kern w:val="0"/>
          <w:sz w:val="24"/>
        </w:rPr>
        <w:t xml:space="preserve">。</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 xml:space="preserve">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vertAlign w:val="superscript"/>
        </w:rPr>
        <w:footnoteReference w:id="60"/>
      </w:r>
      <w:r>
        <w:rPr>
          <w:rFonts w:ascii="Times New Roman" w:eastAsia="宋体" w:hAnsi="Times New Roman" w:cs="Times New Roman"/>
          <w:color w:val="000000"/>
          <w:kern w:val="0"/>
          <w:sz w:val="24"/>
        </w:rPr>
        <w:t xml:space="preserve">。</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vertAlign w:val="superscript"/>
        </w:rPr>
        <w:footnoteReference w:id="61"/>
      </w:r>
      <w:r>
        <w:rPr>
          <w:rFonts w:ascii="Times New Roman" w:eastAsia="宋体" w:hAnsi="Times New Roman" w:cs="Times New Roman"/>
          <w:color w:val="000000"/>
          <w:kern w:val="0"/>
          <w:sz w:val="24"/>
        </w:rPr>
        <w:t xml:space="preserve">。这一发现提示，学校自行构建的能力进阶描述同样需要在教学实践中检验和修订。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vertAlign w:val="superscript"/>
        </w:rPr>
        <w:footnoteReference w:id="62"/>
      </w:r>
      <w:r>
        <w:rPr>
          <w:rFonts w:ascii="Times New Roman" w:eastAsia="宋体" w:hAnsi="Times New Roman" w:cs="Times New Roman"/>
          <w:color w:val="000000"/>
          <w:kern w:val="0"/>
          <w:sz w:val="24"/>
        </w:rPr>
        <w:t xml:space="preserve">。反馈具有双向性，学生的作业、提问和错误同样是教师判断教学效果的信息来源，学校也可以由此建设为持续追问下一步方向的反馈文化</w:t>
      </w:r>
      <w:r>
        <w:rPr>
          <w:rFonts w:ascii="Times New Roman" w:eastAsia="宋体" w:hAnsi="Times New Roman" w:cs="Times New Roman"/>
          <w:color w:val="000000"/>
          <w:kern w:val="0"/>
          <w:sz w:val="24"/>
          <w:vertAlign w:val="superscript"/>
        </w:rPr>
        <w:footnoteReference w:id="63"/>
      </w:r>
      <w:r>
        <w:rPr>
          <w:rFonts w:ascii="Times New Roman" w:eastAsia="宋体" w:hAnsi="Times New Roman" w:cs="Times New Roman"/>
          <w:color w:val="000000"/>
          <w:kern w:val="0"/>
          <w:sz w:val="24"/>
        </w:rPr>
        <w:t xml:space="preserve">。课堂观察研究发现，教师往往难以觉察课堂中正在发生的大部分事情，教师自认为讲授仅占课堂时间的二至三成，实际测量却达到七至八成，这说明教师需要借助证据而非仅凭感觉了解课堂</w:t>
      </w:r>
      <w:r>
        <w:rPr>
          <w:rFonts w:ascii="Times New Roman" w:eastAsia="宋体" w:hAnsi="Times New Roman" w:cs="Times New Roman"/>
          <w:color w:val="000000"/>
          <w:kern w:val="0"/>
          <w:sz w:val="24"/>
          <w:vertAlign w:val="superscript"/>
        </w:rPr>
        <w:footnoteReference w:id="64"/>
      </w:r>
      <w:r>
        <w:rPr>
          <w:rFonts w:ascii="Times New Roman" w:eastAsia="宋体" w:hAnsi="Times New Roman" w:cs="Times New Roman"/>
          <w:color w:val="000000"/>
          <w:kern w:val="0"/>
          <w:sz w:val="24"/>
        </w:rPr>
        <w:t xml:space="preserve">。反馈的效果还取决于学习者的反馈素养，即理解反馈、判断其合理性、调节面对批评时的情绪并将建议转化为改进行动的能力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vertAlign w:val="superscript"/>
        </w:rPr>
        <w:footnoteReference w:id="65"/>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研究在引介反馈模型的基础上作了扩展和本土诊断。从行为主义、认知主义到建构主义，反馈观逐步把学习者的先前知识、信念、情绪以及师生信任纳入考虑，这些因素影响反馈能否被接受，课堂实施还需要统筹反馈的时机、互动结构和媒介，师生双方的反馈素养都需要发展；不同研究对反馈的界定和功能划分并不一致，影响元分析结果的可比性，创造性任务的质量标准具有开放性，难以完全分解为标准化程序，需要通过协商与对话理解成功标准</w:t>
      </w:r>
      <w:r>
        <w:rPr>
          <w:rFonts w:ascii="Times New Roman" w:eastAsia="宋体" w:hAnsi="Times New Roman" w:cs="Times New Roman"/>
          <w:color w:val="000000"/>
          <w:kern w:val="0"/>
          <w:sz w:val="24"/>
          <w:vertAlign w:val="superscript"/>
        </w:rPr>
        <w:footnoteReference w:id="66"/>
      </w:r>
      <w:r>
        <w:rPr>
          <w:rFonts w:ascii="Times New Roman" w:eastAsia="宋体" w:hAnsi="Times New Roman" w:cs="Times New Roman"/>
          <w:color w:val="000000"/>
          <w:kern w:val="0"/>
          <w:sz w:val="24"/>
        </w:rPr>
        <w:t xml:space="preserve">。中小学课堂反馈存在方式僵化、内容窄化、环节固化和效能弱化等困境，表现为频繁判断对错、依赖个人表扬、同伴参与不足以及忽视学生对反馈的运用，针对这些问题可以构建包含情境、干预、机制和结果四个要素的课堂反馈模型</w:t>
      </w:r>
      <w:r>
        <w:rPr>
          <w:rFonts w:ascii="Times New Roman" w:eastAsia="宋体" w:hAnsi="Times New Roman" w:cs="Times New Roman"/>
          <w:color w:val="000000"/>
          <w:kern w:val="0"/>
          <w:sz w:val="24"/>
          <w:vertAlign w:val="superscript"/>
        </w:rPr>
        <w:footnoteReference w:id="67"/>
      </w:r>
      <w:r>
        <w:rPr>
          <w:rFonts w:ascii="Times New Roman" w:eastAsia="宋体" w:hAnsi="Times New Roman" w:cs="Times New Roman"/>
          <w:color w:val="000000"/>
          <w:kern w:val="0"/>
          <w:sz w:val="24"/>
        </w:rPr>
        <w:t xml:space="preserve">。反馈的接受与行动同样关键，信任关系、欢迎错误的课堂文化以及围绕优秀作品和成功标准的共同讨论，能够把反馈组织为师生之间的双向对话，使评语真正进入学生的修订行动</w:t>
      </w:r>
      <w:r>
        <w:rPr>
          <w:rFonts w:ascii="Times New Roman" w:eastAsia="宋体" w:hAnsi="Times New Roman" w:cs="Times New Roman"/>
          <w:color w:val="000000"/>
          <w:kern w:val="0"/>
          <w:sz w:val="24"/>
          <w:vertAlign w:val="superscript"/>
        </w:rPr>
        <w:footnoteReference w:id="68"/>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反馈的最终指向是学生能够评价和调整自己的学习。学生自评能力的培养包括两种转化，一是通过诊断、干预、实施和评估，使教师的自评能力逐步转化为学生的自评能力，二是使教师的心智框架逐步转化为学生的心智框架，学习责任由此从教师转交给学生；缺乏目标认识与自我监控的学生难以有效管理自主学习，自评能力因而是开展个性化教学的重要前提</w:t>
      </w:r>
      <w:r>
        <w:rPr>
          <w:rFonts w:ascii="Times New Roman" w:eastAsia="宋体" w:hAnsi="Times New Roman" w:cs="Times New Roman"/>
          <w:color w:val="000000"/>
          <w:kern w:val="0"/>
          <w:sz w:val="24"/>
          <w:vertAlign w:val="superscript"/>
        </w:rPr>
        <w:footnoteReference w:id="69"/>
      </w:r>
      <w:r>
        <w:rPr>
          <w:rFonts w:ascii="Times New Roman" w:eastAsia="宋体" w:hAnsi="Times New Roman" w:cs="Times New Roman"/>
          <w:color w:val="000000"/>
          <w:kern w:val="0"/>
          <w:sz w:val="24"/>
        </w:rPr>
        <w:t xml:space="preserve">。杭州闻涛中学的实践表明，成功标准可以通过师生讨论共同制订和优化，生长式评价量表能够成为学生的学习支架，教师的元认知示范与领导者组织的协作式专业对话共同支持学生自评能力的发展</w:t>
      </w:r>
      <w:r>
        <w:rPr>
          <w:rFonts w:ascii="Times New Roman" w:eastAsia="宋体" w:hAnsi="Times New Roman" w:cs="Times New Roman"/>
          <w:color w:val="000000"/>
          <w:kern w:val="0"/>
          <w:sz w:val="24"/>
          <w:vertAlign w:val="superscript"/>
        </w:rPr>
        <w:footnoteReference w:id="70"/>
      </w:r>
      <w:r>
        <w:rPr>
          <w:rFonts w:ascii="Times New Roman" w:eastAsia="宋体" w:hAnsi="Times New Roman" w:cs="Times New Roman"/>
          <w:color w:val="000000"/>
          <w:kern w:val="0"/>
          <w:sz w:val="24"/>
        </w:rPr>
        <w:t xml:space="preserve">。</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 xml:space="preserve">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vertAlign w:val="superscript"/>
        </w:rPr>
        <w:footnoteReference w:id="71"/>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研究对教师心智框架的讨论更多结合中国教育传统展开。Hattie和Zierer后来将教师思维框架扩展为十个心智框架，它与《学记》中的教师信条在教师专业责任、合作、教学时机和学生自主发展方面具有共识，前者更突出学习证据与评价反馈，后者更重视社会责任以及学生离开教师后的独立性；根据学生准备程度、任务难度和情境变化选择恰当支持的教育机敏，由此被视为卓越教师的核心</w:t>
      </w:r>
      <w:r>
        <w:rPr>
          <w:rFonts w:ascii="Times New Roman" w:eastAsia="宋体" w:hAnsi="Times New Roman" w:cs="Times New Roman"/>
          <w:color w:val="000000"/>
          <w:kern w:val="0"/>
          <w:sz w:val="24"/>
          <w:vertAlign w:val="superscript"/>
        </w:rPr>
        <w:footnoteReference w:id="72"/>
      </w:r>
      <w:r>
        <w:rPr>
          <w:rFonts w:ascii="Times New Roman" w:eastAsia="宋体" w:hAnsi="Times New Roman" w:cs="Times New Roman"/>
          <w:color w:val="000000"/>
          <w:kern w:val="0"/>
          <w:sz w:val="24"/>
        </w:rPr>
        <w:t xml:space="preserve">。心智框架还对应着教师的专业品质，批判性思维使教师能够检验自身方法、理解他者视角并调整决策，教学热忱经过长期反思与实践，会转化为捕捉学生状态、把握教学时机的教育直觉</w:t>
      </w:r>
      <w:r>
        <w:rPr>
          <w:rFonts w:ascii="Times New Roman" w:eastAsia="宋体" w:hAnsi="Times New Roman" w:cs="Times New Roman"/>
          <w:color w:val="000000"/>
          <w:kern w:val="0"/>
          <w:sz w:val="24"/>
          <w:vertAlign w:val="superscript"/>
        </w:rPr>
        <w:footnoteReference w:id="73"/>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教学过程层面，Hattie及其合作者提出的DIIE模式把教学组织为诊断与发现、干预、实施和评估四个阶段，可以作为教师共享的教学语言。诊断关注学生的先前知识、学习意愿与动力，干预针对当前水平与目标之间的差距选择策略，实施强调明确目标、适当任务和差异化支持，评估依据成功标准收集证据并决定后续方向；支持方式可以区分为补偿性支持与适应性支持，评估应同时考察成就与进步，对高成就但进步有限的学生同样需要重新审视支持方式</w:t>
      </w:r>
      <w:r>
        <w:rPr>
          <w:rFonts w:ascii="Times New Roman" w:eastAsia="宋体" w:hAnsi="Times New Roman" w:cs="Times New Roman"/>
          <w:color w:val="000000"/>
          <w:kern w:val="0"/>
          <w:sz w:val="24"/>
          <w:vertAlign w:val="superscript"/>
        </w:rPr>
        <w:footnoteReference w:id="74"/>
      </w:r>
      <w:r>
        <w:rPr>
          <w:rFonts w:ascii="Times New Roman" w:eastAsia="宋体" w:hAnsi="Times New Roman" w:cs="Times New Roman"/>
          <w:color w:val="000000"/>
          <w:kern w:val="0"/>
          <w:sz w:val="24"/>
        </w:rPr>
        <w:t xml:space="preserve">。共享的教学语言使教师能够围绕学生证据讨论和调整教学，这为本课题建构四步调节的教学模型提供了直接参照。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vertAlign w:val="superscript"/>
        </w:rPr>
        <w:footnoteReference w:id="75"/>
      </w:r>
      <w:r>
        <w:rPr>
          <w:rFonts w:ascii="Times New Roman" w:eastAsia="宋体" w:hAnsi="Times New Roman" w:cs="Times New Roman"/>
          <w:color w:val="000000"/>
          <w:kern w:val="0"/>
          <w:sz w:val="24"/>
        </w:rPr>
        <w:t xml:space="preserve">。有效的专业学习共同体通常具有聚焦学生学习的共同愿景、对学生学业成效的集体责任、反思性的专业探究以及超越一般互助的深度协作等特征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vertAlign w:val="superscript"/>
        </w:rPr>
        <w:footnoteReference w:id="76"/>
      </w:r>
      <w:r>
        <w:rPr>
          <w:rFonts w:ascii="Times New Roman" w:eastAsia="宋体" w:hAnsi="Times New Roman" w:cs="Times New Roman"/>
          <w:color w:val="000000"/>
          <w:kern w:val="0"/>
          <w:sz w:val="24"/>
        </w:rPr>
        <w:t xml:space="preserve">。关于教育证据使用的研究也发现，学校在日常排课中为教师保留专门的研讨时间，教师才能在互信的氛围中提出疑问、研读研究并结合班级学情设计教学尝试，研究证据也更可能真正进入课堂</w:t>
      </w:r>
      <w:r>
        <w:rPr>
          <w:rFonts w:ascii="Times New Roman" w:eastAsia="宋体" w:hAnsi="Times New Roman" w:cs="Times New Roman"/>
          <w:color w:val="000000"/>
          <w:kern w:val="0"/>
          <w:sz w:val="24"/>
          <w:vertAlign w:val="superscript"/>
        </w:rPr>
        <w:footnoteReference w:id="77"/>
      </w:r>
      <w:proofErr w:type="spellStart"/>
      <w:proofErr w:type="spellEnd"/>
      <w:r>
        <w:rPr>
          <w:rFonts w:ascii="Times New Roman" w:eastAsia="宋体" w:hAnsi="Times New Roman" w:cs="Times New Roman"/>
          <w:color w:val="000000"/>
          <w:kern w:val="0"/>
          <w:sz w:val="24"/>
        </w:rPr>
        <w:t xml:space="preserve">。</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r>
        <w:rPr>
          <w:rFonts w:ascii="Times New Roman" w:eastAsia="宋体" w:hAnsi="Times New Roman" w:cs="Times New Roman"/>
          <w:color w:val="000000"/>
          <w:kern w:val="0"/>
          <w:sz w:val="24"/>
          <w:vertAlign w:val="superscript"/>
        </w:rPr>
        <w:footnoteReference w:id="78"/>
      </w:r>
      <w:proofErr w:type="spellStart"/>
      <w:proofErr w:type="spellEnd"/>
      <w:r>
        <w:rPr>
          <w:rFonts w:ascii="Times New Roman" w:eastAsia="宋体" w:hAnsi="Times New Roman" w:cs="Times New Roman"/>
          <w:color w:val="000000"/>
          <w:kern w:val="0"/>
          <w:sz w:val="24"/>
        </w:rPr>
        <w:t xml:space="preserve">。另一方面，把课例研究作为教师共同检验教学方案的正式机制，有助于将教师自身的探究与外部研究证据结合起来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vertAlign w:val="superscript"/>
        </w:rPr>
        <w:footnoteReference w:id="79"/>
      </w:r>
      <w:r>
        <w:rPr>
          <w:rFonts w:ascii="Times New Roman" w:eastAsia="宋体" w:hAnsi="Times New Roman" w:cs="Times New Roman"/>
          <w:color w:val="000000"/>
          <w:kern w:val="0"/>
          <w:sz w:val="24"/>
        </w:rPr>
        <w:t xml:space="preserve">。教研活动的关键在于是否聚焦学生真实的学习表现，并在多轮实践中检验改进是否有效。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学校领导者在其中承担组织证据使用的责任。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w:t>
      </w:r>
      <w:r>
        <w:rPr>
          <w:rFonts w:ascii="Times New Roman" w:eastAsia="宋体" w:hAnsi="Times New Roman" w:cs="Times New Roman"/>
          <w:color w:val="000000"/>
          <w:kern w:val="0"/>
          <w:sz w:val="24"/>
          <w:vertAlign w:val="superscript"/>
        </w:rPr>
        <w:footnoteReference w:id="80"/>
      </w:r>
      <w:r>
        <w:rPr>
          <w:rFonts w:ascii="Times New Roman" w:eastAsia="宋体" w:hAnsi="Times New Roman" w:cs="Times New Roman"/>
          <w:color w:val="000000"/>
          <w:kern w:val="0"/>
          <w:sz w:val="24"/>
        </w:rPr>
        <w:t xml:space="preserve">。可见的学习的影响还延伸到家庭。针对中国家庭中常见的作业焦虑和过度干预，父母需要把明确的界限与积极回应、自主空间结合起来，以具体的任务反馈替代笼统表扬，并示范承认错误、分析过程和制定改进计划，使家庭成为支持学生学习的力量</w:t>
      </w:r>
      <w:r>
        <w:rPr>
          <w:rFonts w:ascii="Times New Roman" w:eastAsia="宋体" w:hAnsi="Times New Roman" w:cs="Times New Roman"/>
          <w:color w:val="000000"/>
          <w:kern w:val="0"/>
          <w:sz w:val="24"/>
          <w:vertAlign w:val="superscript"/>
        </w:rPr>
        <w:footnoteReference w:id="81"/>
      </w:r>
      <w:r>
        <w:rPr>
          <w:rFonts w:ascii="Times New Roman" w:eastAsia="宋体" w:hAnsi="Times New Roman" w:cs="Times New Roman"/>
          <w:color w:val="000000"/>
          <w:kern w:val="0"/>
          <w:sz w:val="24"/>
        </w:rPr>
        <w:t xml:space="preserve">。</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近年来，国内研究开始把可见的学习转化为学科教学和项目化学习的具体设计。在语文学科，针对课堂目标模糊和浅层学习等问题，教学重构可以从设计、过程和评价三个维度展开，确立主要目标，通过追问、讨论和教师示范促进学生的认知改变，并运用成就水平检查单考察表层知识、深层理解和概念性思维</w:t>
      </w:r>
      <w:r>
        <w:rPr>
          <w:rFonts w:ascii="Times New Roman" w:eastAsia="宋体" w:hAnsi="Times New Roman" w:cs="Times New Roman"/>
          <w:color w:val="000000"/>
          <w:kern w:val="0"/>
          <w:sz w:val="24"/>
          <w:vertAlign w:val="superscript"/>
        </w:rPr>
        <w:footnoteReference w:id="82"/>
      </w:r>
      <w:r>
        <w:rPr>
          <w:rFonts w:ascii="Times New Roman" w:eastAsia="宋体" w:hAnsi="Times New Roman" w:cs="Times New Roman"/>
          <w:color w:val="000000"/>
          <w:kern w:val="0"/>
          <w:sz w:val="24"/>
        </w:rPr>
        <w:t xml:space="preserve">。在化学学科，依据初中化学课程标准构建的学习分析框架由目标、知识、实践和评价四个要素组成，以酸性土壤改良为例，方案设计、实验操作、定量分析和评价量表共同提供学习证据，用以诊断知识理解与实际表现之间的差距</w:t>
      </w:r>
      <w:r>
        <w:rPr>
          <w:rFonts w:ascii="Times New Roman" w:eastAsia="宋体" w:hAnsi="Times New Roman" w:cs="Times New Roman"/>
          <w:color w:val="000000"/>
          <w:kern w:val="0"/>
          <w:sz w:val="24"/>
          <w:vertAlign w:val="superscript"/>
        </w:rPr>
        <w:footnoteReference w:id="83"/>
      </w:r>
      <w:r>
        <w:rPr>
          <w:rFonts w:ascii="Times New Roman" w:eastAsia="宋体" w:hAnsi="Times New Roman" w:cs="Times New Roman"/>
          <w:color w:val="000000"/>
          <w:kern w:val="0"/>
          <w:sz w:val="24"/>
        </w:rPr>
        <w:t xml:space="preserve">。表层、深度和迁移学习模型也已被具体化为语文议论文、数学函数和科学生态系统的教学设计，实施的关键在于教师准确判断学生所处的阶段，避免在基础不足时过早提高复杂要求，或在学生已形成深度理解后继续重复表层练习</w:t>
      </w:r>
      <w:r>
        <w:rPr>
          <w:rFonts w:ascii="Times New Roman" w:eastAsia="宋体" w:hAnsi="Times New Roman" w:cs="Times New Roman"/>
          <w:color w:val="000000"/>
          <w:kern w:val="0"/>
          <w:sz w:val="24"/>
          <w:vertAlign w:val="superscript"/>
        </w:rPr>
        <w:footnoteReference w:id="84"/>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项目化学习是另一类重要的应用场域。已有研究中项目式学习的效果差异较大，结合巴克教育研究所提出的项目式学习金标准，项目式学习可以被理解为整合多种高影响策略的开放框架，基础知识学习可以采用直接教学，深化理解和方案设计则需要适当的支架与启发，设计中需要明确目标与挑战性问题、分层指导、以评价反馈持续改进并重视学生声音与选择</w:t>
      </w:r>
      <w:r>
        <w:rPr>
          <w:rFonts w:ascii="Times New Roman" w:eastAsia="宋体" w:hAnsi="Times New Roman" w:cs="Times New Roman"/>
          <w:color w:val="000000"/>
          <w:kern w:val="0"/>
          <w:sz w:val="24"/>
          <w:vertAlign w:val="superscript"/>
        </w:rPr>
        <w:footnoteReference w:id="85"/>
      </w:r>
      <w:r>
        <w:rPr>
          <w:rFonts w:ascii="Times New Roman" w:eastAsia="宋体" w:hAnsi="Times New Roman" w:cs="Times New Roman"/>
          <w:color w:val="000000"/>
          <w:kern w:val="0"/>
          <w:sz w:val="24"/>
        </w:rPr>
        <w:t xml:space="preserve">。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w:t>
      </w:r>
      <w:r>
        <w:rPr>
          <w:rFonts w:ascii="Times New Roman" w:eastAsia="宋体" w:hAnsi="Times New Roman" w:cs="Times New Roman"/>
          <w:color w:val="000000"/>
          <w:kern w:val="0"/>
          <w:sz w:val="24"/>
          <w:vertAlign w:val="superscript"/>
        </w:rPr>
        <w:footnoteReference w:id="86"/>
      </w:r>
      <w:r>
        <w:rPr>
          <w:rFonts w:ascii="Times New Roman" w:eastAsia="宋体" w:hAnsi="Times New Roman" w:cs="Times New Roman"/>
          <w:color w:val="000000"/>
          <w:kern w:val="0"/>
          <w:sz w:val="24"/>
        </w:rPr>
        <w:t xml:space="preserve">。总体来看，这些研究为可见的学习的本土转化提供了丰富案例，但多聚焦于单一学科、单一环节或单个项目，对高阶能力的整体结构及其在多个场域中的持续发展关注不足。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 xml:space="preserve">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vertAlign w:val="superscript"/>
        </w:rPr>
        <w:footnoteReference w:id="87"/>
      </w:r>
      <w:r>
        <w:rPr>
          <w:rFonts w:ascii="Times New Roman" w:eastAsia="宋体" w:hAnsi="Times New Roman" w:cs="Times New Roman"/>
          <w:color w:val="000000"/>
          <w:kern w:val="0"/>
          <w:sz w:val="24"/>
        </w:rPr>
        <w:t xml:space="preserve">。对二级元分析方法的系统检验发现，原始研究被重复计算、加权方式不一致等问题较为普遍，在一个案例中按正确方法重新计算后，基于网络的学习的效应量由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 xml:space="preserve">位，据此按效应量进行排序具有误导性</w:t>
      </w:r>
      <w:r>
        <w:rPr>
          <w:rFonts w:ascii="Times New Roman" w:eastAsia="宋体" w:hAnsi="Times New Roman" w:cs="Times New Roman"/>
          <w:color w:val="000000"/>
          <w:kern w:val="0"/>
          <w:sz w:val="24"/>
          <w:vertAlign w:val="superscript"/>
        </w:rPr>
        <w:footnoteReference w:id="88"/>
      </w:r>
      <w:r>
        <w:rPr>
          <w:rFonts w:ascii="Times New Roman" w:eastAsia="宋体" w:hAnsi="Times New Roman" w:cs="Times New Roman"/>
          <w:color w:val="000000"/>
          <w:kern w:val="0"/>
          <w:sz w:val="24"/>
        </w:rPr>
        <w:t xml:space="preserve">。数值示例还表明，同一组数据采用不同公式计算效应量，可能得出完全</w:t>
      </w:r>
      <w:r>
        <w:rPr>
          <w:rFonts w:ascii="Times New Roman" w:eastAsia="宋体" w:hAnsi="Times New Roman" w:cs="Times New Roman"/>
          <w:color w:val="000000"/>
          <w:kern w:val="0"/>
          <w:sz w:val="24"/>
        </w:rPr>
        <w:lastRenderedPageBreak/>
        <w:t xml:space="preserve">相反的排序</w:t>
      </w:r>
      <w:r>
        <w:rPr>
          <w:rFonts w:ascii="Times New Roman" w:eastAsia="宋体" w:hAnsi="Times New Roman" w:cs="Times New Roman"/>
          <w:color w:val="000000"/>
          <w:kern w:val="0"/>
          <w:sz w:val="24"/>
          <w:vertAlign w:val="superscript"/>
        </w:rPr>
        <w:footnoteReference w:id="89"/>
      </w:r>
      <w:r>
        <w:rPr>
          <w:rFonts w:ascii="Times New Roman" w:eastAsia="宋体" w:hAnsi="Times New Roman" w:cs="Times New Roman"/>
          <w:color w:val="000000"/>
          <w:kern w:val="0"/>
          <w:sz w:val="24"/>
        </w:rPr>
        <w:t xml:space="preserve">；大量元分析的层层汇总也会导致原始研究中的具体信息丢失或被扭曲</w:t>
      </w:r>
      <w:r>
        <w:rPr>
          <w:rFonts w:ascii="Times New Roman" w:eastAsia="宋体" w:hAnsi="Times New Roman" w:cs="Times New Roman"/>
          <w:color w:val="000000"/>
          <w:kern w:val="0"/>
          <w:sz w:val="24"/>
          <w:vertAlign w:val="superscript"/>
        </w:rPr>
        <w:footnoteReference w:id="90"/>
      </w:r>
      <w:proofErr w:type="spellStart"/>
      <w:proofErr w:type="spellEnd"/>
      <w:r>
        <w:rPr>
          <w:rFonts w:ascii="Times New Roman" w:eastAsia="宋体" w:hAnsi="Times New Roman" w:cs="Times New Roman"/>
          <w:color w:val="000000"/>
          <w:kern w:val="0"/>
          <w:sz w:val="24"/>
        </w:rPr>
        <w:t xml:space="preserve">。</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 xml:space="preserve">的反馈干预降低了学生表现，其余研究涉及的则是奖励强化、教师亲和力等不同现象</w:t>
      </w:r>
      <w:r>
        <w:rPr>
          <w:rFonts w:ascii="Times New Roman" w:eastAsia="宋体" w:hAnsi="Times New Roman" w:cs="Times New Roman"/>
          <w:color w:val="000000"/>
          <w:kern w:val="0"/>
          <w:sz w:val="24"/>
          <w:vertAlign w:val="superscript"/>
        </w:rPr>
        <w:footnoteReference w:id="91"/>
      </w:r>
      <w:r>
        <w:rPr>
          <w:rFonts w:ascii="Times New Roman" w:eastAsia="宋体" w:hAnsi="Times New Roman" w:cs="Times New Roman"/>
          <w:color w:val="000000"/>
          <w:kern w:val="0"/>
          <w:sz w:val="24"/>
        </w:rPr>
        <w:t xml:space="preserve">。元分析所依据的多为标准化考试成绩，偏重表层知识，对深层理解和批判性思维的反映有限</w:t>
      </w:r>
      <w:r>
        <w:rPr>
          <w:rFonts w:ascii="Times New Roman" w:eastAsia="宋体" w:hAnsi="Times New Roman" w:cs="Times New Roman"/>
          <w:color w:val="000000"/>
          <w:kern w:val="0"/>
          <w:sz w:val="24"/>
          <w:vertAlign w:val="superscript"/>
        </w:rPr>
        <w:footnoteReference w:id="92"/>
      </w:r>
      <w:r>
        <w:rPr>
          <w:rFonts w:ascii="Times New Roman" w:eastAsia="宋体" w:hAnsi="Times New Roman" w:cs="Times New Roman"/>
          <w:color w:val="000000"/>
          <w:kern w:val="0"/>
          <w:sz w:val="24"/>
        </w:rPr>
        <w:t xml:space="preserve">。这些批评表明，反馈发挥作用需要具体指向任务和改进方法，并被学生理解和使用。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第三类批评针对理论在实践中的使用方式和适用范围。若行政部门把可见的学习转化为以高效应量方法清单考核教师的工具，会削弱教师依据具体情境作出专业判断的能力</w:t>
      </w:r>
      <w:r>
        <w:rPr>
          <w:rFonts w:ascii="Times New Roman" w:eastAsia="宋体" w:hAnsi="Times New Roman" w:cs="Times New Roman"/>
          <w:color w:val="000000"/>
          <w:kern w:val="0"/>
          <w:sz w:val="24"/>
          <w:vertAlign w:val="superscript"/>
        </w:rPr>
        <w:footnoteReference w:id="93"/>
      </w:r>
      <w:proofErr w:type="spellStart"/>
      <w:proofErr w:type="spellEnd"/>
      <w:r>
        <w:rPr>
          <w:rFonts w:ascii="Times New Roman" w:eastAsia="宋体" w:hAnsi="Times New Roman" w:cs="Times New Roman"/>
          <w:color w:val="000000"/>
          <w:kern w:val="0"/>
          <w:sz w:val="24"/>
        </w:rPr>
        <w:t xml:space="preserve">。原始元分析主要来自英语国家的研究，直接迁移到非英语国家和不同社会文化环境时存在适应性问题</w:t>
      </w:r>
      <w:r>
        <w:rPr>
          <w:rFonts w:ascii="Times New Roman" w:eastAsia="宋体" w:hAnsi="Times New Roman" w:cs="Times New Roman"/>
          <w:color w:val="000000"/>
          <w:kern w:val="0"/>
          <w:sz w:val="24"/>
          <w:vertAlign w:val="superscript"/>
        </w:rPr>
        <w:footnoteReference w:id="94"/>
      </w:r>
      <w:proofErr w:type="spellStart"/>
      <w:proofErr w:type="spellEnd"/>
      <w:r>
        <w:rPr>
          <w:rFonts w:ascii="Times New Roman" w:eastAsia="宋体" w:hAnsi="Times New Roman" w:cs="Times New Roman"/>
          <w:color w:val="000000"/>
          <w:kern w:val="0"/>
          <w:sz w:val="24"/>
        </w:rPr>
        <w:t xml:space="preserve">。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vertAlign w:val="superscript"/>
        </w:rPr>
        <w:footnoteReference w:id="95"/>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学界对这一理论同样保持了审慎态度。可见的学习讲述的仍是一个未完成的故事，其研究主要来自发达英语国家，当教育结果主要以考试分数界定时，创造力、批判力和公民责任等难以测量的成果容易被忽视，把改变学业分化的希望全部寄托于学校内部因素，也可能导向过于乐观的学校决定论</w:t>
      </w:r>
      <w:r>
        <w:rPr>
          <w:rFonts w:ascii="Times New Roman" w:eastAsia="宋体" w:hAnsi="Times New Roman" w:cs="Times New Roman"/>
          <w:color w:val="000000"/>
          <w:kern w:val="0"/>
          <w:sz w:val="24"/>
          <w:vertAlign w:val="superscript"/>
        </w:rPr>
        <w:footnoteReference w:id="96"/>
      </w:r>
      <w:r>
        <w:rPr>
          <w:rFonts w:ascii="Times New Roman" w:eastAsia="宋体" w:hAnsi="Times New Roman" w:cs="Times New Roman"/>
          <w:color w:val="000000"/>
          <w:kern w:val="0"/>
          <w:sz w:val="24"/>
        </w:rPr>
        <w:t xml:space="preserve">。教育受到情境、互动和历史变化的影响，原始研究的质量和学业成就的界定都限制了综合结果的解释力，在肯定教育科学化价值的同时仍需保持方法的多样性</w:t>
      </w:r>
      <w:r>
        <w:rPr>
          <w:rFonts w:ascii="Times New Roman" w:eastAsia="宋体" w:hAnsi="Times New Roman" w:cs="Times New Roman"/>
          <w:color w:val="000000"/>
          <w:kern w:val="0"/>
          <w:sz w:val="24"/>
          <w:vertAlign w:val="superscript"/>
        </w:rPr>
        <w:footnoteReference w:id="97"/>
      </w:r>
      <w:r>
        <w:rPr>
          <w:rFonts w:ascii="Times New Roman" w:eastAsia="宋体" w:hAnsi="Times New Roman" w:cs="Times New Roman"/>
          <w:color w:val="000000"/>
          <w:kern w:val="0"/>
          <w:sz w:val="24"/>
        </w:rPr>
        <w:t xml:space="preserve">。</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近年的研究进一步把视角转向理论的跨国传播。该理论的传播大致呈现英语国家的政策嵌入，德国、日本及北欧的学术对话转化，以及北美的商业驱动扩散三种模式，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w:t>
      </w:r>
      <w:r>
        <w:rPr>
          <w:rFonts w:ascii="Times New Roman" w:eastAsia="宋体" w:hAnsi="Times New Roman" w:cs="Times New Roman"/>
          <w:color w:val="000000"/>
          <w:kern w:val="0"/>
          <w:sz w:val="24"/>
          <w:vertAlign w:val="superscript"/>
        </w:rPr>
        <w:footnoteReference w:id="98"/>
      </w:r>
      <w:r>
        <w:rPr>
          <w:rFonts w:ascii="Times New Roman" w:eastAsia="宋体" w:hAnsi="Times New Roman" w:cs="Times New Roman"/>
          <w:color w:val="000000"/>
          <w:kern w:val="0"/>
          <w:sz w:val="24"/>
        </w:rPr>
        <w:t xml:space="preserve">。复杂知识在传播中还可能被简化为教学公式，评价可能被理解为监控工具，理论的科学性需要与教师的专业自主和创造性参与相结合，才能支持真正的教育改进</w:t>
      </w:r>
      <w:r>
        <w:rPr>
          <w:rFonts w:ascii="Times New Roman" w:eastAsia="宋体" w:hAnsi="Times New Roman" w:cs="Times New Roman"/>
          <w:color w:val="000000"/>
          <w:kern w:val="0"/>
          <w:sz w:val="24"/>
          <w:vertAlign w:val="superscript"/>
        </w:rPr>
        <w:footnoteReference w:id="99"/>
      </w:r>
      <w:r>
        <w:rPr>
          <w:rFonts w:ascii="Times New Roman" w:eastAsia="宋体" w:hAnsi="Times New Roman" w:cs="Times New Roman"/>
          <w:color w:val="000000"/>
          <w:kern w:val="0"/>
          <w:sz w:val="24"/>
        </w:rPr>
        <w:t xml:space="preserve">。</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国内已有研究直接从可见的学习视角讨论高阶能力的培养。依据Hattie的学习模型，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勇于教授高阶能力</w:t>
      </w:r>
      <w:r>
        <w:rPr>
          <w:rFonts w:ascii="Times New Roman" w:eastAsia="宋体" w:hAnsi="Times New Roman" w:cs="Times New Roman"/>
          <w:color w:val="000000"/>
          <w:kern w:val="0"/>
          <w:sz w:val="24"/>
          <w:vertAlign w:val="superscript"/>
        </w:rPr>
        <w:footnoteReference w:id="100"/>
      </w:r>
      <w:r>
        <w:rPr>
          <w:rFonts w:ascii="Times New Roman" w:eastAsia="宋体" w:hAnsi="Times New Roman" w:cs="Times New Roman"/>
          <w:color w:val="000000"/>
          <w:kern w:val="0"/>
          <w:sz w:val="24"/>
        </w:rPr>
        <w:t xml:space="preserve">。刻意练习研究进一步表明，高质量的练习需要通过任务分析明确子技能和目标，以具体反馈持续调整表现，并由教师、专家或同伴提供示范与支架，支持随能力发展逐步减少，学生由此承担更多规划、监控和反思的责任</w:t>
      </w:r>
      <w:r>
        <w:rPr>
          <w:rFonts w:ascii="Times New Roman" w:eastAsia="宋体" w:hAnsi="Times New Roman" w:cs="Times New Roman"/>
          <w:color w:val="000000"/>
          <w:kern w:val="0"/>
          <w:sz w:val="24"/>
          <w:vertAlign w:val="superscript"/>
        </w:rPr>
        <w:footnoteReference w:id="101"/>
      </w:r>
      <w:r>
        <w:rPr>
          <w:rFonts w:ascii="Times New Roman" w:eastAsia="宋体" w:hAnsi="Times New Roman" w:cs="Times New Roman"/>
          <w:color w:val="000000"/>
          <w:kern w:val="0"/>
          <w:sz w:val="24"/>
        </w:rPr>
        <w:t xml:space="preserve">。这些研究表明，高阶能力需要有计划地教授，学习进阶、有意对齐和反馈支架是可见的学习连接高阶能力培养的关键概念。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r>
        <w:rPr>
          <w:rFonts w:ascii="Times New Roman" w:eastAsia="宋体" w:hAnsi="Times New Roman" w:cs="Times New Roman"/>
          <w:color w:val="000000"/>
          <w:kern w:val="0"/>
          <w:sz w:val="24"/>
          <w:vertAlign w:val="superscript"/>
        </w:rPr>
        <w:footnoteReference w:id="102"/>
      </w:r>
      <w:proofErr w:type="spellStart"/>
      <w:proofErr w:type="spellEnd"/>
      <w:r>
        <w:rPr>
          <w:rFonts w:ascii="Times New Roman" w:eastAsia="宋体" w:hAnsi="Times New Roman" w:cs="Times New Roman"/>
          <w:color w:val="000000"/>
          <w:kern w:val="0"/>
          <w:sz w:val="24"/>
        </w:rPr>
        <w:t xml:space="preserve">。以实践者探究方式检验外部理念的经验也表明，学校对外部理论的吸收需要经过本校课堂证据的检验和校准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vertAlign w:val="superscript"/>
        </w:rPr>
        <w:footnoteReference w:id="103"/>
      </w:r>
      <w:r>
        <w:rPr>
          <w:rFonts w:ascii="Times New Roman" w:eastAsia="宋体" w:hAnsi="Times New Roman" w:cs="Times New Roman"/>
          <w:color w:val="000000"/>
          <w:kern w:val="0"/>
          <w:sz w:val="24"/>
        </w:rPr>
        <w:t xml:space="preserve">。这为本课题以行动研究推动模型在学校中的生成和修正提供了依据。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vertAlign w:val="superscript"/>
        </w:rPr>
        <w:footnoteReference w:id="104"/>
      </w:r>
      <w:r>
        <w:rPr>
          <w:rFonts w:ascii="Times New Roman" w:eastAsia="宋体" w:hAnsi="Times New Roman" w:cs="Times New Roman"/>
          <w:color w:val="000000"/>
          <w:kern w:val="0"/>
          <w:sz w:val="24"/>
        </w:rPr>
        <w:t xml:space="preserve">。</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vertAlign w:val="superscript"/>
        </w:rPr>
        <w:footnoteReference w:id="105"/>
      </w:r>
      <w:r>
        <w:rPr>
          <w:rFonts w:ascii="Times New Roman" w:eastAsia="宋体" w:hAnsi="Times New Roman" w:cs="Times New Roman"/>
          <w:color w:val="000000"/>
          <w:kern w:val="0"/>
          <w:sz w:val="24"/>
        </w:rPr>
        <w:t xml:space="preserve">，一所学校在多个学科和多种学习场域中持续开展、多轮改进的研究也较为缺乏。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 xml:space="preserve">）的逻辑，即在真实课堂中设计、实施、评估并修订培育模型，同时提炼可以迁移的设计原则</w:t>
      </w:r>
      <w:r>
        <w:rPr>
          <w:rFonts w:ascii="Times New Roman" w:eastAsia="宋体" w:hAnsi="Times New Roman" w:cs="Times New Roman"/>
          <w:color w:val="000000"/>
          <w:kern w:val="0"/>
          <w:sz w:val="24"/>
          <w:vertAlign w:val="superscript"/>
        </w:rPr>
        <w:footnoteReference w:id="106"/>
      </w:r>
      <w:r>
        <w:rPr>
          <w:rFonts w:ascii="Times New Roman" w:eastAsia="宋体" w:hAnsi="Times New Roman" w:cs="Times New Roman"/>
          <w:color w:val="000000"/>
          <w:kern w:val="0"/>
          <w:sz w:val="24"/>
        </w:rPr>
        <w:t xml:space="preserve">。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vertAlign w:val="superscript"/>
        </w:rPr>
        <w:footnoteReference w:id="107"/>
      </w:r>
      <w:r>
        <w:rPr>
          <w:rFonts w:ascii="Times New Roman" w:eastAsia="宋体" w:hAnsi="Times New Roman" w:cs="Times New Roman"/>
          <w:color w:val="000000"/>
          <w:kern w:val="0"/>
          <w:sz w:val="24"/>
        </w:rPr>
        <w:t xml:space="preserve">。</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vertAlign w:val="superscript"/>
        </w:rPr>
        <w:footnoteReference w:id="108"/>
      </w:r>
      <w:r>
        <w:rPr>
          <w:rFonts w:ascii="Times New Roman" w:eastAsia="宋体" w:hAnsi="Times New Roman" w:cs="Times New Roman"/>
          <w:color w:val="000000"/>
          <w:kern w:val="0"/>
          <w:sz w:val="24"/>
        </w:rPr>
        <w:t xml:space="preserve">。研究不以单次课堂或单个项目的结果判断模式是否有效，而通过多轮实践、比较和修正，逐步提炼高阶能力培育的关键环节与实施策略。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 xml:space="preserve">课堂行为指标以可识别的外显行为为单位，若直接作为判断依据，容易以行为次数代替对教学的解释，因此只作为分析课堂参与结构的辅助信息</w:t>
      </w:r>
      <w:r>
        <w:rPr>
          <w:rFonts w:ascii="Times New Roman" w:eastAsia="宋体" w:hAnsi="Times New Roman" w:cs="Times New Roman"/>
          <w:color w:val="000000"/>
          <w:kern w:val="0"/>
          <w:sz w:val="24"/>
          <w:vertAlign w:val="superscript"/>
        </w:rPr>
        <w:footnoteReference w:id="109"/>
      </w:r>
      <w:proofErr w:type="spellStart"/>
      <w:proofErr w:type="spellEnd"/>
      <w:r>
        <w:rPr>
          <w:rFonts w:ascii="Times New Roman" w:eastAsia="宋体" w:hAnsi="Times New Roman" w:cs="Times New Roman"/>
          <w:color w:val="000000"/>
          <w:kern w:val="0"/>
          <w:sz w:val="24"/>
        </w:rPr>
        <w:t xml:space="preserve">。研究不以单一课堂评分或某一项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 xml:space="preserve">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vertAlign w:val="superscript"/>
        </w:rPr>
        <w:footnoteReference w:id="110"/>
      </w:r>
      <w:r>
        <w:rPr>
          <w:rFonts w:ascii="Times New Roman" w:eastAsia="宋体" w:hAnsi="Times New Roman" w:cs="Times New Roman"/>
          <w:color w:val="000000"/>
          <w:kern w:val="0"/>
          <w:sz w:val="24"/>
        </w:rPr>
        <w:t xml:space="preserve">。因此，本研究不把前后测差异直接归因于培育模型。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vertAlign w:val="superscript"/>
        </w:rPr>
        <w:footnoteReference w:id="111"/>
      </w:r>
      <w:r>
        <w:rPr>
          <w:rFonts w:ascii="Times New Roman" w:eastAsia="宋体" w:hAnsi="Times New Roman" w:cs="Times New Roman"/>
          <w:kern w:val="0"/>
          <w:sz w:val="24"/>
        </w:rPr>
        <w:t xml:space="preserve">。高</w:t>
      </w:r>
      <w:r>
        <w:rPr>
          <w:rFonts w:ascii="Times New Roman" w:eastAsia="宋体" w:hAnsi="Times New Roman" w:cs="Times New Roman"/>
          <w:kern w:val="0"/>
          <w:sz w:val="24"/>
        </w:rPr>
        <w:lastRenderedPageBreak/>
        <w:t xml:space="preserve">阶思维还体现为学生面对新材料和非程序化问题时的迁移、批判性思考与问题解决，其核心在于建立新旧知识之间的联系</w:t>
      </w:r>
      <w:r>
        <w:rPr>
          <w:rFonts w:ascii="Times New Roman" w:eastAsia="宋体" w:hAnsi="Times New Roman" w:cs="Times New Roman"/>
          <w:kern w:val="0"/>
          <w:sz w:val="24"/>
          <w:vertAlign w:val="superscript"/>
        </w:rPr>
        <w:footnoteReference w:id="112"/>
      </w:r>
      <w:r>
        <w:rPr>
          <w:rFonts w:ascii="Times New Roman" w:eastAsia="宋体" w:hAnsi="Times New Roman" w:cs="Times New Roman"/>
          <w:kern w:val="0"/>
          <w:sz w:val="24"/>
        </w:rPr>
        <w:t xml:space="preserve">。</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 xml:space="preserve">社会与情感能力调查从任务能力、情绪调节、协作能力、开放能力和交往能力等领域考察学生的发展状况，为本课题关注学习中的社会情感表现提供了理论参照</w:t>
      </w:r>
      <w:r>
        <w:rPr>
          <w:rFonts w:ascii="Times New Roman" w:eastAsia="宋体" w:hAnsi="Times New Roman" w:cs="Times New Roman"/>
          <w:kern w:val="0"/>
          <w:sz w:val="24"/>
          <w:vertAlign w:val="superscript"/>
        </w:rPr>
        <w:footnoteReference w:id="113"/>
      </w:r>
      <w:proofErr w:type="spellStart"/>
      <w:proofErr w:type="spellEnd"/>
      <w:r>
        <w:rPr>
          <w:rFonts w:ascii="Times New Roman" w:eastAsia="宋体" w:hAnsi="Times New Roman" w:cs="Times New Roman"/>
          <w:kern w:val="0"/>
          <w:sz w:val="24"/>
        </w:rPr>
        <w:t xml:space="preserve">。</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本研究参照国内基于社会与情感能力调查开展的测评框架</w:t>
      </w:r>
      <w:r>
        <w:rPr>
          <w:rFonts w:ascii="Times New Roman" w:eastAsia="宋体" w:hAnsi="Times New Roman" w:cs="Times New Roman"/>
          <w:kern w:val="0"/>
          <w:sz w:val="24"/>
          <w:vertAlign w:val="superscript"/>
        </w:rPr>
        <w:footnoteReference w:id="114"/>
      </w:r>
      <w:r>
        <w:rPr>
          <w:rFonts w:ascii="Times New Roman" w:eastAsia="宋体" w:hAnsi="Times New Roman" w:cs="Times New Roman"/>
          <w:kern w:val="0"/>
          <w:sz w:val="24"/>
        </w:rPr>
        <w:t xml:space="preserve">，围绕中学生高阶能力培育的需要，选取与责任承担、自我调节、合作协商和开放探索相关的内容，依据其内涵联系进行归并，形成责任担当、情绪调节、合作共情、包容创新四个理论维度。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vertAlign w:val="superscript"/>
        </w:rPr>
        <w:footnoteReference w:id="115"/>
      </w:r>
      <w:r>
        <w:rPr>
          <w:rFonts w:ascii="Times New Roman" w:eastAsia="宋体" w:hAnsi="Times New Roman" w:cs="Times New Roman"/>
          <w:kern w:val="0"/>
          <w:sz w:val="24"/>
        </w:rPr>
        <w:t xml:space="preserve">。本研究以此解释教师对高阶能力培育的实施把握，重点考察其能否设计适合学生的任务、通过提问与点拨推动思考，以及识别学生的高阶表现。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vertAlign w:val="superscript"/>
        </w:rPr>
        <w:footnoteReference w:id="116"/>
      </w:r>
      <w:r>
        <w:rPr>
          <w:rFonts w:ascii="Times New Roman" w:eastAsia="宋体" w:hAnsi="Times New Roman" w:cs="Times New Roman"/>
          <w:kern w:val="0"/>
          <w:sz w:val="24"/>
        </w:rPr>
        <w:t xml:space="preserve">，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能力进阶尺度同样以高阶能力理论为依据。高阶思维是非算法性的、需要在不确定条件下作出判断的加工过程</w:t>
      </w:r>
      <w:r>
        <w:rPr>
          <w:rFonts w:ascii="Times New Roman" w:eastAsia="宋体" w:hAnsi="Times New Roman" w:cs="Times New Roman"/>
          <w:kern w:val="0"/>
          <w:sz w:val="24"/>
          <w:vertAlign w:val="superscript"/>
        </w:rPr>
        <w:footnoteReference w:id="117"/>
      </w:r>
      <w:r>
        <w:rPr>
          <w:rFonts w:ascii="Times New Roman" w:eastAsia="宋体" w:hAnsi="Times New Roman" w:cs="Times New Roman"/>
          <w:kern w:val="0"/>
          <w:sz w:val="24"/>
        </w:rPr>
        <w:t xml:space="preserve">，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6657632"/>
            <wp:docPr id="71" name="Picture 71"/>
            <wp:cNvGraphicFramePr>
              <a:graphicFrameLocks noChangeAspect="1"/>
            </wp:cNvGraphicFramePr>
            <a:graphic>
              <a:graphicData uri="http://schemas.openxmlformats.org/drawingml/2006/picture">
                <pic:pic>
                  <pic:nvPicPr>
                    <pic:cNvPr id="0" name="model_learning_k.png"/>
                    <pic:cNvPicPr/>
                  </pic:nvPicPr>
                  <pic:blipFill>
                    <a:blip r:embed="rId53"/>
                    <a:stretch>
                      <a:fillRect/>
                    </a:stretch>
                  </pic:blipFill>
                  <pic:spPr>
                    <a:xfrm>
                      <a:off x="0" y="0"/>
                      <a:ext cx="5400000" cy="6657632"/>
                    </a:xfrm>
                    <a:prstGeom prst="rect"/>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 xml:space="preserve">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vertAlign w:val="superscript"/>
        </w:rPr>
        <w:footnoteReference w:id="118"/>
      </w:r>
      <w:r>
        <w:rPr>
          <w:rFonts w:ascii="Times New Roman" w:eastAsia="宋体" w:hAnsi="Times New Roman" w:cs="Times New Roman"/>
          <w:kern w:val="0"/>
          <w:sz w:val="24"/>
        </w:rPr>
        <w:t xml:space="preserve">，这为反思迁移环节中的策略提炼和迁移练习提供了依据。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7091053"/>
            <wp:docPr id="72" name="Picture 72"/>
            <wp:cNvGraphicFramePr>
              <a:graphicFrameLocks noChangeAspect="1"/>
            </wp:cNvGraphicFramePr>
            <a:graphic>
              <a:graphicData uri="http://schemas.openxmlformats.org/drawingml/2006/picture">
                <pic:pic>
                  <pic:nvPicPr>
                    <pic:cNvPr id="0" name="model_teaching_k.png"/>
                    <pic:cNvPicPr/>
                  </pic:nvPicPr>
                  <pic:blipFill>
                    <a:blip r:embed="rId54"/>
                    <a:stretch>
                      <a:fillRect/>
                    </a:stretch>
                  </pic:blipFill>
                  <pic:spPr>
                    <a:xfrm>
                      <a:off x="0" y="0"/>
                      <a:ext cx="5400000" cy="7091053"/>
                    </a:xfrm>
                    <a:prstGeom prst="rect"/>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vertAlign w:val="superscript"/>
        </w:rPr>
        <w:footnoteReference w:id="119"/>
      </w:r>
      <w:r>
        <w:rPr>
          <w:rFonts w:ascii="Times New Roman" w:eastAsia="宋体" w:hAnsi="Times New Roman" w:cs="Times New Roman"/>
          <w:kern w:val="0"/>
          <w:sz w:val="24"/>
        </w:rPr>
        <w:t xml:space="preserve">。</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（五）学科课堂中的高阶能力培育实践案例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模型建构完成后，课题组在语文、英语、物理等学科开展了多轮研究课实践。为呈现模型怎样转化为具体的课堂教学，本节选取四个学科案例进行分析。案例选择兼顾学科、学段和学习样态的差异，物理《光的折射》侧重实验探究与模型建构，英语写作侧重论证思维的进阶，语文状物写作侧重真实任务中的观察与表达，语文《秋天的怀念》侧重协同探究中的文本理解与生命感悟。四个案例均以五环学习模型组织学生学习，以诊断发现、干预设计、实施推进和评估改进组织教师调节，并以五见为线索收集学习证据。</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参照学科实践学习分析框架的写法</w:t>
      </w:r>
      <w:r>
        <w:rPr>
          <w:rFonts w:ascii="Times New Roman" w:eastAsia="宋体" w:hAnsi="Times New Roman" w:cs="Times New Roman"/>
          <w:sz w:val="24"/>
          <w:vertAlign w:val="superscript"/>
        </w:rPr>
        <w:footnoteReference w:id="120"/>
      </w:r>
      <w:r>
        <w:rPr>
          <w:rFonts w:ascii="Times New Roman" w:eastAsia="宋体" w:hAnsi="Times New Roman" w:cs="Times New Roman"/>
          <w:sz w:val="24"/>
        </w:rPr>
        <w:t xml:space="preserve">，每个案例从学情诊断与目标确立、五环实施过程、学习证据与反思三个方面展开，重点回答三个问题，一是七维高阶能力目标怎样转化为本课可观察的学习表现，二是学生的思维过程和社会情感表现怎样在课堂中外显，三是教师怎样依据这些证据调整教学。四个案例的基本情况见表3-31。</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表3-31  四个学科案例的基本情况</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709"/>
        <w:gridCol w:w="1597"/>
        <w:gridCol w:w="709"/>
        <w:gridCol w:w="887"/>
        <w:gridCol w:w="2307"/>
        <w:gridCol w:w="2307"/>
      </w:tblGrid>
      <w:tr w:rsidR="000B1CCE" w14:paraId="7531D65E" w14:textId="77777777">
        <w:trPr>
          <w:tblHeader/>
          <w:jc w:val="center"/>
        </w:trPr>
        <w:tc>
          <w:tcPr>
            <w:tcW w:w="709"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案例</w:t>
            </w:r>
          </w:p>
        </w:tc>
        <w:tc>
          <w:tcPr>
            <w:tcW w:w="159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学科与课题</w:t>
            </w:r>
          </w:p>
        </w:tc>
        <w:tc>
          <w:tcPr>
            <w:tcW w:w="7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执教教师</w:t>
            </w:r>
          </w:p>
        </w:tc>
        <w:tc>
          <w:tcPr>
            <w:tcW w:w="88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主样态</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能力重点</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关键证据</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案例一</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物理《光的折射》第一课时</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姜惠轶</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分析、评价、创造；合作共情、情绪调节</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前测、课堂实录、实验报告、光路图、课堂智能反馈报告、分层作业</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案例二</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英语中考写作（九年级）</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李静</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证据支撑的论证性实践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草稿至终稿、教师批注、同伴互评量表、自我评估清单</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案例三</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语文状物描写写作</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王尤迪</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真实情境的任务性实践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AI图像对比、1.0至4.0版本链、迁移习作、互评表</w:t>
            </w:r>
          </w:p>
        </w:tc>
      </w:tr>
      <w:tr w:rsidR="000B1CCE" w14:paraId="3AC77B2B" w14:textId="77777777">
        <w:trPr>
          <w:jc w:val="center"/>
        </w:trPr>
        <w:tc>
          <w:tcPr>
            <w:tcW w:w="709"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案例四</w:t>
            </w:r>
          </w:p>
        </w:tc>
        <w:tc>
          <w:tcPr>
            <w:tcW w:w="159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语文《秋天的怀念》第二课时（七年级）</w:t>
            </w:r>
          </w:p>
        </w:tc>
        <w:tc>
          <w:tcPr>
            <w:tcW w:w="7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董丹</w:t>
            </w:r>
          </w:p>
        </w:tc>
        <w:tc>
          <w:tcPr>
            <w:tcW w:w="88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分析、评价、创造；情绪调节、合作共情、责任担当、包容创新</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学案、短笺迭代记录单、答辩记录表、跨文本迁移阅读记录卡</w:t>
            </w:r>
          </w:p>
        </w:tc>
      </w:tr>
    </w:tbl>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1.物理《光的折射》，在实验与仿真中建构光路模型</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课前，姜惠轶老师通过预习案和前测诊断学生起点。35名学生不知道叉鱼时应瞄准什么位置，占83.3%；28名学生认为折射角可能等于入射角。课堂智能反馈报告对学生回答的结构分类显示，83%的回答属于单点结构，4%达到关联结构，尚无回答达到拓展抽象结构。这说明学生学习光的反射之后能够完成基础操作，但思维多停留在记忆、理解和应用层面，类比分析、循证归纳与模型建构的能力尚未形成。</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分为基础与高阶两级（表3-32）。基础目标对应三层六阶中的学习理解层，要求学生识别光的折射中的各个要素、规范操作并类比反射定律写出初步结论；高阶目标对应应用实践与迁移创新层，要求学生依据数据验证或修正猜想，运用光路可逆模型绘制叉鱼光路图，并把折射规律迁移到潭清疑水浅、繁星闪烁等新情境。高阶目标同时包含社会情感要求，即在模型建构和科普解释中包容不同观点，把物理知识转化为服务他人的行动。每一项目标都对应可见的评价依据，师生在课前就能明确学习要去哪里、做到什么程度。</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表3-32  《光的折射》教学目标与评价依据</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946"/>
        <w:gridCol w:w="3076"/>
        <w:gridCol w:w="3076"/>
        <w:gridCol w:w="1419"/>
      </w:tblGrid>
      <w:tr w:rsidR="000B1CCE" w14:paraId="7531D65E" w14:textId="77777777">
        <w:trPr>
          <w:tblHeader/>
          <w:jc w:val="center"/>
        </w:trPr>
        <w:tc>
          <w:tcPr>
            <w:tcW w:w="946"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目标层级</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可观测的学习目标</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评价依据</w:t>
            </w:r>
          </w:p>
        </w:tc>
        <w:tc>
          <w:tcPr>
            <w:tcW w:w="141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能力指向</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基础目标</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说出光的折射定义并识别相关光线与角，规范操作光具盘并如实记录多组数据，类比反射定律写出至少三条初步结论</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光路图描画正确，数据记录完整，类比推理栏写出三线共面、两线分居等结论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理解、应用</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高阶目标一</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基于反射定律提出折射规律的猜想，在多组数据中寻找证据验证或修正猜想，并解释异常数据</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猜想与假设栏有类比推理，结论至少三条且包含一条拓展结论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高阶目标二</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运用光路可逆模型绘制叉鱼光路图，标出虚像位置并解释瞄准下方的原因</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虚像位置标注正确，能口头解释人眼逆着折射光看到的像在反向延长线上</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分析、创造</w:t>
            </w:r>
          </w:p>
        </w:tc>
      </w:tr>
      <w:tr w:rsidR="000B1CCE" w14:paraId="3AC77B2B" w14:textId="77777777">
        <w:trPr>
          <w:jc w:val="center"/>
        </w:trPr>
        <w:tc>
          <w:tcPr>
            <w:tcW w:w="946"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高阶目标三</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把折射规律迁移到新情境，在科普解释中包容不同观点并提出服务他人的建议</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科普解释准确运用折射原理，提出不凭肉眼判断水深等具体建议</w:t>
            </w:r>
          </w:p>
        </w:tc>
        <w:tc>
          <w:tcPr>
            <w:tcW w:w="141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创造、合作共情、责任担当</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依据三层五环框架，本课把五环学习过程与学习理解、应用实践、迁移创新三个能力层级对应起来，每一环节同时呈现教师的调节行为与学生的学习行为，课堂活动与理论框架的对应关系见图3-11。</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4" name="Picture 74"/>
            <wp:cNvGraphicFramePr>
              <a:graphicFrameLocks noChangeAspect="1"/>
            </wp:cNvGraphicFramePr>
            <a:graphic>
              <a:graphicData uri="http://schemas.openxmlformats.org/drawingml/2006/picture">
                <pic:pic>
                  <pic:nvPicPr>
                    <pic:cNvPr id="0" name="flow_jhy_k.png"/>
                    <pic:cNvPicPr/>
                  </pic:nvPicPr>
                  <pic:blipFill>
                    <a:blip r:embed="rId56"/>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图3-11  《光的折射》五环学习与教师调节流程图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以叉鱼游戏开场。学生借助吸管瞄准鱼缸中的鱼，再用木条模拟鱼叉，结果明明瞄准了却没有叉到。预期与结果的冲突使学生开始怀疑眼睛看到的位置是否等于物体的真实位置，学习问题由此从学生自己的困惑中生成。教师随后引导学生观察浸入水中的木条，并连续追问木条是否真的折断、怎样证明它没有折断、为什么看起来折断、光在什么情况下会改变传播方向。四个追问依次推动学生区分现象与本质、设计验证方法、作出因果解释并归纳条件。学生提出抽出来看、从侧面看等验证办法，表明其已经具备用证据支撑判断的意识。</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教师继续追问光垂直射入水面是否偏折、两个方向的偏折是否相同。学生的回答呈现出明显分层，有的学生表示不确定，有的学生以侧面看木条仍是直的为证据，推断垂直入射时不偏折，还有学生由反射中的光路可逆类比提出折射也可能可逆。教师把不确定和没观察过的回答转化为探究任务，把证据迁移和类比推理的回答作为全班讨论的范例，由此形成本课的三个核心问题，即光在什么条件下偏折、偏折方向与介质有什么关系、光路是否可逆。这一过程对应教学模型中的诊断发现，教师通过学生的回答看见其认知起点和思维层次，并据此设计后续的分层探究任务。课堂智能反馈报告显示，该环节学生抬头率在85%以上，参与度约为70%。</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采用实体实验与仿真实验相结合的方式（图3-12）。学生分组用光具盘探究空气射入水或玻璃、水或玻璃射入空气四种路径。实验报告中的入射角经过多轮修订，0°用于检验垂直入射，15°、50°和75°用于比较角度变化的规律，水射入空气的46°和玻璃射入空气的40°接近全反射临界角，空气射入水的折射角与水射入空气的入射角相互对应，可为光路可逆的猜想提供定量证据。由于光具盘分度值为5°，水面晃动等因素也影响读数，全反射现象和水与玻璃的折射差异在实体实验中难以看清。教师因此引入PhET仿真，放大光在不同介质间传播时的角度差异，并用光强探测功能呈现折射光消失、反射光强等于入射光强的过程，学生据此建立全反射概念。仿真实验补足了实体实验的证据缺口，教学模型中的干预设计在这里表现为针对证据不足的环节及时提供技术支架。</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269521"/>
            <wp:docPr id="45" name="Picture 45"/>
            <wp:cNvGraphicFramePr>
              <a:graphicFrameLocks noChangeAspect="1"/>
            </wp:cNvGraphicFramePr>
            <a:graphic>
              <a:graphicData uri="http://schemas.openxmlformats.org/drawingml/2006/picture">
                <pic:pic>
                  <pic:nvPicPr>
                    <pic:cNvPr id="0" name="jhy_exp.jpg"/>
                    <pic:cNvPicPr/>
                  </pic:nvPicPr>
                  <pic:blipFill>
                    <a:blip r:embed="rId26"/>
                    <a:stretch>
                      <a:fillRect/>
                    </a:stretch>
                  </pic:blipFill>
                  <pic:spPr>
                    <a:xfrm>
                      <a:off x="0" y="0"/>
                      <a:ext cx="5040000" cy="126952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图3-12  学生分组实验中的光具盘（左）与PhET仿真实验中的全反射探测（右）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展学的核心任务是光路图投屏答辩。学生调用实验数据画出人眼看到鱼的光路图，确定虚像的位置，先讲作图思路再讲结论，其他小组质疑和互评（图3-13）。有的学生画出正确光路，并说明人眼逆着折射光看，虚像在实物上方；有的学生把光的传播方向画反，经同伴指出光应从鱼发出到达人眼后改正；还有学生没有画法线，同伴追问所标的角以何为参照后，学生补画法线并重新标角。教师在这一环节退居组织者和证据捕捉者的位置，把纠错交给同伴互评，同时记录学生在互评中的措辞和被质疑时的回应。课后访谈中，一名作图出错的学生表示开始有点不好意思，后来觉得同学说得对，改完就清楚了，这为合作共情与情绪调节的发展提供了过程证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240000" cy="2138507"/>
            <wp:docPr id="46" name="Picture 46"/>
            <wp:cNvGraphicFramePr>
              <a:graphicFrameLocks noChangeAspect="1"/>
            </wp:cNvGraphicFramePr>
            <a:graphic>
              <a:graphicData uri="http://schemas.openxmlformats.org/drawingml/2006/picture">
                <pic:pic>
                  <pic:nvPicPr>
                    <pic:cNvPr id="0" name="jhy_lightpath.jpg"/>
                    <pic:cNvPicPr/>
                  </pic:nvPicPr>
                  <pic:blipFill>
                    <a:blip r:embed="rId27"/>
                    <a:stretch>
                      <a:fillRect/>
                    </a:stretch>
                  </pic:blipFill>
                  <pic:spPr>
                    <a:xfrm>
                      <a:off x="0" y="0"/>
                      <a:ext cx="3240000" cy="213850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图3-13  学生构建的叉鱼光路图</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与反思迁移主要通过分层作业完成。课堂智能反馈报告提示本课缺少创造性问题，教师据此借助DeepSeek生成分层作业初稿，经审核修改后形成《星光与池水的奥秘》，题目按单点、多点、关联和拓展抽象结构分层设计。教师通过批注把典型错误转化为诊断性反馈，例如有学生认为传播速度快的介质中的角一定更大，教师批注垂直入射时是否还成立，学生据此修正结论；有学生设计在泳池底部安装红外传感器，教师追问传感器如何传递信息、救生员观察哪里，引导其由堆砌技术转向建立物理模型。在拓展迁移题中，有学生提出在泳池壁安装激光笔，利用光路可逆从岸上逆着折射光定位溺水者（图3-14）；优秀学生还能指出泳池中水与空气的界面是单次偏折，大气层是连续偏折，从介质是否均匀的角度解释繁星闪烁与池水变浅的区别。</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354337"/>
            <wp:docPr id="47" name="Picture 47"/>
            <wp:cNvGraphicFramePr>
              <a:graphicFrameLocks noChangeAspect="1"/>
            </wp:cNvGraphicFramePr>
            <a:graphic>
              <a:graphicData uri="http://schemas.openxmlformats.org/drawingml/2006/picture">
                <pic:pic>
                  <pic:nvPicPr>
                    <pic:cNvPr id="0" name="jhy_hw.jpg"/>
                    <pic:cNvPicPr/>
                  </pic:nvPicPr>
                  <pic:blipFill>
                    <a:blip r:embed="rId28"/>
                    <a:stretch>
                      <a:fillRect/>
                    </a:stretch>
                  </pic:blipFill>
                  <pic:spPr>
                    <a:xfrm>
                      <a:off x="0" y="0"/>
                      <a:ext cx="5220000" cy="135433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图3-14  学生分层作业中拓展迁移部分的作答</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链由前测、课堂实录、实验报告、光路图修订、课堂智能反馈报告和分层作业构成，覆盖目标可见、思维可见、证据可见、进步可见和能力可见五个方面。学生从叉鱼失败的困惑出发，经历提出问题、分析原因、设计验证、提出假设和类比推理，最终能够在新情境中调用光路可逆模型，体现了由学习理解到迁移创新的进阶。证据同时揭示了不足。课堂智能反馈报告显示迁移应用环节用时为0秒，评价型和创造型提问的比例较低，平均举手率仅为13%，理答方式中肯定和激励各占10%。教师据此提出，后续需要在课内预留迁移时间，增加分析型和评价型问题，设置轮值发言人和匿名投票，并在小组探究中加入过程性评价，使更多学生的思维过程能够被看见。</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2.英语写作，以三级反馈推动论证思维进阶</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（1）任务分析与目标确立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以2026年上海中考英语作文为载体。题目设定的情境是，英国朋友Jim制定了每月读5本中文小说的计划，一个月后感到难以执行，来信询问自己是否足够好、是否应当放弃。学生需要回复邮件，回应这两个问题，并提出两条合理的建议及理由。任务没有唯一答案，学生需要先共情，再辩证分析Jim的计划，提出个性化建议并论证其合理性，写作过程同时涉及分析、评价和创造。李静老师在前期教学中发现，学生习惯背诵范文和套用句式，作文能写得有条理，但论证常常断裂，观点也缺乏新意。由于思维过程隐藏在成稿之后，教师很难判断问题出在观点生成、论据选择还是论证逻辑上。</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设定为由有条理到有新意的思维进阶，并在动笔前公开英语写作高阶思维分层评价量表（表3-33）。量表从内容和语言两个方面设置优秀、良好、中等和待提高四个等级，内容维度依次对应构建独特观点、提出较有新意的观点、提出基本观点和无法提出明确观点。每个等级都配有本题情境下的建议示例，学生在写作前就能看到什么样的思维才算优秀，这对应五环中的目标引领和五见中的目标可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表3-33  英语写作高阶思维分层评价量表（节选）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821"/>
        <w:gridCol w:w="2668"/>
        <w:gridCol w:w="2155"/>
        <w:gridCol w:w="1436"/>
        <w:gridCol w:w="1436"/>
      </w:tblGrid>
      <w:tr w:rsidR="000B1CCE" w14:paraId="7531D65E" w14:textId="77777777">
        <w:trPr>
          <w:tblHeader/>
          <w:jc w:val="center"/>
        </w:trPr>
        <w:tc>
          <w:tcPr>
            <w:tcW w:w="821"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维度</w:t>
            </w:r>
          </w:p>
        </w:tc>
        <w:tc>
          <w:tcPr>
            <w:tcW w:w="266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优秀</w:t>
            </w:r>
          </w:p>
        </w:tc>
        <w:tc>
          <w:tcPr>
            <w:tcW w:w="21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良好</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中等</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待提高</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内容观点</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结合写作语境构建独特观点</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提出较有新意的观点</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提出基本观点但缺乏新意</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无法提出明确观点</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语言适切性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不符合语境</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语言准确性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语法正确</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错误较少</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错误较多</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错误频发</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语言丰富性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表达新颖</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表达较流畅</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表达较生硬</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表达混乱</w:t>
            </w:r>
          </w:p>
        </w:tc>
      </w:tr>
      <w:tr w:rsidR="000B1CCE" w14:paraId="3AC77B2B" w14:textId="77777777">
        <w:trPr>
          <w:jc w:val="center"/>
        </w:trPr>
        <w:tc>
          <w:tcPr>
            <w:tcW w:w="821"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建议示例</w:t>
            </w:r>
          </w:p>
        </w:tc>
        <w:tc>
          <w:tcPr>
            <w:tcW w:w="266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每周确定一个中国文化主题，围绕同一主题听一首歌、读一篇短文、看一段视频</w:t>
            </w:r>
          </w:p>
        </w:tc>
        <w:tc>
          <w:tcPr>
            <w:tcW w:w="21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先看影视改编再读原著，借助已知情节猜测生词</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把每月5本减少为1至3本短篇</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熬夜硬读，或惩罚自己完成阅读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依据三层五环框架，本课把五环学习过程与学习理解、应用实践、迁移创新三个能力层级对应起来，每一环节同时呈现教师的调节行为与学生的学习行为，课堂活动与理论框架的对应关系见图3-15。</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5" name="Picture 75"/>
            <wp:cNvGraphicFramePr>
              <a:graphicFrameLocks noChangeAspect="1"/>
            </wp:cNvGraphicFramePr>
            <a:graphic>
              <a:graphicData uri="http://schemas.openxmlformats.org/drawingml/2006/picture">
                <pic:pic>
                  <pic:nvPicPr>
                    <pic:cNvPr id="0" name="flow_lj_k.png"/>
                    <pic:cNvPicPr/>
                  </pic:nvPicPr>
                  <pic:blipFill>
                    <a:blip r:embed="rId57"/>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图3-15  英语写作五环学习与教师调节流程图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（2）过程性作品与三级反馈</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改变一稿定分的做法，系统收集学生的草稿、一稿、二稿、三稿和终稿，建立思维过程档案。以一名学生的草稿为例，其核心观点是不应放弃，并给出两条建议，一是把大任务分解为小目标，二是用新计划替代旧计划。教师从草稿中看到，第二条建议与第一条实质重复，只是表达方式不同，两条建议也都缺少说明其合理性的理由。教师在草稿上标注两个论证属于同一维度，并提示该生的核心观点缺少论证（图3-16）。这一诊断对应教学模型中的诊断发现，教师依据过程作品定位学生论证链断裂的具体位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914425"/>
            <wp:docPr id="48" name="Picture 48"/>
            <wp:cNvGraphicFramePr>
              <a:graphicFrameLocks noChangeAspect="1"/>
            </wp:cNvGraphicFramePr>
            <a:graphic>
              <a:graphicData uri="http://schemas.openxmlformats.org/drawingml/2006/picture">
                <pic:pic>
                  <pic:nvPicPr>
                    <pic:cNvPr id="0" name="lj_draft.jpg"/>
                    <pic:cNvPicPr/>
                  </pic:nvPicPr>
                  <pic:blipFill>
                    <a:blip r:embed="rId29"/>
                    <a:stretch>
                      <a:fillRect/>
                    </a:stretch>
                  </pic:blipFill>
                  <pic:spPr>
                    <a:xfrm>
                      <a:off x="0" y="0"/>
                      <a:ext cx="5220000" cy="1914425"/>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图3-16  学生写作草稿（左）与一稿（右）中的教师批注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教师实施教师、同伴和自我三级反馈。第一级为教师反馈，聚焦一稿，批注与评价量表的维度直接对应，重点提示补充支持论点的依据、从具体做法中提炼上位原则、找出论证链中断的位置。该生一稿中的第二条建议较有新意，但只有具体做法而缺少概括性的建议，教师据此提示其补全论证。第二级为同伴互评，聚焦二稿。同伴依据结构化互评量表逐项判断对方的核心观点是否明确、论据是否充分、是否以建议加理由的结构展开论证、语言是否正确、表达是否连贯，并以勾画和标注呈现对方的思维结构（图3-17）。审视他人论证的过程，也促使互评双方反思自己的论证策略。第三级为自我评估，聚焦三稿。学生对照分层量表判断自己所处的层级，书面写下存在的问题和改进办法，学习者由被动接受反馈转向主动优化自己的思维。</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680000" cy="1750129"/>
            <wp:docPr id="49" name="Picture 49"/>
            <wp:cNvGraphicFramePr>
              <a:graphicFrameLocks noChangeAspect="1"/>
            </wp:cNvGraphicFramePr>
            <a:graphic>
              <a:graphicData uri="http://schemas.openxmlformats.org/drawingml/2006/picture">
                <pic:pic>
                  <pic:nvPicPr>
                    <pic:cNvPr id="0" name="lj_peer.jpg"/>
                    <pic:cNvPicPr/>
                  </pic:nvPicPr>
                  <pic:blipFill>
                    <a:blip r:embed="rId30"/>
                    <a:stretch>
                      <a:fillRect/>
                    </a:stretch>
                  </pic:blipFill>
                  <pic:spPr>
                    <a:xfrm>
                      <a:off x="0" y="0"/>
                      <a:ext cx="4680000" cy="175012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图3-17  英语写作同伴互评量表</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（3）思维进阶的证据与反思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对比一稿、二稿、三稿和终稿的变化可以看到，绝大多数学生能够构建观点、论据和理由完整的论证链；在批判性思维方面，学生能够辩证回应Jim是否应当放弃计划这一开放问题，立场有据；在创造性思维方面，部分学生跳出常规思路，结合对文化理解、学习方法或自我管理的认识，提出情境化、可操作并具有个人意义的建议。终稿完成后，学生再次自评，判断自己是否实现了进阶，并思考这种思维能力还可以迁移到哪些题型（图3-18）。</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520881"/>
            <wp:docPr id="50" name="Picture 50"/>
            <wp:cNvGraphicFramePr>
              <a:graphicFrameLocks noChangeAspect="1"/>
            </wp:cNvGraphicFramePr>
            <a:graphic>
              <a:graphicData uri="http://schemas.openxmlformats.org/drawingml/2006/picture">
                <pic:pic>
                  <pic:nvPicPr>
                    <pic:cNvPr id="0" name="lj_self.jpg"/>
                    <pic:cNvPicPr/>
                  </pic:nvPicPr>
                  <pic:blipFill>
                    <a:blip r:embed="rId31"/>
                    <a:stretch>
                      <a:fillRect/>
                    </a:stretch>
                  </pic:blipFill>
                  <pic:spPr>
                    <a:xfrm>
                      <a:off x="0" y="0"/>
                      <a:ext cx="5220000" cy="152088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图3-18  学生自我评估清单（左）与终稿（右）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评价标准前置对应目标引领与目标可见，过程作品档案对应探究展学与思维可见，三级反馈对应反馈迭代与进步可见，终稿自评与迁移思考对应反思迁移与能力可见；教师则在草稿诊断、批注干预、组织互评和评估终稿中完成四步调节。本案例的不足在于，进阶描述主要来自教师对作品的整体判断，尚缺少按量表等级统计的全班分布，后续需要系统记录各稿次的等级变化。</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3.语文状物写作，借AI图像让描写思维可见</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状物描写是初中写作的常见难点。王尤迪老师通过前测草稿发现，学生的问题集中在四个方面，一是描写笼统，难以用文字构建具体画面；二是物与事、情割裂，只能静态描摹外形；三是回避物件的磨损痕迹，认识较为片面；四是缺少取舍意识，容易堆砌与主旨无关的细节。与此同时，学生还表现出固守个人视角、抵触修改草稿、照搬AI生成内容等社会情感方面的困难。教师据此把本课定位为真实情境的任务性实践，同时兼具证据支撑的论证性实践和综合迁移的创新性实践特征，能力重点为分析、评价、创造以及合作共情和责任担当，情绪调节和包容创新作为伴随维度加以观察。基础目标是理解准确、生动、真实、取舍四项状物原则，完成物件描写由1.0到2.0的迭代；高阶目标是建立物件、故事与情感之间的联系，完成多稿迭代和自选物件的迁移写作，并借助互评量表开展同伴评价。</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依据三层五环框架，本课把五环学习过程与学习理解、应用实践、迁移创新三个能力层级对应起来，每一环节同时呈现教师的调节行为与学生的学习行为，课堂活动与理论框架的对应关系见图3-19。</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6" name="Picture 76"/>
            <wp:cNvGraphicFramePr>
              <a:graphicFrameLocks noChangeAspect="1"/>
            </wp:cNvGraphicFramePr>
            <a:graphic>
              <a:graphicData uri="http://schemas.openxmlformats.org/drawingml/2006/picture">
                <pic:pic>
                  <pic:nvPicPr>
                    <pic:cNvPr id="0" name="flow_wyd_k.png"/>
                    <pic:cNvPicPr/>
                  </pic:nvPicPr>
                  <pic:blipFill>
                    <a:blip r:embed="rId58"/>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图3-19  状物写作五环学习与教师调节流程图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环节，学生阅读本课目标后先写下对凳子的最初描述，多数学生只写了凳子这一名词，教师保留这份草稿作为前测证据。任务驱动环节，教师出示一只蓝色塑料高脚方凳，组织三轮AI图像生成（图3-20）。第一轮，教师把学生的回答输入豆包，生成的是一只木面铁脚的吧台凳，与实物明显不符。教师追问，同样一个词，AI画出的和眼前的实物为什么不一样，我们缺少了哪些信息。学生补充蓝色、方形、塑料等颜色、形状和材质信息，第二轮生成的是一只蓝色矮圆凳，仍有偏差。有学生注意到实物是高脚凳，补充后第三轮生成的图像与实物基本一致。学生由此自主得出，描写物件要具体到颜色、材质、形状、光泽和高矮等方面，作品也由1.0版本的一个凳子，发展为2.0版本的一个蓝色塑料高脚凳。AI图像在这里充当即时反馈证据，把描写准确这一抽象要求转化为看得见的图文差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165699"/>
            <wp:docPr id="51" name="Picture 51"/>
            <wp:cNvGraphicFramePr>
              <a:graphicFrameLocks noChangeAspect="1"/>
            </wp:cNvGraphicFramePr>
            <a:graphic>
              <a:graphicData uri="http://schemas.openxmlformats.org/drawingml/2006/picture">
                <pic:pic>
                  <pic:nvPicPr>
                    <pic:cNvPr id="0" name="wyd_ai.jpg"/>
                    <pic:cNvPicPr/>
                  </pic:nvPicPr>
                  <pic:blipFill>
                    <a:blip r:embed="rId32"/>
                    <a:stretch>
                      <a:fillRect/>
                    </a:stretch>
                  </pic:blipFill>
                  <pic:spPr>
                    <a:xfrm>
                      <a:off x="0" y="0"/>
                      <a:ext cx="5220000" cy="116569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图3-20  实物凳子（左一）与三轮AI生成图像（左二至右一）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随后，教师围绕同一只凳子继续追问。凳子适用于哪些场景，学生联系教师听课、面批作业和运动会观赛等校园经验，归纳出凳子轻便、成本低等特点，认识到物件的价值体现在被人使用的过程中，由此提炼出生动原则。家里的凳子和商店里的凳子有何区别，学生认为家里的凳子有使用痕迹，更有生活气息，主张把这些不完美写进作文，由此形成真实原则。另一名学生随即反驳，认为并非所有缺点都要写，应挑选与主旨相关、具有特殊意义的痕迹，否则就是赘笔，取舍原则由此形成。四项原则都在学生依托证据的对话中生成，教师的作用是持续追问，并把学生的观点联结为可迁移的写作思维模型，即物件本体、客观特征、场景故事、岁月痕迹和主旨取舍。</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教师出示由凳子到老藤椅的1.0至4.0示范文本，逐版拆解每一轮新增的细节、场景和情感，并巡视学生草稿，依据涂改痕迹开展个别对话。对只会写外形的学生，教师提示这件物件发生过一件什么小事；对堆砌细节的学生，教师提示哪些细节最能表达想讲的情感。学生作品显示，一名学生以藤椅为对象，2.0版本写出棕色的靠背、金色的椅脚和弯曲的椅背，3.0版本补充椅背上的镂空让夏天坐着很凉快，4.0版本写到小时候喜欢把藤椅搬到床上，家人觉得多此一举，自己却从中获得安全和舒适的感觉（图3-21）。版本链使写作由描摹外形逐步走向书写个人记忆。</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3718552"/>
            <wp:docPr id="52" name="Picture 52"/>
            <wp:cNvGraphicFramePr>
              <a:graphicFrameLocks noChangeAspect="1"/>
            </wp:cNvGraphicFramePr>
            <a:graphic>
              <a:graphicData uri="http://schemas.openxmlformats.org/drawingml/2006/picture">
                <pic:pic>
                  <pic:nvPicPr>
                    <pic:cNvPr id="0" name="wyd_versions.jpg"/>
                    <pic:cNvPicPr/>
                  </pic:nvPicPr>
                  <pic:blipFill>
                    <a:blip r:embed="rId33"/>
                    <a:stretch>
                      <a:fillRect/>
                    </a:stretch>
                  </pic:blipFill>
                  <pic:spPr>
                    <a:xfrm>
                      <a:off x="0" y="0"/>
                      <a:ext cx="3060000" cy="3718552"/>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图3-21  学生藤椅描写的2.0至4.0版本</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按典型问题给出诊断性反馈并布置分层任务（表3-34）。学生接收反馈后亲笔写下修改点与修改原因，形成完整的版本链证据。反思迁移环节，教师布置同构异境的迁移任务，学生脱离范例凳子，自选毛衣、瓷碗、旧木椅等生活物件，沿用1.0至4.0的路径完成新习作，再把习作与AI生成的场景图结合，开展画廊漫步式展学，并使用互评表评价同伴作品（图3-22、图3-23）。迁移任务通过更换写作对象，检验学生能否复用写作思维方法。展学作品被分为童年童趣、私人生活、借物升华和个性创意四类，前两类多达到3.0水平，借物升华类达到4.0水平，个性创意类则体现了选材的新颖与多元。</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表3-34  状物写作的典型问题、诊断反馈与分层迭代任务</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877"/>
        <w:gridCol w:w="3609"/>
        <w:gridCol w:w="3032"/>
      </w:tblGrid>
      <w:tr w:rsidR="000B1CCE" w14:paraId="7531D65E" w14:textId="77777777">
        <w:trPr>
          <w:tblHeader/>
          <w:jc w:val="center"/>
        </w:trPr>
        <w:tc>
          <w:tcPr>
            <w:tcW w:w="1877"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36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基于证据的诊断反馈</w:t>
            </w:r>
          </w:p>
        </w:tc>
        <w:tc>
          <w:tcPr>
            <w:tcW w:w="3032"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分层迭代任务</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描写笼统，缺少外形细节</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对照实物，补充颜色、材质等信息，让读者能看见它</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基础层，由1.0升级为2.0，补齐客观特征</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只有外形，没有人与故事</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想一想这件物件陪伴你的哪个生活片段，把小故事加进去</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进阶层，增加生活场景，迭代至3.0</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只写崭新美好，回避磨损痕迹</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划痕和磨损也是时光留下的证据，尝试写一处</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进阶层，补充一处使用痕迹并写出感受</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细节堆砌，脱离主旨</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对照想表达的情感，保留相关细节，删去无关内容</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高阶层，以主旨为标尺筛选细节</w:t>
            </w:r>
          </w:p>
        </w:tc>
      </w:tr>
      <w:tr w:rsidR="000B1CCE" w14:paraId="3AC77B2B" w14:textId="77777777">
        <w:trPr>
          <w:jc w:val="center"/>
        </w:trPr>
        <w:tc>
          <w:tcPr>
            <w:tcW w:w="1877"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有故事但缺少情感落点</w:t>
            </w:r>
          </w:p>
        </w:tc>
        <w:tc>
          <w:tcPr>
            <w:tcW w:w="36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这件物件带给你怎样的触动，把感受收束在结尾</w:t>
            </w:r>
          </w:p>
        </w:tc>
        <w:tc>
          <w:tcPr>
            <w:tcW w:w="3032"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高阶层，完成4.0主旨升华</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4273018"/>
            <wp:docPr id="53" name="Picture 53"/>
            <wp:cNvGraphicFramePr>
              <a:graphicFrameLocks noChangeAspect="1"/>
            </wp:cNvGraphicFramePr>
            <a:graphic>
              <a:graphicData uri="http://schemas.openxmlformats.org/drawingml/2006/picture">
                <pic:pic>
                  <pic:nvPicPr>
                    <pic:cNvPr id="0" name="wyd_transfer.jpg"/>
                    <pic:cNvPicPr/>
                  </pic:nvPicPr>
                  <pic:blipFill>
                    <a:blip r:embed="rId34"/>
                    <a:stretch>
                      <a:fillRect/>
                    </a:stretch>
                  </pic:blipFill>
                  <pic:spPr>
                    <a:xfrm>
                      <a:off x="0" y="0"/>
                      <a:ext cx="3060000" cy="4273018"/>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图3-22  学生迁移习作与AI生成的场景图</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795724"/>
            <wp:docPr id="54" name="Picture 54"/>
            <wp:cNvGraphicFramePr>
              <a:graphicFrameLocks noChangeAspect="1"/>
            </wp:cNvGraphicFramePr>
            <a:graphic>
              <a:graphicData uri="http://schemas.openxmlformats.org/drawingml/2006/picture">
                <pic:pic>
                  <pic:nvPicPr>
                    <pic:cNvPr id="0" name="wyd_gallery.jpg"/>
                    <pic:cNvPicPr/>
                  </pic:nvPicPr>
                  <pic:blipFill>
                    <a:blip r:embed="rId35"/>
                    <a:stretch>
                      <a:fillRect/>
                    </a:stretch>
                  </pic:blipFill>
                  <pic:spPr>
                    <a:xfrm>
                      <a:off x="0" y="0"/>
                      <a:ext cx="5040000" cy="1795724"/>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图3-23  画廊漫步式展学</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案例按照前测、过程和后测的纵向证据，起点、过程、变化和迁移的横向证据，以及自评、互评和师评的多元互证组织材料。依据评价量表对86名学生初稿1.0和终稿4.0的水平评定显示，处于初始水平的学生由37.2%降至12.8%，入门水平由33.7%降至24.4%，进阶水平由20.9%升至41.9%，高阶水平由8.1%升至20.9%（表3-35）。一名学生在反思中写道，初稿只写了旧物件的样子，物件和自己的故事是分开的，第二次修改时加上了当年和外婆一起留下的划痕，改完才意识到写物件其实是写藏在物件身上的时光。这段反思与其草稿批注、自评量表和教师观察相互印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表3-35  状物写作初稿与终稿的水平分布（n＝86）</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548"/>
        <w:gridCol w:w="1548"/>
        <w:gridCol w:w="1936"/>
        <w:gridCol w:w="1548"/>
        <w:gridCol w:w="1936"/>
      </w:tblGrid>
      <w:tr w:rsidR="000B1CCE" w14:paraId="7531D65E" w14:textId="77777777">
        <w:trPr>
          <w:tblHeader/>
          <w:jc w:val="center"/>
        </w:trPr>
        <w:tc>
          <w:tcPr>
            <w:tcW w:w="154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水平</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初稿1.0比例（%）</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终稿4.0比例（%）</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初始水平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32</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37.2</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12.8</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入门水平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29</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33.7</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24.4</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进阶水平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36</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41.9</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7</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8.1</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r>
      <w:tr w:rsidR="000B1CCE" w14:paraId="3AC77B2B" w14:textId="77777777">
        <w:trPr>
          <w:jc w:val="center"/>
        </w:trPr>
        <w:tc>
          <w:tcPr>
            <w:tcW w:w="154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合计</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三轮AI图像生成与追问体现了任务驱动中的诊断发现和干预设计，版本链和草稿批注使思维可见和进步可见，迁移习作与画廊展学使能力可见。教师反思认为，AI图像降低了思辨的门槛，版本链使迭代真实发生，但仍需为每名学生完整留存1.0至4.0的全部草稿，补充小组思辨的观察量规以完善社会情感证据，并进一步提供辨别AI内容的支架，引导学生区分AI生成图像与自身真实的生活记忆。</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4.语文《秋天的怀念》，在协同探究中理解生命的意义</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为统编版七年级上册《秋天的怀念》第二课时。在第一课时梳理情节、初步感知母爱的基础上，董丹老师聚焦三次看花情节、菊花意象和好好儿活的主旨，把语言品味、文本解读、生命感悟与社会情感培育结合起来。教师依据学科高阶学习的三层五环框架设计本课，把五环学习过程与学习理解、应用实践、迁移创新三层能力表征贯通。课堂以协同探究的建构性实践为主样态，学生围绕文本细节、人物心理和意象内涵开展观点碰撞，在对话、追问和互评中共同建构对母爱、苦难与生命的理解；所有观点都要求锚定文本语句，体现证据支撑的论证性实践特征；最后撤去部分支架，引导学生面对自身的生命困境，体现综合迁移的创新性实践特征。</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目标分为基础与高阶两级。基础目标要求学生梳理三次看花情节，找出悄悄、扑、抓、挡等关键细节并说出背后母亲的心理，同时在小组研讨中尊重同伴的不同阅读感受。高阶目标要求学生比较三次看花中我的心理变化，阐释菊花和秋天的多重象征；在面对苦难话题和同伴不同感悟时克制主观情绪、换位共情；并结合自身生活体验解读好好儿活的多层内涵，完成生命感悟类创作。每项目标都配有可观察的评价依据，例如学案中能记录至少一位同学不同的阅读感受，小组汇报能结合文本语句讲清人物心理转变的逻辑。</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依据三层五环框架，本课把五环学习过程与学习理解、应用实践、迁移创新三个能力层级对应起来，每一环节同时呈现教师的调节行为与学生的学习行为，课堂活动与理论框架的对应关系见图3-24。</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7" name="Picture 77"/>
            <wp:cNvGraphicFramePr>
              <a:graphicFrameLocks noChangeAspect="1"/>
            </wp:cNvGraphicFramePr>
            <a:graphic>
              <a:graphicData uri="http://schemas.openxmlformats.org/drawingml/2006/picture">
                <pic:pic>
                  <pic:nvPicPr>
                    <pic:cNvPr id="0" name="flow_dd_k.png"/>
                    <pic:cNvPicPr/>
                  </pic:nvPicPr>
                  <pic:blipFill>
                    <a:blip r:embed="rId59"/>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图3-24  《秋天的怀念》五环学习与教师调节流程图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教师创设生命感悟观察员的课堂情境，设计基础与高阶两级任务。基础任务要求学生独立完成情节与细节表格，教师以三处悄悄地分别对应母亲什么心境、扑和抓能否替换为别的词语等问题作为思维支架。高阶任务要求学生探究三次看花中我的态度转变、结尾菊花描写的作用和秋天的含义，并撰写好好儿活当代启示短笺。问题链由母亲为什么执着于带我看菊花，到母亲口中的好好儿活与我后来领悟的是否相同，再到现实生活中怎样才算好好儿活，逐级提高开放程度。社会情感培育点同步嵌入任务之中，包括触及苦难话题时调节悲伤或急躁的情绪、接纳同伴不同的生命体验、主动分担小组任务等。</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探究展学环节，学生先在平台展示学案表格，再以小组思维导图汇报和短笺成果答辩的形式呈现观点差异、对话碰撞和集体理解逐步形成的过程。评价标准兼顾文本依据、分析逻辑、主题契合和个性化创意。教师重点观察学生能否读懂母子双重的苦难，成果是简单贴标签还是真正共情人物，探讨苦难话题时能否自我调适，以及面对不同人生感悟时是否愿意理解他人立场。社会情感观察记录表从责任担当、情绪调节、合作共情和包容创新四个维度记录学生的典型行为，例如复述同伴观点后再发表意见、观点冲突时平复情绪理性发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针对理解片面、逻辑不清、迁移空洞、情绪偏激、共情不足和回避思考六类典型问题设计反馈与分层迭代任务（表3-36）。学生使用短笺作品迭代版本记录单记录初稿、二稿和终稿的修改理由与新启示（图3-25），并在答辩中回应同伴和教师的提问（图3-26）。答辩记录显示，一名学生的核心观点是，好好儿活意味着接纳挫折与难过，珍惜身边的亲人，平凡认真地过好每一天。同伴提出三个问题，母亲和史铁生理解的好好儿活是否一样，如果生活没有大苦难，普通人怎样好好活，菊花和好好儿活有什么关系。学生回应，母亲希望儿子战胜绝望活下去，史铁生则是读懂了苦难；苦难并不只来自重大打击，学习失利、和朋友吵架也是；秋风中各色菊花泼泼洒洒地开放，象征历经磨难而绽放的生命。学生采纳了同伴意见，在终稿中补充了母子二人对好好儿活的不同理解，并把菊花意象融入对主旨的理解。答辩使同伴反馈直接转化为作品修改，协同建构的过程由此留下证据。</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表3-36  《秋天的怀念》典型问题、反馈与迭代任务（节选）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2068"/>
        <w:gridCol w:w="973"/>
        <w:gridCol w:w="2920"/>
        <w:gridCol w:w="2555"/>
      </w:tblGrid>
      <w:tr w:rsidR="000B1CCE" w14:paraId="7531D65E" w14:textId="77777777">
        <w:trPr>
          <w:tblHeader/>
          <w:jc w:val="center"/>
        </w:trPr>
        <w:tc>
          <w:tcPr>
            <w:tcW w:w="206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97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对应维度</w:t>
            </w:r>
          </w:p>
        </w:tc>
        <w:tc>
          <w:tcPr>
            <w:tcW w:w="2920"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反馈要点</w:t>
            </w:r>
          </w:p>
        </w:tc>
        <w:tc>
          <w:tcPr>
            <w:tcW w:w="25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迭代任务</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left"/>
              <w:rPr>
                <w:rFonts w:ascii="宋体" w:eastAsia="宋体" w:hAnsi="宋体" w:cs="宋体"/>
                <w:bCs/>
                <w:szCs w:val="18"/>
              </w:rPr>
            </w:pPr>
            <w:r>
              <w:rPr>
                <w:rStyle w:val="a7"/>
                <w:rFonts w:ascii="Times New Roman" w:eastAsia="宋体" w:hAnsi="Times New Roman" w:cs="Times New Roman"/>
                <w:b w:val="0"/>
                <w:bCs/>
                <w:kern w:val="0"/>
                <w:szCs w:val="21"/>
                <w:lang w:bidi="ar"/>
              </w:rPr>
              <w:t>只看到母爱伟大，忽略母亲自身的病痛</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提示母亲承受双重煎熬，回到文中寻找暗示病痛的语句</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圈画相关语句并写下两三句批注</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认为菊花只代表母爱</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追问不同花色对应怎样的生命状态</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完善菊花、秋天与好好儿活三者关联的思维导图</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启示只喊口号，缺少个人思考</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追问普通人怎样好好活，尝试写一件小事</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修改短笺，补充一处真实生活情境</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认为我过于暴躁，难以共情</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情绪调节</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引导代入人物处境，体会瘫痪后的绝望</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以事实描述加情绪标注写下我暴怒时的内心独白</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直接否定同伴的阅读感受</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合作共情</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先复述同伴的核心观点，再谈不同理解</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写下同伴观点中认可的部分，再提出不同思考</w:t>
            </w:r>
          </w:p>
        </w:tc>
      </w:tr>
      <w:tr w:rsidR="000B1CCE" w14:paraId="3AC77B2B" w14:textId="77777777">
        <w:trPr>
          <w:jc w:val="center"/>
        </w:trPr>
        <w:tc>
          <w:tcPr>
            <w:tcW w:w="206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回避深度思考，等待现成答案</w:t>
            </w:r>
          </w:p>
        </w:tc>
        <w:tc>
          <w:tcPr>
            <w:tcW w:w="97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责任担当</w:t>
            </w:r>
          </w:p>
        </w:tc>
        <w:tc>
          <w:tcPr>
            <w:tcW w:w="2920"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鼓励从细节出发说出真实感受</w:t>
            </w:r>
          </w:p>
        </w:tc>
        <w:tc>
          <w:tcPr>
            <w:tcW w:w="25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填写反思单，记录卡点、已有尝试和改进设想</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9600" cy="4320000"/>
            <wp:docPr id="55" name="Picture 55"/>
            <wp:cNvGraphicFramePr>
              <a:graphicFrameLocks noChangeAspect="1"/>
            </wp:cNvGraphicFramePr>
            <a:graphic>
              <a:graphicData uri="http://schemas.openxmlformats.org/drawingml/2006/picture">
                <pic:pic>
                  <pic:nvPicPr>
                    <pic:cNvPr id="0" name="dd_iter.jpg"/>
                    <pic:cNvPicPr/>
                  </pic:nvPicPr>
                  <pic:blipFill>
                    <a:blip r:embed="rId36"/>
                    <a:stretch>
                      <a:fillRect/>
                    </a:stretch>
                  </pic:blipFill>
                  <pic:spPr>
                    <a:xfrm>
                      <a:off x="0" y="0"/>
                      <a:ext cx="3069600" cy="4320000"/>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图3-25  学生好好儿活当代启示短笺的迭代版本记录单</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460909"/>
            <wp:docPr id="56" name="Picture 56"/>
            <wp:cNvGraphicFramePr>
              <a:graphicFrameLocks noChangeAspect="1"/>
            </wp:cNvGraphicFramePr>
            <a:graphic>
              <a:graphicData uri="http://schemas.openxmlformats.org/drawingml/2006/picture">
                <pic:pic>
                  <pic:nvPicPr>
                    <pic:cNvPr id="0" name="dd_defense.jpg"/>
                    <pic:cNvPicPr/>
                  </pic:nvPicPr>
                  <pic:blipFill>
                    <a:blip r:embed="rId37"/>
                    <a:stretch>
                      <a:fillRect/>
                    </a:stretch>
                  </pic:blipFill>
                  <pic:spPr>
                    <a:xfrm>
                      <a:off x="0" y="0"/>
                      <a:ext cx="4860000" cy="346090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图3-26  学生短笺成果答辩记录表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思迁移环节，教师引导学生提炼抓细节、品意象、悟主旨的散文阅读三步法，以及觉察情绪、换位共情、责任转化的社会情感三步法，再提供本课未学过的散文开展零支架迁移阅读（图3-27）。一名学生选择《合欢树》，摘抄母亲到处打听偏方为我治病等细节，判断合欢树象征母爱，读出全文借合欢树怀念逝去的母亲；在新旧联系中，学生认为两文的共通点是儿子遭遇人生苦难而母亲默默付出，不同之处在于《秋天的怀念》以菊花寄托母亲的心愿，《合欢树》以树的成长对应我的成长。在方法自评中，学生认为三步法中第一步用得最顺，第二步容易卡住，计划下次先弄清情节发展，再寻找意象并挖掘其背后的情感和象征意义。这份记录说明，学生已能把本课形成的阅读方法独立用于新文本，并对自身的方法运用作出反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533143"/>
            <wp:docPr id="57" name="Picture 57"/>
            <wp:cNvGraphicFramePr>
              <a:graphicFrameLocks noChangeAspect="1"/>
            </wp:cNvGraphicFramePr>
            <a:graphic>
              <a:graphicData uri="http://schemas.openxmlformats.org/drawingml/2006/picture">
                <pic:pic>
                  <pic:nvPicPr>
                    <pic:cNvPr id="0" name="dd_transfer.jpg"/>
                    <pic:cNvPicPr/>
                  </pic:nvPicPr>
                  <pic:blipFill>
                    <a:blip r:embed="rId38"/>
                    <a:stretch>
                      <a:fillRect/>
                    </a:stretch>
                  </pic:blipFill>
                  <pic:spPr>
                    <a:xfrm>
                      <a:off x="0" y="0"/>
                      <a:ext cx="4860000" cy="3533143"/>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图3-27  学生跨文本迁移阅读记录卡</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由学案中的细节解读、思维导图、短笺三稿、答辩记录、社会情感观察记录和跨文本迁移阅读记录卡构成。三稿与答辩记录使进步可见，迁移记录卡在撤去支架后检验方法能否独立运用，使能力可见；社会情感观察表和课后访谈则为情绪调节、合作共情等维度提供过程证据。学生的生命感悟始终建立在小组品读、文本论证和反馈修正之上，协同探究因而具有明确的证据基础。后续仍需对全班短笺的迭代质量和迁移记录卡的完成情况作系统统计，以判断这一设计对不同学生的作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5.四个案例的比较与启示</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四个案例的学科、任务和样态各不相同，但在模型运行上呈现出共同特点（表3-37）。第一，成功标准前置是高阶学习的起点。四位教师都在学习开始前公开分层目标或评价量表，学生因此能够在学习过程中对照标准判断自己的位置。第二，认知冲突与过程作品使思维外显。叉鱼失败、AI图像与实物不符等冲突暴露了学生的前概念，草稿、版本链、光路图和短笺等过程作品则把思维过程固定为可以讨论和修改的对象。第三，多级反馈形成迭代闭环。教师批注、同伴互评、答辩追问和自我评估在四个案例中以不同组合出现，学生的修改理由和修订版本成为进步可见的直接证据。第四，迁移任务通过更换学习对象检验方法的掌握。救生员定位、自选物件写作和零支架散文阅读等任务都改变了学习情境，用来判断学生能否独立运用课堂中形成的思维方法。</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表3-37  四个案例中五环与五见的落实方式</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120"/>
        <w:gridCol w:w="2129"/>
        <w:gridCol w:w="1457"/>
        <w:gridCol w:w="2017"/>
        <w:gridCol w:w="1793"/>
      </w:tblGrid>
      <w:tr w:rsidR="000B1CCE" w14:paraId="7531D65E" w14:textId="77777777">
        <w:trPr>
          <w:tblHeader/>
          <w:jc w:val="center"/>
        </w:trPr>
        <w:tc>
          <w:tcPr>
            <w:tcW w:w="1120"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五环（五见）</w:t>
            </w:r>
          </w:p>
        </w:tc>
        <w:tc>
          <w:tcPr>
            <w:tcW w:w="212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物理《光的折射》</w:t>
            </w:r>
          </w:p>
        </w:tc>
        <w:tc>
          <w:tcPr>
            <w:tcW w:w="145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英语写作</w:t>
            </w:r>
          </w:p>
        </w:tc>
        <w:tc>
          <w:tcPr>
            <w:tcW w:w="201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语文状物写作</w:t>
            </w:r>
          </w:p>
        </w:tc>
        <w:tc>
          <w:tcPr>
            <w:tcW w:w="179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语文《秋天的怀念》</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目标引领（目标可见）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前测诊断，基础与高阶两级目标及评价依据</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四级评价量表与情境示例前置</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记录初始描述，明确四项原则与版本层级</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基础与高阶两级目标及可观测依据</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叉鱼失败与木条折断引发认知冲突</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回复Jim邮件的开放任务</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三轮AI图像生成与实物对比</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生命感悟观察员情境与递进问题链</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探究展学（思维可见）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实体实验与PhET仿真，光路图投屏答辩</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草稿至终稿的思维过程档案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示范文本拆解与草稿对话</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学案展示、思维导图汇报与短笺答辩</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反馈迭代（进步可见）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同伴互评纠错，分层作业批注</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教师、同伴、自我三级反馈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典型问题诊断与分层迭代任务</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六类典型问题反馈，短笺三稿迭代</w:t>
            </w:r>
          </w:p>
        </w:tc>
      </w:tr>
      <w:tr w:rsidR="000B1CCE" w14:paraId="3AC77B2B" w14:textId="77777777">
        <w:trPr>
          <w:jc w:val="center"/>
        </w:trPr>
        <w:tc>
          <w:tcPr>
            <w:tcW w:w="1120"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反思迁移（能力可见）</w:t>
            </w:r>
          </w:p>
        </w:tc>
        <w:tc>
          <w:tcPr>
            <w:tcW w:w="212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救生员定位、繁星闪烁等新情境</w:t>
            </w:r>
          </w:p>
        </w:tc>
        <w:tc>
          <w:tcPr>
            <w:tcW w:w="145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终稿自评与题型迁移思考</w:t>
            </w:r>
          </w:p>
        </w:tc>
        <w:tc>
          <w:tcPr>
            <w:tcW w:w="201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自选物件迁移写作与画廊展学</w:t>
            </w:r>
          </w:p>
        </w:tc>
        <w:tc>
          <w:tcPr>
            <w:tcW w:w="179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零支架跨文本迁移阅读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案例也暴露了共同的不足。社会情感能力的证据多来自教师观察和学生反思，结构化的过程记录仍然不足；多数案例对学生进步的描述以典型个案为主，按量表等级统计的全班分布较为有限，仅状物写作案例报告了初稿与终稿的水平分布。这些问题为模型的进一步迭代提供了方向，也与下文评价体系的建设直接相关。</w:t>
      </w: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创造、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版保持分析、评价、创造三个高阶思维维度不变，同时进一步强调创造在新情境中的迁移运用。迁移不另设能力维度，它作为创造的重要表现，体现在反思迁移环节和评价指标之中；学生问卷创造维度中的知识迁移等题项也对应这一要求，测评框架与模型因此保持一致。</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drawing>
          <wp:inline xmlns:a="http://schemas.openxmlformats.org/drawingml/2006/main" xmlns:pic="http://schemas.openxmlformats.org/drawingml/2006/picture">
            <wp:extent cx="5400000" cy="6707368"/>
            <wp:docPr id="73" name="Picture 73"/>
            <wp:cNvGraphicFramePr>
              <a:graphicFrameLocks noChangeAspect="1"/>
            </wp:cNvGraphicFramePr>
            <a:graphic>
              <a:graphicData uri="http://schemas.openxmlformats.org/drawingml/2006/picture">
                <pic:pic>
                  <pic:nvPicPr>
                    <pic:cNvPr id="0" name="model_20_k.png"/>
                    <pic:cNvPicPr/>
                  </pic:nvPicPr>
                  <pic:blipFill>
                    <a:blip r:embed="rId55"/>
                    <a:stretch>
                      <a:fillRect/>
                    </a:stretch>
                  </pic:blipFill>
                  <pic:spPr>
                    <a:xfrm>
                      <a:off x="0" y="0"/>
                      <a:ext cx="5400000" cy="6707368"/>
                    </a:xfrm>
                    <a:prstGeom prst="rect"/>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图3-28  可见的学习视域下中学生高阶能力培育模型（2.0版）</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vertAlign w:val="superscript"/>
        </w:rPr>
        <w:footnoteReference w:id="121"/>
      </w:r>
      <w:r>
        <w:rPr>
          <w:rFonts w:ascii="Times New Roman" w:eastAsia="宋体" w:hAnsi="Times New Roman" w:cs="Times New Roman"/>
          <w:kern w:val="0"/>
          <w:sz w:val="24"/>
        </w:rPr>
        <w:t xml:space="preserve">。本研究在多轮课例研讨中依据学生作品和课堂表现修订进阶描述，正是这种校准过程的体现，后续仍需积累更多学科的表现样例。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vertAlign w:val="superscript"/>
        </w:rPr>
        <w:footnoteReference w:id="122"/>
      </w:r>
      <w:r>
        <w:rPr>
          <w:rFonts w:ascii="Times New Roman" w:eastAsia="宋体" w:hAnsi="Times New Roman" w:cs="Times New Roman"/>
          <w:kern w:val="0"/>
          <w:sz w:val="24"/>
        </w:rPr>
        <w:t xml:space="preserve">，因此本研究的评价指标描述的是学生的具体表现，例如能否说明判断依据、比较不同方案、依据反馈修订观点。其二是过早评分抑制探索，低利害的多轮修订和描述性反馈更有利于批判性思维和创造力的发展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vertAlign w:val="superscript"/>
        </w:rPr>
        <w:footnoteReference w:id="123"/>
      </w:r>
      <w:r>
        <w:rPr>
          <w:rFonts w:ascii="Times New Roman" w:eastAsia="宋体" w:hAnsi="Times New Roman" w:cs="Times New Roman"/>
          <w:kern w:val="0"/>
          <w:sz w:val="24"/>
        </w:rPr>
        <w:t xml:space="preserve">，因此课堂中的评价以形成性反馈为主，分数主要用于研究层面的前后比较。在思维层次判断上，评价指标与研究设计中的表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表3-38  高阶能力培育评价工具与证据采集</w:t>
      </w:r>
      <w:r>
        <w:rPr>
          <w:rFonts w:ascii="Times New Roman" w:eastAsia="黑体" w:hAnsi="Times New Roman" w:cs="Times New Roman"/>
        </w:rPr>
      </w:r>
      <w:r>
        <w:rPr>
          <w:rFonts w:ascii="Times New Roman" w:eastAsia="黑体" w:hAnsi="Times New Roman" w:cs="Times New Roman"/>
        </w:rPr>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表3-39  研究样本基本情况</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表3-40  高阶思维总体前后测配对比较（n=1346）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表3-41  高阶社会情感总体前后测配对比较（n=1346）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表3-42  两个学段的高阶思维总体前后测比较</w:t>
      </w:r>
      <w:r>
        <w:rPr>
          <w:rFonts w:ascii="Times New Roman" w:eastAsia="黑体" w:hAnsi="Times New Roman" w:cs="Times New Roman"/>
        </w:rPr>
      </w:r>
      <w:r>
        <w:rPr>
          <w:rFonts w:ascii="Times New Roman" w:eastAsia="黑体" w:hAnsi="Times New Roman" w:cs="Times New Roman"/>
        </w:rPr>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表3-43  两个学段的高阶社会情感总体前后测比较</w:t>
      </w:r>
      <w:r>
        <w:rPr>
          <w:rFonts w:ascii="Times New Roman" w:eastAsia="黑体" w:hAnsi="Times New Roman" w:cs="Times New Roman"/>
        </w:rPr>
      </w:r>
      <w:r>
        <w:rPr>
          <w:rFonts w:ascii="Times New Roman" w:eastAsia="黑体" w:hAnsi="Times New Roman" w:cs="Times New Roman"/>
        </w:rPr>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表3-44  高中与初中学生平均增分的比较</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表3-45  各年级高阶思维总体的前后变化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表3-46  各年级高阶社会情感总体的前后变化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表3-47  年级发展特点的探索性分组</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表3-48  两个总体指标的敏感性分析</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表3-49  分析前后测配对比较（n=1346）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表3-50  评价前后测配对比较（n=1346）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表3-51  创造前后测配对比较（n=1346）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表3-52  责任担当前后测配对比较（n=1346）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表3-53  情绪调节前后测配对比较（n=1346）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表3-54  合作共情前后测配对比较（n=1346）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表3-55  包容创新前后测配对比较（n=1346）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表3-56  学生前测开放性回答三级编码表</w:t>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表3-57  学生后测开放性回答三级编码表</w:t>
      </w:r>
      <w:r>
        <w:rPr>
          <w:rFonts w:ascii="Times New Roman" w:eastAsia="黑体" w:hAnsi="Times New Roman" w:cs="Times New Roman"/>
        </w:rPr>
      </w:r>
      <w:r>
        <w:rPr>
          <w:rFonts w:ascii="Times New Roman" w:eastAsia="黑体" w:hAnsi="Times New Roman" w:cs="Times New Roman"/>
        </w:rPr>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表3-58  学生前后测开放性文本主题对应表</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表3-59  纳入匹配表的教师背景分布（n＝129）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表3-60  纳入匹配表的教师学科分布（n＝129）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表3-61  教师认知与价值认同前后测配对分析（n＝129）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表3-62  教师课堂教学实践前后测配对分析（n＝129）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表3-63  教师教学自我效能前后测配对分析（n＝129）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表3-64  教师现实阻碍前后测配对分析（n＝129）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表3-65  教师前测开放性回答三级编码表</w:t>
      </w:r>
      <w:r>
        <w:rPr>
          <w:rFonts w:ascii="Times New Roman" w:eastAsia="黑体" w:hAnsi="Times New Roman" w:cs="Times New Roman"/>
        </w:rPr>
      </w:r>
      <w:r>
        <w:rPr>
          <w:rFonts w:ascii="Times New Roman" w:eastAsia="黑体" w:hAnsi="Times New Roman" w:cs="Times New Roman"/>
        </w:rPr>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表3-66  教师后测开放性回答三级编码表</w:t>
      </w:r>
      <w:r>
        <w:rPr>
          <w:rFonts w:ascii="Times New Roman" w:eastAsia="黑体" w:hAnsi="Times New Roman" w:cs="Times New Roman"/>
        </w:rPr>
      </w:r>
      <w:r>
        <w:rPr>
          <w:rFonts w:ascii="Times New Roman" w:eastAsia="黑体" w:hAnsi="Times New Roman" w:cs="Times New Roman"/>
        </w:rPr>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表3-67  课堂评价工具内部一致性检验结果</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表3-68  删除一级维度后的内部一致性检验</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表3-69  各维度与其余四维总分的相关度</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表3-70  课堂评价总分总体描述统计</w:t>
      </w:r>
      <w:r>
        <w:rPr>
          <w:rFonts w:ascii="Times New Roman" w:eastAsia="黑体" w:hAnsi="Times New Roman" w:cs="Times New Roman"/>
        </w:rPr>
      </w:r>
      <w:r>
        <w:rPr>
          <w:rFonts w:ascii="Times New Roman" w:eastAsia="黑体" w:hAnsi="Times New Roman" w:cs="Times New Roman"/>
        </w:rPr>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表3-71  课堂评价总分区间分布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表3-72  五个评价维度的描述统计</w:t>
      </w:r>
      <w:r>
        <w:rPr>
          <w:rFonts w:ascii="Times New Roman" w:eastAsia="黑体" w:hAnsi="Times New Roman" w:cs="Times New Roman"/>
        </w:rPr>
      </w:r>
      <w:r>
        <w:rPr>
          <w:rFonts w:ascii="Times New Roman" w:eastAsia="黑体" w:hAnsi="Times New Roman" w:cs="Times New Roman"/>
        </w:rPr>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表3-73  五维重复测量整体差异检验</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表3-74  五维两两比较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表3-75  不同学科课堂评价描述统计</w:t>
      </w:r>
      <w:r>
        <w:rPr>
          <w:rFonts w:ascii="Times New Roman" w:eastAsia="黑体" w:hAnsi="Times New Roman" w:cs="Times New Roman"/>
        </w:rPr>
      </w:r>
      <w:r>
        <w:rPr>
          <w:rFonts w:ascii="Times New Roman" w:eastAsia="黑体" w:hAnsi="Times New Roman" w:cs="Times New Roman"/>
        </w:rPr>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表3-76  英语学科低分记录的敏感性描述</w:t>
      </w:r>
      <w:r>
        <w:rPr>
          <w:rFonts w:ascii="Times New Roman" w:eastAsia="黑体" w:hAnsi="Times New Roman" w:cs="Times New Roman"/>
        </w:rPr>
      </w:r>
      <w:r>
        <w:rPr>
          <w:rFonts w:ascii="Times New Roman" w:eastAsia="黑体" w:hAnsi="Times New Roman" w:cs="Times New Roman"/>
        </w:rPr>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表3-77  不同课例课堂评价得分及离散程度</w:t>
      </w:r>
      <w:r>
        <w:rPr>
          <w:rFonts w:ascii="Times New Roman" w:eastAsia="黑体" w:hAnsi="Times New Roman" w:cs="Times New Roman"/>
        </w:rPr>
      </w:r>
      <w:r>
        <w:rPr>
          <w:rFonts w:ascii="Times New Roman" w:eastAsia="黑体" w:hAnsi="Times New Roman" w:cs="Times New Roman"/>
        </w:rPr>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表3-78  英语1课例的敏感性描述</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表3-79  教师开放式评语主题编码频次</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表3-80  五维量化结构与开放文本的对应分析</w:t>
      </w:r>
      <w:r>
        <w:rPr>
          <w:rFonts w:ascii="Times New Roman" w:eastAsia="黑体" w:hAnsi="Times New Roman" w:cs="Times New Roman"/>
        </w:rPr>
      </w:r>
      <w:r>
        <w:rPr>
          <w:rFonts w:ascii="Times New Roman" w:eastAsia="黑体" w:hAnsi="Times New Roman" w:cs="Times New Roman"/>
        </w:rPr>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表3-81  10节课教师与学生行为结构及教师主要行为时间</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表3-82  10节课学生主要学习行为时间分布</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表3-83  学生主要学习行为的描述统计</w:t>
      </w:r>
      <w:r>
        <w:rPr>
          <w:rFonts w:ascii="Times New Roman" w:eastAsia="黑体" w:hAnsi="Times New Roman" w:cs="Times New Roman"/>
        </w:rPr>
      </w:r>
      <w:r>
        <w:rPr>
          <w:rFonts w:ascii="Times New Roman" w:eastAsia="黑体" w:hAnsi="Times New Roman" w:cs="Times New Roman"/>
        </w:rPr>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表3-84  10节课师生问答与学生讨论时间</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表3-85  6节课提问认知层级分布</w:t>
      </w:r>
      <w:r>
        <w:rPr>
          <w:rFonts w:ascii="Times New Roman" w:eastAsia="黑体" w:hAnsi="Times New Roman" w:cs="Times New Roman"/>
        </w:rPr>
      </w:r>
      <w:r>
        <w:rPr>
          <w:rFonts w:ascii="Times New Roman" w:eastAsia="黑体" w:hAnsi="Times New Roman" w:cs="Times New Roman"/>
        </w:rPr>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表3-86  6节课提问认知层级总体结构</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 xml:space="preserve">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vertAlign w:val="superscript"/>
        </w:rPr>
        <w:footnoteReference w:id="124"/>
      </w:r>
      <w:r>
        <w:rPr>
          <w:rFonts w:ascii="Times New Roman" w:eastAsia="宋体" w:hAnsi="Times New Roman" w:cs="Times New Roman"/>
          <w:kern w:val="0"/>
          <w:sz w:val="24"/>
        </w:rPr>
        <w:t xml:space="preserve">。希沃数据为教师提供了不依赖自我感觉的课堂结构信息，但这些信息只描述行为发生的时间和频次，教师仍需结合学习目标和学生表现解释其意义。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表3-87  希沃AI原始反馈文本编码示例</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高阶思维各维度沿用学生问卷的分析、评价、创造三个测量维度，与模型2.0的维度一致。</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 xml:space="preserve">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vertAlign w:val="superscript"/>
        </w:rPr>
        <w:footnoteReference w:id="125"/>
      </w:r>
      <w:r>
        <w:rPr>
          <w:rFonts w:ascii="Times New Roman" w:eastAsia="宋体" w:hAnsi="Times New Roman" w:cs="Times New Roman"/>
          <w:kern w:val="0"/>
          <w:sz w:val="24"/>
        </w:rPr>
        <w:t xml:space="preserve">。</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 xml:space="preserve">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vertAlign w:val="superscript"/>
        </w:rPr>
        <w:footnoteReference w:id="126"/>
      </w:r>
      <w:r>
        <w:rPr>
          <w:rFonts w:ascii="Times New Roman" w:eastAsia="宋体" w:hAnsi="Times New Roman" w:cs="Times New Roman"/>
          <w:kern w:val="0"/>
          <w:sz w:val="24"/>
        </w:rPr>
        <w:t xml:space="preserve">。</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 陈丽莎, 翁绮睿, 彭正梅. 成为自己的教师：“可见的学习”视野下的学生自评能力研究[J]. 教育发展研究, 2023,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 陈丽莎, 伍绍杨. 唤醒家庭的力量[J]. 上海教育, 2025(26):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 陈添. 认识你的领导力：以可见的学习重塑教育变革[J]. 上海教育, 2025(26):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 高嘉诚, 梁锦芳. “可见的学习”视域下学生自评力培养的实践[J]. 上海教育, 2025(26):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 高妍, 缪秋英, 邓莉. DIIE模式：一种教师可以共享的教学语言[J]. 上海教育, 2025(26):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 何光友, 沈勍, 伍绍杨. 可见的学习视角下的项目化设计[J]. 上海教育, 2025(26):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 黄忠敬, 王倩, 陈唤春, 等. 交往能力：中国青少年社会与情感能力测评分报告之五[J]. 华东师范大学学报（教育科学版）, 2021, 39(9): 93-108. DOI:10.16382/j.cnki.1000-5560.2021.09.006.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 教育部. 义务教育课程方案（2022年版）[S]. 北京: 北京师范大学出版社, 2022.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[9] 教育部办公厅. 基础教育课程教学改革深化行动方案（教材厅函〔2023〕3号）[EB/OL]. [2026-10-19].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[10] 教育部基础教育教学指导委员会. 中小学生成式人工智能使用指南（2025年版）[EB/OL]. (2025-05-12)[2026-10-19].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[11] 李茂森, 祝蕾蕾. 中小学课堂教学反馈的现实困境与改进路径：基于哈蒂“可见的学习”的视角[J]. 教育发展研究, 2022,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[12] 林心悦. 卓越教师的三个形象与十个心智框架[J]. 上海教育, 2025(26):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[13] 马淑风, 杨向东. 什么才是高阶思维？——以“新旧知识关系建立”为核心的高阶思维概念框架[J]. 华东师范大学学报（教育科学版）, 2022, 40(11): 58-68. DOI:10.16382/j.cnki.1000-5560.2022.11.005.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[14] 马梓越, 沈勍, 伍绍杨. 可见的学习与学科教学应用[J]. 上海教育, 2025(26):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[15] 彭正梅. 寻求教学的“圣杯”：论哈蒂《可见的学习》及教育学的实证倾向[J]. 教育发展研究, 2015,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[16] 彭正梅, 施芳婷, 伍绍杨. 卓越教师的10个心智框架：《可见的学习》与《学记》的比较[J]. 湖南师范大学教育科学学报, 2022,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[17] 彭正梅, 伍绍杨. 可见的学习：从理论探索到实践创新[J]. 上海教育, 2025(26):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[18] 彭正梅, 伍绍杨, 邓莉. 如何培养高阶能力：哈蒂“可见的学习”的视角[J]. 教育研究, 2019,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[19] 邱惠芬. “可见的学习”视域下初中化学学科实践学习分析框架的建构[J]. 化学教学, 2024(2):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[20] 上海市教育委员会. 上海市初中学业水平考试实施办法（沪教委规〔2019〕2号）[Z]. 2019.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[21] 上海市教育委员会. 上海市初中学生综合素质评价实施办法（沪教委规〔2019〕3号）[Z]. 2019.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[22] 上海市教育委员会. 上海市普通高中课程实施方案[Z]. 2021.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[23] 上海市教育委员会. 关于实施项目化学习推动义务教育育人方式改革的指导意见（沪教委基〔2023〕24号）[EB/OL]. (2023-09-01)[2026-10-19].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[24] 沈勍. 基于“可见的学习”，探索学生高阶能力培养[J]. 上海教育, 2025(26):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[25] 沈勍, 伍绍杨. 高阶能力的培养之道[J]. 上海教育, 2025(26):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[26] 施芳婷. 重新评估学校成功学习的条件[J]. 上海教育, 2025(26):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[27] 石修银. 基于“可见的学习”理论的语文教学设计、过程及评价[J]. 课程·教材·教法, 2021,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[28] 温英贝, 伍绍杨. 有效反馈的艺术[J]. 上海教育, 2025(26):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[29] 伍绍杨. 可见的学习：未完成的故事[J]. 基础教育, 2015,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[30] 伍绍杨. 可见的学习的全球迁移[J]. 上海教育, 2025(26):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[31] 伍绍杨, 彭正梅. 迈向更有效的反馈：哈蒂“可见的学习”的模式[J]. 开放教育研究, 2021,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[32] 伍绍杨, 彭正梅. 学习科学证明了什么：哈蒂“可见的学习”的视角[J]. 教育发展研究, 2025,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[33] 伍绍杨, 彭正梅. 教育知识的全球迁移与重构：以“可见的学习”为例[J]. 比较教育研究, 2026,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[34] 伍绍杨, 施芳婷, 彭正梅. 哪些因素对学业成就的影响最大：基于对“哈蒂排名”和PISA-TALIS的分析[J]. 外国教育研究, 2023,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[35] 杨振峰. 素养立意的课程建设与教学变革[EB/OL]. (2025-01-14)[2026-10-19].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[36] 袁振国, 黄忠敬, 王纮, 等. 中国青少年社会与情感能力发展水平报告——基于第二轮SSES测评数据[J]. 华东师范大学学报（教育科学版）, 2024, 42(5): 1-32. DOI:10.16382/j.cnki.1000-5560.2024.05.001.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[37] 张诗琪. 学习的九个基本原则[J]. 上海教育, 2025(26):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[38] 中共中央, 国务院. 深化新时代教育评价改革总体方案[EB/OL]. (2020-10-13)[2026-10-19].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[39] ABRAMI P C, BERNARD R M, BOROKHOVSKI E, et al. Strategies for teaching students to think critically: A meta-analysis[J]. Review of Educational Research, 2015,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[40] ANDERSON L W, KRATHWOHL D R. A taxonomy for learning, teaching, and assessing: A revision of Bloom's taxonomy of educational objectives[M]. New York: Longman, 2001.</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[41] BERGERON L, ROGERS L. Teaching the Theory of Knowledge course in IB World Schools[R]. La Crosse: University of Wisconsin-La Crosse, 2015.</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[42] BERGERON P J, RIVARD L. How to engage in pseudoscience with real data: A criticism of John Hattie's arguments in Visible Learning from the perspective of a statistician[J]. McGill Journal of Education, 2017,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[43] BIGGS J. What the student does: Teaching for enhanced learning[J]. Higher Education Research &amp; Development, 1999, 18(1): 57-75. DOI:10.1080/0729436990180105.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[44] BOUCKAERT M. The assessment of students' creative and critical thinking skills in higher education across OECD countries: A review of policies and related practices[R]. Paris: OECD Publishing, 2023. DOI:10.1787/35dbd439-en.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[45] BROWN C, GREANY T. The evidence-informed school system in England: Where should school leaders be focusing their efforts?[J]. Leadership and Policy in Schools, 2018, 17(1): 115-137. DOI:10.1080/15700763.2016.1270330.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[46] CASEL. CASEL's SEL framework: What are the core competence areas and where are they promoted?[R]. Chicago: Collaborative for Academic, Social, and Emotional Learning, 2020.</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[47] CHEN S, CHEUNG A C K. Effect of generative artificial intelligence on university students learning outcomes: A systematic review and meta-analysis[J]. Educational Research Review, 2025, 49: 100737. DOI:10.1016/j.edurev.2025.100737.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[48] COHEN L, MANION L, MORRISON K. Research methods in education[M]. 7th ed. London: Routledge, 2011.</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[49] COLE D R, ULLMAN J, GANNON S, et al. Critical thinking skills in the International Baccalaureate's 'Theory of Knowledge' subject: Findings from an Australian study[J]. Australian Journal of Education, 2015,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[50] COWEN N, CARTWRIGHT N, VIRK B, et al. Making the most of the evidence: Evidence-based policy in the classroom[R]. Durham: Durham University, 2015.</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[51] CRESWELL J W, CRESWELL J D. Research design: Qualitative, quantitative, and mixed methods approaches[M]. 6th ed. Thousand Oaks: SAGE, 2022.</w:t>
      </w:r>
      <w:proofErr w:type="gramStart"/>
      <w:proofErr w:type="gramEnd"/>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[52] DE JONG T, LAZONDER A W, CHINN C A, et al. Let's talk evidence – The case for combining inquiry-based and direct instruction[J]. Educational Research Review, 2023, 39: 100536. DOI:10.1016/j.edurev.2023.100536.</w:t>
      </w:r>
      <w:proofErr w:type="spellStart"/>
      <w:proofErr w:type="spellEnd"/>
      <w:proofErr w:type="spellStart"/>
      <w:proofErr w:type="spellEnd"/>
      <w:proofErr w:type="spellStart"/>
      <w:proofErr w:type="spellEnd"/>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[53] DU Y, YUAN Y. Epistemic dependence in AI-mediated learning[J/OL]. AI &amp; Society, 2026. DOI:10.1007/s00146-026-03294-1.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[54] DURLAK J A, WEISSBERG R P, DYMNICKI A B, et al. The impact of enhancing students' social and emotional learning: A meta-analysis of school-based universal interventions[J]. Child Development, 2011,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[55] EACOTT S. Ranting, raving and complaining: Reflections on working against orthodoxy[J]. International Journal of Leadership in Education, 2019, 22(6): 774-782.</w:t>
      </w:r>
      <w:proofErr w:type="spellEnd"/>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[56] EDOVALD T, NEVILL C. Working out what works: The case of the Education Endowment Foundation in England[J]. ECNU Review of Education, 2021,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[57] FREDENS K. Synlig læring og læringens anatomi[J]. Paideia, 2015(9): 70-75.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[58] GOLOVCHIN M A. What kind of teacher does the 'school of the future' need? Possibility of using John Hattie's approach in Russian education[J]. Economic and Social Changes: Facts, Trends, Forecast, 2019, 12(5): 229-242.</w:t>
      </w:r>
      <w:proofErr w:type="spellEnd"/>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[59] GÜNGÖR F, ALTUNBAŞAK İ, AYDIN A T, et al. A second-order meta-analysis on the effects of cooperative learning on students' academic achievement, higher-order thinking, and affective behaviors[J]. Current Psychology, 2026, 45: 552. DOI:10.1007/s12144-025-08943-0.</w:t>
      </w:r>
      <w:proofErr w:type="spellStart"/>
      <w:proofErr w:type="spellEnd"/>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[60] GUO H, ZHOU Z, MA F. Effect of training programs on the creativity of university students: A multi-level meta-analysis[J]. Thinking Skills and Creativity, 2025, 56: 101779. DOI:10.1016/j.tsc.2025.101779.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[61] HATTIE J. What is the nature of evidence that makes a difference to learning?[C]//Using data to support learning: Proceedings of the ACER Research Conference 2005. Melbourne: Australian Council for Educational Research, 2005: 11-21.</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[62] HATTIE J. The applicability of Visible Learning to higher education[J]. Scholarship of Teaching and Learning in Psychology, 2015,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[63] HATTIE J, TIMPERLEY H. The power of feedback[J]. Review of Educational Research, 2007,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[64] HIGGINS S. Meta-synthesis and comparative meta-analysis of education research findings: Some risks and benefits[J]. Review of Education, 2016,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[65] HUGHES C. Theory of Knowledge aims, objectives and assessment criteria: An analysis of critical thinking descriptors[J]. Journal of Research in International Education, 2014, 13(1): 30-45. DOI:10.1177/1475240914528084.</w:t>
      </w:r>
      <w:proofErr w:type="gramStart"/>
      <w:proofErr w:type="gramEnd"/>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[66] JORNITZ S, KLINGE D. "Bildung" as a forgotten aspect of algorithmic technologies[M]//PARREIRA DO AMARAL M, THOMPSON C. Geopolitical transformations in higher education. Cham: Springer, 2022: 231-249.</w:t>
      </w:r>
      <w:proofErr w:type="spellStart"/>
      <w:proofErr w:type="spellEnd"/>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[67] KELLY P, BECK A, HOFBAUER S. Comparing school leaders' experiences of research use in England, Scotland and Germany[J]. Review of Education, 2025, 13(1): e70058. DOI:10.1002/rev3.70058.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[68] KNUDSEN H. John Hattie: I'm a statistician, I'm not a theoretician[J]. Nordic Journal of Studies in Educational Policy, 2017,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[69] KUHN D, CHENEY R, WEINSTOCK M. The development of epistemological understanding[J]. Cognitive Development, 2000,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[70] LEI H, DING Y, CHIU M M. The effect of graphic organizers on cultivating higher-order thinking: Evidence from a meta-analysis[J]. Educational Research Review, 2026, 52: 100822. DOI:10.1016/j.edurev.2026.100822.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[71] LI C, CUI H, HAGEDORN L S. The cognitive impact of ChatGPT in higher education: A systematic review of critical and creative thinking outcomes[J]. Computers and Education: Artificial Intelligence, 2026, 10: 100571. DOI:10.1016/j.caeai.2026.100571.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[72] LIU J, MBOWE A E, TAHRI D, et al. Meta-analysis on the influence of AI agents on K-12 student cognitive performance[J]. Computers in Human Behavior Reports, 2026, 21: 100973. DOI:10.1016/j.chbr.2026.100973.</w:t>
      </w:r>
      <w:proofErr w:type="spellStart"/>
      <w:proofErr w:type="spellEnd"/>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[73] MCDONNELL L M, WEATHERFORD M S. Evidence use and the Common Core State Standards movement: From problem definition to policy adoption[J]. American Journal of Education, 2013, 120(1): 1-25. DOI:10.1086/673163.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[74] NIELSEN K, KLITMØLLER J. Blind spots in visible learning: A critique of John Hattie as an educational theorist[J]. Nordic Psychology, 2021.</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[75] NORDAHL T. Visible Learning som grunnlag for evidens og forbedringsarbeid i utdanningssystemet[J]. Paideia, 2015(9): 61-69.</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[76] OECD. Beyond academic learning: First results from the Survey of Social and Emotional Skills[R]. Paris: OECD Publishing, 2021.</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[77] PARK J H, MYSZKOWSKI N, NIU W. Exploring the intersection of creativity and critical thinking among students: A meta-analysis[J]. Thinking Skills and Creativity, 2026, 60: 102119. DOI:10.1016/j.tsc.2025.102119.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[78] QVORTRUP L. Baggrund for og diskussioner af Visible Learning med særligt henblik på lærings- og vidensbegrebet[J]. Paideia, 2015(9): 22-33.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[79] RICKINSON M, WALSH L, GLEESON J, et al. Using research well in educational practice[M]//RÉVAI N. Who cares about using education research in policy and practice? Strengthening research engagement. Paris: OECD Publishing, 2022: 182-199. DOI:10.1787/d7ff793d-en.</w:t>
      </w:r>
      <w:proofErr w:type="spellStart"/>
      <w:proofErr w:type="spellEnd"/>
      <w:proofErr w:type="gramStart"/>
      <w:proofErr w:type="gramEnd"/>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[80] RUNCO M A, MAMMADOV S, SUI D, et al. Second-order meta-analysis of the creativity research[J/OL]. Creativity Research Journal, 2026. DOI:10.1080/10400419.2026.2644245.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[81] SNOOK I, O'NEILL J, CLARK J, et al. Invisible learnings? A commentary on John Hattie's book: Visible learning: A synthesis of over 800 meta-analyses relating to achievement[J]. New Zealand Journal of Educational Studies, 2009,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[82] STEINER-KHAMSI G, MARTENS K, YDESEN C. Governance by numbers 2.0: Policy brokerage as an instrument of global governance in the era of information overload[J]. Comparative Education, 2024,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[83] TERHART E. Has John Hattie really found the holy grail of research on teaching? An extended review of Visible Learning[J]. Journal of Curriculum Studies, 2011, 43(3): 425-438.</w:t>
      </w:r>
      <w:proofErr w:type="spellEnd"/>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[84] ÜNAL E, KAYA M, UZUN A M, et al. A second-order meta-analysis on the effects of artificial intelligence applications on student outcomes[J]. Journal of Educational Computing Research, 2026, 64(5): 1360-1389. DOI:10.1177/07356331261424767.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[85] WECKER C, VOGEL F, HETMANEK A. Visionär und imposant – aber auch belastbar? Eine Kritik der Methodik von Hatties Visible Learning[J]. Zeitschrift für Erziehungswissenschaft, 2016, 20: 21-40. DOI:10.1007/s11618-016-0696-0.</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[86] WU J Y, LEE Y H, CHAI C S, et al. Strengthening human epistemic agency in the symbiotic learning partnership with generative artificial intelligence[J]. Educational Researcher, 2025, 54(6): 358-368. DOI:10.3102/0013189X251333628.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[87] ZEMPLÉN G Á. Conflicting agendas: Critical thinking versus science education in the International Baccalaureate Theory of Knowledge course[J]. Science &amp; Education, 2007,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[88] ZHAO Y, YUE Y, SUN Z, et al. Does generative artificial intelligence improve students' higher-order thinking? A meta-analysis based on 29 experiments and quasi-experiments[J]. Journal of Intelligence, 2025, 13(12): 160. DOI:10.3390/jintelligence13120160.</w:t>
      </w:r>
    </w:p>
    <w:sectPr w:rsidR="000B1CCE">
      <w:footnotePr>
        <w:numFmt w:val="decimalEnclosedCircle"/>
        <w:numRestart w:val="eachPage"/>
      </w:footnote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教育部. 义务教育课程方案（2022年版）[S]. 北京: 北京师范大学出版社, 2022.</w:t>
      </w:r>
    </w:p>
  </w:footnote>
  <w:footnote w:id="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教育部办公厅. 基础教育课程教学改革深化行动方案（教材厅函〔2023〕3号）[EB/OL]. [2026-10-19]. https://www.gov.cn/zhengce/zhengceku/202306/content_6884785.htm.</w:t>
      </w:r>
    </w:p>
  </w:footnote>
  <w:footnote w:id="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中共中央, 国务院. 深化新时代教育评价改革总体方案[EB/OL]. (2020-10-13)[2026-10-19]. https://www.gov.cn/zhengce/2020-10/13/content_5551032.htm.</w:t>
      </w:r>
    </w:p>
  </w:footnote>
  <w:footnote w:id="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上海市普通高中课程实施方案[Z]. 2021.</w:t>
      </w:r>
    </w:p>
  </w:footnote>
  <w:footnote w:id="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杨振峰. 素养立意的课程建设与教学变革[EB/OL]. (2025-01-14)[2026-10-19]. https://www.eol.cn/news/xueshu/hui/202501/t20250114_2651182.shtml.</w:t>
      </w:r>
    </w:p>
  </w:footnote>
  <w:footnote w:id="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关于实施项目化学习推动义务教育育人方式改革的指导意见（沪教委基〔2023〕24号）[EB/OL]. (2023-09-01)[2026-10-19]. https://edu.sh.gov.cn/xxgk2_zdgz_jcjy_01/20230901/d22c1043024d4d0e9d32b85fd3392186.html.</w:t>
      </w:r>
    </w:p>
  </w:footnote>
  <w:footnote w:id="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上海市初中学业水平考试实施办法（沪教委规〔2019〕2号）[Z]. 2019.</w:t>
      </w:r>
    </w:p>
  </w:footnote>
  <w:footnote w:id="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上海市初中学生综合素质评价实施办法（沪教委规〔2019〕3号）[Z]. 2019.</w:t>
      </w:r>
    </w:p>
  </w:footnote>
  <w:footnote w:id="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教育部基础教育教学指导委员会. 中小学生成式人工智能使用指南（2025年版）[EB/OL]. (2025-05-12)[2026-10-19]. https://www.chinanews.com.cn/cj/2025/05-12/10414191.shtml.</w:t>
      </w:r>
    </w:p>
  </w:footnote>
  <w:footnote w:id="1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w:t>
      </w:r>
    </w:p>
  </w:footnote>
  <w:footnote w:id="1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 WU J Y, LEE Y H, CHAI C S, et al. Strengthening human epistemic agency in the symbiotic learning partnership with generative artificial intelligence[J]. Educational Researcher, 2025, 54(6): 358-368. DOI:10.3102/0013189X251333628.</w:t>
      </w:r>
    </w:p>
  </w:footnote>
  <w:footnote w:id="1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1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1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1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RESNICK L B. Education and learning to think[M]. Washington, DC: National Academy Press, 1987. 转引自: ÜNAL E, KAYA M, UZUN A M, et al. A second-order meta-analysis on the effects of artificial intelligence applications on student outcomes[J]. Journal of Educational Computing Research, 2026, 64(5): 1360-1389. DOI:10.1177/07356331261424767.</w:t>
      </w:r>
    </w:p>
  </w:footnote>
  <w:footnote w:id="1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FACIONE P A. Critical thinking: A statement of expert consensus for purposes of educational assessment and instruction[R]. Millbrae: California Academic Press, 1990. 转引自: HUGHES C. Theory of Knowledge aims, objectives and assessment criteria: An analysis of critical thinking descriptors[J]. Journal of Research in International Education, 2014, 13(1): 30-45. DOI:10.1177/1475240914528084.</w:t>
      </w:r>
    </w:p>
  </w:footnote>
  <w:footnote w:id="2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RUNCO M A, MAMMADOV S, SUI D, et al. Second-order meta-analysis of the creativity research[J/OL]. Creativity Research Journal, 2026. DOI:10.1080/10400419.2026.2644245.</w:t>
      </w:r>
    </w:p>
  </w:footnote>
  <w:footnote w:id="2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DOI:10.1016/j.tsc.2025.101779.</w:t>
      </w:r>
    </w:p>
  </w:footnote>
  <w:footnote w:id="2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马淑风, 杨向东. 什么才是高阶思维？——以“新旧知识关系建立”为核心的高阶思维概念框架[J]. 华东师范大学学报（教育科学版）, 2022, 40(11): 58-68. DOI:10.16382/j.cnki.1000-5560.2022.11.005.</w:t>
      </w:r>
    </w:p>
  </w:footnote>
  <w:footnote w:id="2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2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2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CASEL. CASEL's SEL framework: What are the core competence areas and where are they promoted?[R]. Chicago: Collaborative for Academic, Social, and Emotional Learning, 2020.</w:t>
      </w:r>
    </w:p>
  </w:footnote>
  <w:footnote w:id="2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2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袁振国, 黄忠敬, 王纮, 等. 中国青少年社会与情感能力发展水平报告——基于第二轮SSES测评数据[J]. 华东师范大学学报（教育科学版）, 2024, 42(5): 1-32. DOI:10.16382/j.cnki.1000-5560.2024.05.001.</w:t>
      </w:r>
    </w:p>
  </w:footnote>
  <w:footnote w:id="2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黄忠敬, 王倩, 陈唤春, 等. 交往能力：中国青少年社会与情感能力测评分报告之五[J]. 华东师范大学学报（教育科学版）, 2021, 39(9): 93-108. DOI:10.16382/j.cnki.1000-5560.2021.09.006.</w:t>
      </w:r>
    </w:p>
  </w:footnote>
  <w:footnote w:id="2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STEINER-KHAMSI G, MARTENS K, YDESEN C. Governance by numbers 2.0: Policy brokerage as an instrument of global governance in the era of information overload[J]. Comparative Education, 2024, 60(4): 537-554.</w:t>
      </w:r>
    </w:p>
  </w:footnote>
  <w:footnote w:id="3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3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3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LEI H, DING Y, CHIU M M. The effect of graphic organizers on cultivating higher-order thinking: Evidence from a meta-analysis[J]. Educational Research Review, 2026, 52: 100822. DOI:10.1016/j.edurev.2026.100822.</w:t>
      </w:r>
    </w:p>
  </w:footnote>
  <w:footnote w:id="3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DE JONG T, LAZONDER A W, CHINN C A, et al. Let's talk evidence – The case for combining inquiry-based and direct instruction[J]. Educational Research Review, 2023, 39: 100536. DOI:10.1016/j.edurev.2023.100536.</w:t>
      </w:r>
    </w:p>
  </w:footnote>
  <w:footnote w:id="3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3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HUGHES C. Theory of Knowledge aims, objectives and assessment criteria: An analysis of critical thinking descriptors[J]. Journal of Research in International Education, 2014, 13(1): 30-45. DOI:10.1177/1475240914528084.</w:t>
      </w:r>
    </w:p>
  </w:footnote>
  <w:footnote w:id="3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3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上海市教育委员会. 关于实施项目化学习推动义务教育育人方式改革的指导意见（沪教委基〔2023〕24号）[EB/OL]. (2023-09-01)[2026-10-19]. https://edu.sh.gov.cn/xxgk2_zdgz_jcjy_01/20230901/d22c1043024d4d0e9d32b85fd3392186.html.</w:t>
      </w:r>
    </w:p>
  </w:footnote>
  <w:footnote w:id="3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KUHN D, CHENEY R, WEINSTOCK M. The development of epistemological understanding[J]. Cognitive Development, 2000, 15(3): 309-328.</w:t>
      </w:r>
    </w:p>
  </w:footnote>
  <w:footnote w:id="4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4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4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4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4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4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DOI:10.1016/j.tsc.2025.102119.</w:t>
      </w:r>
    </w:p>
  </w:footnote>
  <w:footnote w:id="4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4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4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Computers and Education: Artificial Intelligence, 2026, 10: 100571. DOI:10.1016/j.caeai.2026.100571.</w:t>
      </w:r>
    </w:p>
  </w:footnote>
  <w:footnote w:id="4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WU J Y, LEE Y H, CHAI C S, et al. Strengthening human epistemic agency in the symbiotic learning partnership with generative artificial intelligence[J]. Educational Researcher, 2025, 54(6): 358-368. DOI:10.3102/0013189X251333628.</w:t>
      </w:r>
    </w:p>
  </w:footnote>
  <w:footnote w:id="5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LIU J, MBOWE A E, TAHRI D, et al. Meta-analysis on the influence of AI agents on K-12 student cognitive performance[J]. Computers in Human Behavior Reports, 2026, 21: 100973. DOI:10.1016/j.chbr.2026.100973.</w:t>
      </w:r>
    </w:p>
  </w:footnote>
  <w:footnote w:id="5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DU Y, YUAN Y. Epistemic dependence in AI-mediated learning[J/OL]. AI &amp; Society, 2026. DOI:10.1007/s00146-026-03294-1.</w:t>
      </w:r>
    </w:p>
  </w:footnote>
  <w:footnote w:id="5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HIGGINS S. Meta-synthesis and comparative meta-analysis of education research findings: Some risks and benefits[J]. Review of Education, 2016, 4(1): 31-53.</w:t>
      </w:r>
    </w:p>
  </w:footnote>
  <w:footnote w:id="5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11-21.</w:t>
      </w:r>
    </w:p>
  </w:footnote>
  <w:footnote w:id="5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寻求教学的“圣杯”：论哈蒂《可见的学习》及教育学的实证倾向[J]. 教育发展研究, 2015, 35(6): 1-9.</w:t>
      </w:r>
    </w:p>
  </w:footnote>
  <w:footnote w:id="5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施芳婷. 重新评估学校成功学习的条件[J]. 上海教育, 2025(26): 29-31.</w:t>
      </w:r>
    </w:p>
  </w:footnote>
  <w:footnote w:id="5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施芳婷, 彭正梅. 哪些因素对学业成就的影响最大：基于对“哈蒂排名”和PISA-TALIS的分析[J]. 外国教育研究, 2023, 50(7): 58-82.</w:t>
      </w:r>
    </w:p>
  </w:footnote>
  <w:footnote w:id="5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伍绍杨. 可见的学习：从理论探索到实践创新[J]. 上海教育, 2025(26): 26-28.</w:t>
      </w:r>
    </w:p>
  </w:footnote>
  <w:footnote w:id="5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张诗琪. 学习的九个基本原则[J]. 上海教育, 2025(26): 34-35.</w:t>
      </w:r>
    </w:p>
  </w:footnote>
  <w:footnote w:id="5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彭正梅. 学习科学证明了什么：哈蒂“可见的学习”的视角[J]. 教育发展研究, 2025, 45(8): 39-50.</w:t>
      </w:r>
    </w:p>
  </w:footnote>
  <w:footnote w:id="6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What is the nature of evidence that makes a difference to learning?[C]//Using data to support learning: Proceedings of the ACER Research Conference 2005. Melbourne: Australian Council for Educational Research, 2005: 14-17.</w:t>
      </w:r>
    </w:p>
  </w:footnote>
  <w:footnote w:id="6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6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6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FREDENS K. Synlig læring og læringens anatomi[J]. Paideia, 2015(9): 70-75.</w:t>
      </w:r>
    </w:p>
  </w:footnote>
  <w:footnote w:id="6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6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CARLESS D, BOUD D. The development of student feedback literacy: Enabling uptake of feedback[J]. Assessment &amp; Evaluation in Higher Education, 2018, 43(8): 1315-1325. 转引自: DU Y, YUAN Y. Epistemic dependence in AI-mediated learning[J/OL]. AI &amp; Society, 2026. DOI:10.1007/s00146-026-03294-1.</w:t>
      </w:r>
    </w:p>
  </w:footnote>
  <w:footnote w:id="6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彭正梅. 迈向更有效的反馈：哈蒂“可见的学习”的模式[J]. 开放教育研究, 2021, 27(4): 27-40.</w:t>
      </w:r>
    </w:p>
  </w:footnote>
  <w:footnote w:id="6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李茂森, 祝蕾蕾. 中小学课堂教学反馈的现实困境与改进路径：基于哈蒂“可见的学习”的视角[J]. 教育发展研究, 2022, 42(20): 77-84.</w:t>
      </w:r>
    </w:p>
  </w:footnote>
  <w:footnote w:id="6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温英贝, 伍绍杨. 有效反馈的艺术[J]. 上海教育, 2025(26): 38-39.</w:t>
      </w:r>
    </w:p>
  </w:footnote>
  <w:footnote w:id="6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陈丽莎, 翁绮睿, 彭正梅. 成为自己的教师：“可见的学习”视野下的学生自评能力研究[J]. 教育发展研究, 2023, 43(22): 38-54.</w:t>
      </w:r>
    </w:p>
  </w:footnote>
  <w:footnote w:id="7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高嘉诚, 梁锦芳. “可见的学习”视域下学生自评力培养的实践[J]. 上海教育, 2025(26): 52-53.</w:t>
      </w:r>
    </w:p>
  </w:footnote>
  <w:footnote w:id="7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7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施芳婷, 伍绍杨. 卓越教师的10个心智框架：《可见的学习》与《学记》的比较[J]. 湖南师范大学教育科学学报, 2022, 21(5): 23-31.</w:t>
      </w:r>
    </w:p>
  </w:footnote>
  <w:footnote w:id="7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林心悦. 卓越教师的三个形象与十个心智框架[J]. 上海教育, 2025(26): 46-47.</w:t>
      </w:r>
    </w:p>
  </w:footnote>
  <w:footnote w:id="7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高妍, 缪秋英, 邓莉. DIIE模式：一种教师可以共享的教学语言[J]. 上海教育, 2025(26): 40-41.</w:t>
      </w:r>
    </w:p>
  </w:footnote>
  <w:footnote w:id="7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NORDAHL T. Visible Learning som grunnlag for evidens og forbedringsarbeid i utdanningssystemet[J]. Paideia, 2015(9): 61-69.</w:t>
      </w:r>
    </w:p>
  </w:footnote>
  <w:footnote w:id="7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7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7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EDOVALD T, NEVILL C. Working out what works: The case of the Education Endowment Foundation in England[J]. ECNU Review of Education, 2021, 4(1): 46-64.</w:t>
      </w:r>
    </w:p>
  </w:footnote>
  <w:footnote w:id="7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BROWN C, GREANY T. The evidence-informed school system in England: Where should school leaders be focusing their efforts?[J]. Leadership and Policy in Schools, 2018, 17(1): 115-137. DOI:10.1080/15700763.2016.1270330.</w:t>
      </w:r>
    </w:p>
  </w:footnote>
  <w:footnote w:id="8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陈添. 认识你的领导力：以可见的学习重塑教育变革[J]. 上海教育, 2025(26): 48-49.</w:t>
      </w:r>
    </w:p>
  </w:footnote>
  <w:footnote w:id="8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陈丽莎, 伍绍杨. 唤醒家庭的力量[J]. 上海教育, 2025(26): 50-51.</w:t>
      </w:r>
    </w:p>
  </w:footnote>
  <w:footnote w:id="8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石修银. 基于“可见的学习”理论的语文教学设计、过程及评价[J]. 课程·教材·教法, 2021, 41(8): 83-89.</w:t>
      </w:r>
    </w:p>
  </w:footnote>
  <w:footnote w:id="8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邱惠芬. “可见的学习”视域下初中化学学科实践学习分析框架的建构[J]. 化学教学, 2024(2): 27-33.</w:t>
      </w:r>
    </w:p>
  </w:footnote>
  <w:footnote w:id="8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马梓越, 沈勍, 伍绍杨. 可见的学习与学科教学应用[J]. 上海教育, 2025(26): 42-43.</w:t>
      </w:r>
    </w:p>
  </w:footnote>
  <w:footnote w:id="8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何光友, 沈勍, 伍绍杨. 可见的学习视角下的项目化设计[J]. 上海教育, 2025(26): 44-45.</w:t>
      </w:r>
    </w:p>
  </w:footnote>
  <w:footnote w:id="8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沈勍. 基于“可见的学习”，探索学生高阶能力培养[J]. 上海教育, 2025(26): 54-55.</w:t>
      </w:r>
    </w:p>
  </w:footnote>
  <w:footnote w:id="8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SNOOK I, O'NEILL J, CLARK J, et al. Invisible learnings? A commentary on John Hattie's book: Visible learning: A synthesis of over 800 meta-analyses relating to achievement[J]. New Zealand Journal of Educational Studies, 2009, 44(1): 93-106.</w:t>
      </w:r>
    </w:p>
  </w:footnote>
  <w:footnote w:id="8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WECKER C, VOGEL F, HETMANEK A. Visionär und imposant – aber auch belastbar? Eine Kritik der Methodik von Hatties Visible Learning[J]. Zeitschrift für Erziehungswissenschaft, 2016, 20: 21-40. DOI:10.1007/s11618-016-0696-0.</w:t>
      </w:r>
    </w:p>
  </w:footnote>
  <w:footnote w:id="8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BERGERON P J, RIVARD L. How to engage in pseudoscience with real data: A criticism of John Hattie's arguments in Visible Learning from the perspective of a statistician[J]. McGill Journal of Education, 2017, 52(1): 237-246.</w:t>
      </w:r>
    </w:p>
  </w:footnote>
  <w:footnote w:id="9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TERHART E. Has John Hattie really found the holy grail of research on teaching? An extended review of Visible Learning[J]. Journal of Curriculum Studies, 2011, 43(3): 425-438.</w:t>
      </w:r>
    </w:p>
  </w:footnote>
  <w:footnote w:id="9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w:t>
      </w:r>
    </w:p>
  </w:footnote>
  <w:footnote w:id="9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QVORTRUP L. Baggrund for og diskussioner af Visible Learning med særligt henblik på lærings- og vidensbegrebet[J]. Paideia, 2015(9): 22-33.</w:t>
      </w:r>
    </w:p>
  </w:footnote>
  <w:footnote w:id="9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EACOTT S. Ranting, raving and complaining: Reflections on working against orthodoxy[J]. International Journal of Leadership in Education, 2019, 22(6): 774-782.</w:t>
      </w:r>
    </w:p>
  </w:footnote>
  <w:footnote w:id="9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GOLOVCHIN M A. What kind of teacher does the 'school of the future' need? Possibility of using John Hattie's approach in Russian education[J]. Economic and Social Changes: Facts, Trends, Forecast, 2019, 12(5): 229-242.</w:t>
      </w:r>
    </w:p>
  </w:footnote>
  <w:footnote w:id="9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KELLY P, BECK A, HOFBAUER S. Comparing school leaders' experiences of research use in England, Scotland and Germany[J]. Review of Education, 2025, 13(1): e70058. DOI:10.1002/rev3.70058.</w:t>
      </w:r>
    </w:p>
  </w:footnote>
  <w:footnote w:id="9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可见的学习：未完成的故事[J]. 基础教育, 2015, 12(5): 107-112.</w:t>
      </w:r>
    </w:p>
  </w:footnote>
  <w:footnote w:id="9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寻求教学的“圣杯”：论哈蒂《可见的学习》及教育学的实证倾向[J]. 教育发展研究, 2015, 35(6): 1-9.</w:t>
      </w:r>
    </w:p>
  </w:footnote>
  <w:footnote w:id="9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彭正梅. 教育知识的全球迁移与重构：以“可见的学习”为例[J]. 比较教育研究, 2026, 48(3): 92-101.</w:t>
      </w:r>
    </w:p>
  </w:footnote>
  <w:footnote w:id="9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伍绍杨. 可见的学习的全球迁移[J]. 上海教育, 2025(26): 32-33.</w:t>
      </w:r>
    </w:p>
  </w:footnote>
  <w:footnote w:id="10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彭正梅, 伍绍杨, 邓莉. 如何培养高阶能力：哈蒂“可见的学习”的视角[J]. 教育研究, 2019, 40(5): 76-85.</w:t>
      </w:r>
    </w:p>
  </w:footnote>
  <w:footnote w:id="10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沈勍, 伍绍杨. 高阶能力的培养之道[J]. 上海教育, 2025(26): 36-37.</w:t>
      </w:r>
    </w:p>
  </w:footnote>
  <w:footnote w:id="10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RICKINSON M, WALSH L, GLEESON J, et al. Using research well in educational practice[M]//RÉVAI N. Who cares about using education research in policy and practice? Strengthening research engagement. Paris: OECD Publishing, 2022: 182-199. DOI:10.1787/d7ff793d-en.</w:t>
      </w:r>
    </w:p>
  </w:footnote>
  <w:footnote w:id="10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KELLY P, BECK A, HOFBAUER S. Comparing school leaders' experiences of research use in England, Scotland and Germany[J]. Review of Education, 2025, 13(1): e70058. DOI:10.1002/rev3.70058.</w:t>
      </w:r>
    </w:p>
  </w:footnote>
  <w:footnote w:id="10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 WECKER C, VOGEL F, HETMANEK A. Visionär und imposant – aber auch belastbar? Eine Kritik der Methodik von Hatties Visible Learning[J]. Zeitschrift für Erziehungswissenschaft, 2016, 20: 21-40. DOI:10.1007/s11618-016-0696-0.</w:t>
      </w:r>
    </w:p>
  </w:footnote>
  <w:footnote w:id="10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DOI:10.1016/j.edurev.2025.100737.; LIU J, MBOWE A E, TAHRI D, et al. Meta-analysis on the influence of AI agents on K-12 student cognitive performance[J]. Computers in Human Behavior Reports, 2026, 21: 100973. DOI:10.1016/j.chbr.2026.100973.</w:t>
      </w:r>
    </w:p>
  </w:footnote>
  <w:footnote w:id="10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10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CRESWELL J W, CRESWELL J D. Research design: Qualitative, quantitative, and mixed methods approaches[M]. 6th ed. Thousand Oaks: SAGE, 2022.</w:t>
      </w:r>
    </w:p>
  </w:footnote>
  <w:footnote w:id="10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10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JORNITZ S, KLINGE D. "Bildung" as a forgotten aspect of algorithmic technologies[M]//PARREIRA DO AMARAL M, THOMPSON C. Geopolitical transformations in higher education. Cham: Springer, 2022: 231-249.</w:t>
      </w:r>
    </w:p>
  </w:footnote>
  <w:footnote w:id="11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11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1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马淑风, 杨向东. 什么才是高阶思维？——以“新旧知识关系建立”为核心的高阶思维概念框架[J]. 华东师范大学学报（教育科学版）, 2022, 40(11): 58-68. DOI:10.16382/j.cnki.1000-5560.2022.11.005.</w:t>
      </w:r>
    </w:p>
  </w:footnote>
  <w:footnote w:id="11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11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黄忠敬, 王倩, 陈唤春, 等. 交往能力：中国青少年社会与情感能力测评分报告之五[J]. 华东师范大学学报（教育科学版）, 2021, 39(9): 93-108. DOI:10.16382/j.cnki.1000-5560.2021.09.006.; 袁振国, 黄忠敬, 王纮, 等. 中国青少年社会与情感能力发展水平报告——基于第二轮SSES测评数据[J]. 华东师范大学学报（教育科学版）, 2024, 42(5): 1-32. DOI:10.16382/j.cnki.1000-5560.2024.05.001.</w:t>
      </w:r>
    </w:p>
  </w:footnote>
  <w:footnote w:id="11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11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117">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ÜNAL E, KAYA M, UZUN A M, et al. A second-order meta-analysis on the effects of artificial intelligence applications on student outcomes[J]. Journal of Educational Computing Research, 2026, 64(5): 1360-1389. DOI:10.1177/07356331261424767.</w:t>
      </w:r>
    </w:p>
  </w:footnote>
  <w:footnote w:id="118">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DOI:10.1016/j.tsc.2025.101779.</w:t>
      </w:r>
    </w:p>
  </w:footnote>
  <w:footnote w:id="119">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120">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邱惠芬. “可见的学习”视域下初中化学学科实践学习分析框架的建构[J]. 化学教学, 2024(2): 27-33.</w:t>
      </w:r>
    </w:p>
  </w:footnote>
  <w:footnote w:id="121">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122">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123">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 w:id="124">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125">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FREDENS K. Synlig læring og læringens anatomi[J]. Paideia, 2015(9): 70-75.</w:t>
      </w:r>
    </w:p>
  </w:footnote>
  <w:footnote w:id="126">
    <w:p>
      <w:pPr>
        <w:snapToGrid w:val="0"/>
        <w:spacing w:after="0" w:line="240" w:lineRule="auto"/>
        <w:ind w:left="180" w:hangingChars="100" w:hanging="180"/>
        <w:jc w:val="left"/>
      </w:pPr>
      <w:r>
        <w:rPr>
          <w:rFonts w:ascii="Times New Roman" w:eastAsia="宋体" w:hAnsi="Times New Roman" w:cs="Times New Roman"/>
          <w:sz w:val="18"/>
          <w:szCs w:val="18"/>
          <w:vertAlign w:val="superscript"/>
        </w:rPr>
        <w:footnoteRef/>
      </w:r>
      <w:r>
        <w:rPr>
          <w:rFonts w:ascii="Times New Roman" w:eastAsia="宋体" w:hAnsi="Times New Roman" w:cs="Times New Roman"/>
          <w:sz w:val="18"/>
          <w:szCs w:val="18"/>
        </w:rPr>
        <w:t xml:space="preserve"> CRESWELL J W, CRESWELL J D. Research design: Qualitative, quantitative, and mixed methods approaches[M]. 6th ed. Thousand Oaks: SAGE,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numFmt w:val="decimalEnclosedCircle"/>
    <w:numRestart w:val="eachPage"/>
    <w:footnote w:id="-1"/>
    <w:footnote w:id="0"/>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