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spacing w:before="120" w:after="120" w:line="360" w:lineRule="auto"/>
        <w:jc w:val="center"/>
        <w:rPr>
          <w:b/>
          <w:bCs/>
          <w:sz w:val="32"/>
          <w:szCs w:val="40"/>
        </w:rPr>
      </w:pPr>
      <w:r>
        <w:rPr>
          <w:rFonts w:ascii="Times New Roman" w:eastAsia="黑体" w:hAnsi="Times New Roman" w:cs="Times New Roman"/>
          <w:b/>
          <w:bCs/>
          <w:sz w:val="36"/>
          <w:szCs w:val="40"/>
        </w:rPr>
        <w:t>“</w:t>
      </w:r>
      <w:r>
        <w:rPr>
          <w:rFonts w:ascii="Times New Roman" w:eastAsia="黑体" w:hAnsi="Times New Roman" w:cs="Times New Roman"/>
          <w:b/>
          <w:bCs/>
          <w:sz w:val="36"/>
          <w:szCs w:val="40"/>
        </w:rPr>
        <w:t>可见的学习</w:t>
      </w:r>
      <w:r>
        <w:rPr>
          <w:rFonts w:ascii="Times New Roman" w:eastAsia="黑体" w:hAnsi="Times New Roman" w:cs="Times New Roman"/>
          <w:b/>
          <w:bCs/>
          <w:sz w:val="36"/>
          <w:szCs w:val="40"/>
        </w:rPr>
        <w:t>”</w:t>
      </w:r>
      <w:r>
        <w:rPr>
          <w:rFonts w:ascii="Times New Roman" w:eastAsia="黑体" w:hAnsi="Times New Roman" w:cs="Times New Roman"/>
          <w:b/>
          <w:bCs/>
          <w:sz w:val="36"/>
          <w:szCs w:val="40"/>
        </w:rPr>
        <w:t>视域下中学生高阶能力培育的学校探索</w:t>
      </w:r>
    </w:p>
    <w:p w14:paraId="6F163418"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面向核心素养导向下高阶能力培育由理念要求走向课堂实践的现实需求，本研究以可见的学习为视角，探讨学校如何让高阶能力在真实学习中发生并被看见。研究将中学生高阶能力界定为高阶思维与高阶社会情感两个相互关联的方面，前者包括分析、评价、创造，后者包括责任担当、情绪调节、合作共情、包容创新。研究立足学校真实教育教学情境，综合运用文献研究、问卷调查、访谈、课堂观察、行动研究和案例研究等方法，依次开展现状诊断、模型建构、多场域实践和成效评价。在前测诊断与课堂证据的基础上，课题组建构并迭代形成高阶能力培育模型，使目标引领、任务驱动、探究展学、反馈迭代和反思迁移的五环学习模型，与诊断发现、干预设计、实施推进和评估改进的四步调节教学模型协同运行，在学科课堂与科创项目两个场域中持续实践，并借助学生作品、课堂评价、AI课堂行为数据和问卷等多源证据诊断和改进教学。</w:t>
      </w:r>
    </w:p>
    <w:p w14:paraId="6F163418"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sidRPr="006E72A5">
        <w:rPr>
          <w:rFonts w:ascii="宋体" w:eastAsia="宋体" w:hAnsi="宋体" w:cs="宋体"/>
          <w:color w:val="000000"/>
          <w:kern w:val="0"/>
          <w:sz w:val="24"/>
        </w:rPr>
        <w:t>研究结果表明，高阶能力培育需要把能力目标嵌入真实任务和持续学习过程，并通过学习证据和反馈调节，推动学生由知识理解走向分析判断、创新生成和迁移应用。1346对学生前后测配对结果显示，高阶思维总体均分由3.934提高至4.030，分析、评价、创造三个维度均呈显著的小幅提升；高阶社会情感总体均分由4.032提高至4.400，四个维度均显著提高，变化幅度更为明显。教师问卷各维度未呈现统计显著变化，但课堂实践和教学自我效能呈积极趋势；结合课堂观察、教师反思和开放性资料，教师依据学习证据诊断和调整教学的意识逐步增强。可见的学习能够为高阶能力由抽象目标转化为可经历、可观察、可反馈和可改进的学习过程提供实践支撑，本研究形成的学习模型、教学模型、多源评价工具和典型案例，可为学校系统推进高阶能力培育和课堂教学改进提供参考。</w:t>
      </w:r>
    </w:p>
    <w:p w14:paraId="5043D3C6"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2AC90CF9"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E036C3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1BD2919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7827BD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w:t>
      </w:r>
      <w:r>
        <w:rPr>
          <w:rFonts w:ascii="Times New Roman" w:eastAsia="宋体" w:hAnsi="Times New Roman" w:cs="Times New Roman"/>
          <w:color w:val="000000"/>
          <w:kern w:val="0"/>
          <w:sz w:val="24"/>
        </w:rPr>
        <w:lastRenderedPageBreak/>
        <w:t>回答的问题。</w:t>
      </w:r>
    </w:p>
    <w:p w14:paraId="279E979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0A2A7AD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1AB81F3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249169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79855C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0C402A0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1499A4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w:t>
      </w:r>
      <w:r>
        <w:rPr>
          <w:rFonts w:ascii="Times New Roman" w:eastAsia="宋体" w:hAnsi="Times New Roman" w:cs="Times New Roman"/>
          <w:color w:val="000000"/>
          <w:kern w:val="0"/>
          <w:sz w:val="24"/>
        </w:rPr>
        <w:lastRenderedPageBreak/>
        <w:t>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654733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778096C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1B24654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5E4EDFC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12EB1CC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w:t>
      </w:r>
      <w:r>
        <w:rPr>
          <w:rFonts w:ascii="Times New Roman" w:eastAsia="宋体" w:hAnsi="Times New Roman" w:cs="Times New Roman"/>
          <w:color w:val="000000"/>
          <w:kern w:val="0"/>
          <w:sz w:val="24"/>
        </w:rPr>
        <w:lastRenderedPageBreak/>
        <w:t>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）。如果只看考试结果，可能会低估学生在学习过程中已经发生的变化，也难以判断教学究竟在哪个环节起了作用。</w:t>
      </w:r>
    </w:p>
    <w:p w14:paraId="60BC99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E5D541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1D705B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7A69EFC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4D21A3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E7ED4FD"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2BE285DF"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2C369601"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02BDB24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426BE7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409E6C02"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18A24F2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25C3A7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5E0ADC0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61A84BE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1075398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7C2C007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3F1B10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0C510F3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1CC19BF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4A89AE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1EF24E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50C2C0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5A51C9A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0EB18A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4C2E1A2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FAD0E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4CFFD23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0D2FB61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7A692F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304B575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556324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576A4F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247020C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7CA523F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6660A53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24B053D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1B8DB6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26A2F4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54929786"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0CD038F4"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16CBCC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5B816C7A"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236C001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14BAF26"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4F8AFAE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）可见的学习的基本主张</w:t>
      </w:r>
    </w:p>
    <w:p w14:paraId="21C84F4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1C972B0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6E5B185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lastRenderedPageBreak/>
        <w:t>2</w:t>
      </w:r>
      <w:r>
        <w:rPr>
          <w:rFonts w:ascii="Times New Roman" w:eastAsia="华文楷体" w:hAnsi="Times New Roman" w:cs="Times New Roman"/>
          <w:kern w:val="0"/>
          <w:sz w:val="24"/>
        </w:rPr>
        <w:t>）可见的学习的运行机制</w:t>
      </w:r>
    </w:p>
    <w:p w14:paraId="37C0B4A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76DFC4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0181A40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657DCE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）可见的学习对教师和学校的要求</w:t>
      </w:r>
    </w:p>
    <w:p w14:paraId="265C3C7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B8880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7EB809C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755BAA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）学术争议与本研究的使用立场</w:t>
      </w:r>
    </w:p>
    <w:p w14:paraId="589691C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2362706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127F10B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2FB0E22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2FE1737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7717B95A"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642EAE1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6DD8FC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3867F0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06706AC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21BC2DA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4B303A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1448FFD5"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4F8B4C3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2DF6E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52405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01FCD8D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5C18486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A9ED1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9E512F4"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5414D90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3ED7D3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8E0EC7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67DC6FC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0EB97B1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CB2F7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2843EDA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78BF1F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730F6B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0C75A3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1816B08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397DC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2A0CFF95"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4FB5B8B1"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097B35A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56C6B3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1FCE8EC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52471D9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0D47DCE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18F2BE6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337FFEA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505999E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1871D3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61D4C2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3A39046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386AA11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6DB28F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62F58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116EB1B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5EA4ECC8"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781CA80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7E67A3B4"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69003E6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4965F1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141EBF3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323BDAFF"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9AE9D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40A9C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1B07B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3FE3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016CB5C7"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14BD10CA"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F28237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1E6222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34B88DA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720147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329BA6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66E1E7F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038CFDC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52F03EE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65A97FE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184C1BE2"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AD66BB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4EF02C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6EDB46C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6D376C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2520D9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20DFDF0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477BD77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75063C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0B3FC14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27E5769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90242A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56C3364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1A059A6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400669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7E6D53A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432FE7F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1FE3D48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25C8C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337CFA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CA38B8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092D5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2ABFEDE6"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2016634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5EB62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02345B9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2DA974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58DFE2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1FF1E36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1DADA5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29BBE3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2810CD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27A4A51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725F01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41DAE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0598B8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4ED8320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5704998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6681A49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1694B7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625970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1C40A9F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77C55E8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C7DC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361E4C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4D9353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28089C6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6D659A7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6DE3F9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092E0453"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5DE6E8A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7E7944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0D5669F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）界定核心概念，完善研究框架。对中学生高阶能力、高阶思维能力、高阶社会情感能力和可见的学习等核心概念进行界定，梳理概念之间的关系，明确课题研究什么、怎样研究、怎样评价的基本思路。</w:t>
      </w:r>
    </w:p>
    <w:p w14:paraId="472C7D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10E6D7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02F3338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470D06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59B3E74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5BBD52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71EDDF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4D9245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7F7747C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1E0A22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05DFDD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782E004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68A8EA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17CE3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w:t>
      </w:r>
      <w:r>
        <w:rPr>
          <w:rFonts w:ascii="Times New Roman" w:eastAsia="宋体" w:hAnsi="Times New Roman" w:cs="Times New Roman"/>
          <w:kern w:val="0"/>
          <w:sz w:val="24"/>
        </w:rPr>
        <w:lastRenderedPageBreak/>
        <w:t>实践及实施困难。两类调查分别从学习者与教学支持的角度，为学习模型设计和后续教学模式构建提供依据。</w:t>
      </w:r>
    </w:p>
    <w:p w14:paraId="20C32FF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7B13B154"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57944F2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w:t>
      </w:r>
      <w:r>
        <w:rPr>
          <w:rFonts w:ascii="Times New Roman" w:eastAsia="宋体" w:hAnsi="Times New Roman" w:cs="Times New Roman"/>
          <w:kern w:val="0"/>
          <w:sz w:val="24"/>
        </w:rPr>
        <w:lastRenderedPageBreak/>
        <w:t>情绪调节、合作共情、包容创新四个理论维度。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w:t>
      </w:r>
      <w:r>
        <w:rPr>
          <w:rFonts w:ascii="Times New Roman" w:eastAsia="宋体" w:hAnsi="Times New Roman" w:cs="Times New Roman"/>
          <w:sz w:val="24"/>
        </w:rPr>
        <w:lastRenderedPageBreak/>
        <w:t>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0289B0D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2C6D04F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6D64C32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08BA74C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4A46987" w14:textId="77777777">
        <w:trPr>
          <w:cantSplit/>
          <w:tblHeader/>
          <w:jc w:val="center"/>
        </w:trPr>
        <w:tc>
          <w:tcPr>
            <w:tcW w:w="4032" w:type="dxa"/>
            <w:tcBorders>
              <w:top w:val="single" w:sz="12" w:space="0" w:color="000000"/>
              <w:left w:val="nil"/>
              <w:bottom w:val="single" w:sz="6" w:space="0" w:color="000000"/>
              <w:right w:val="nil"/>
            </w:tcBorders>
            <w:vAlign w:val="center"/>
          </w:tcPr>
          <w:p w14:paraId="741DD6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37C808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0FF2E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1BA617D4" w14:textId="77777777">
        <w:trPr>
          <w:cantSplit/>
          <w:trHeight w:val="90"/>
          <w:jc w:val="center"/>
        </w:trPr>
        <w:tc>
          <w:tcPr>
            <w:tcW w:w="4032" w:type="dxa"/>
            <w:tcBorders>
              <w:top w:val="nil"/>
              <w:left w:val="nil"/>
              <w:bottom w:val="nil"/>
              <w:right w:val="nil"/>
            </w:tcBorders>
            <w:vAlign w:val="center"/>
          </w:tcPr>
          <w:p w14:paraId="6271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23704C58" w14:textId="77777777">
        <w:trPr>
          <w:cantSplit/>
          <w:jc w:val="center"/>
        </w:trPr>
        <w:tc>
          <w:tcPr>
            <w:tcW w:w="4032" w:type="dxa"/>
            <w:tcBorders>
              <w:top w:val="nil"/>
              <w:left w:val="nil"/>
              <w:bottom w:val="nil"/>
              <w:right w:val="nil"/>
            </w:tcBorders>
            <w:vAlign w:val="center"/>
          </w:tcPr>
          <w:p w14:paraId="4DECF0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9285AC" w14:textId="77777777">
        <w:trPr>
          <w:cantSplit/>
          <w:jc w:val="center"/>
        </w:trPr>
        <w:tc>
          <w:tcPr>
            <w:tcW w:w="4032" w:type="dxa"/>
            <w:tcBorders>
              <w:top w:val="nil"/>
              <w:left w:val="nil"/>
              <w:bottom w:val="nil"/>
              <w:right w:val="nil"/>
            </w:tcBorders>
            <w:vAlign w:val="center"/>
          </w:tcPr>
          <w:p w14:paraId="262D9B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248121D1" w14:textId="77777777">
        <w:trPr>
          <w:cantSplit/>
          <w:jc w:val="center"/>
        </w:trPr>
        <w:tc>
          <w:tcPr>
            <w:tcW w:w="4032" w:type="dxa"/>
            <w:tcBorders>
              <w:top w:val="nil"/>
              <w:left w:val="nil"/>
              <w:bottom w:val="single" w:sz="12" w:space="0" w:color="000000"/>
              <w:right w:val="nil"/>
            </w:tcBorders>
            <w:vAlign w:val="center"/>
          </w:tcPr>
          <w:p w14:paraId="411F11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5FF696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1209FE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08FB27D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6353A6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w:t>
      </w:r>
      <w:r>
        <w:rPr>
          <w:rFonts w:ascii="Times New Roman" w:eastAsia="宋体" w:hAnsi="Times New Roman" w:cs="Times New Roman"/>
          <w:kern w:val="0"/>
          <w:sz w:val="24"/>
        </w:rPr>
        <w:t>1</w:t>
      </w:r>
      <w:r>
        <w:rPr>
          <w:rFonts w:ascii="Times New Roman" w:eastAsia="宋体" w:hAnsi="Times New Roman" w:cs="Times New Roman"/>
          <w:kern w:val="0"/>
          <w:sz w:val="24"/>
        </w:rPr>
        <w:t>，第三个成分的特征值低于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w:t>
      </w:r>
      <w:r>
        <w:rPr>
          <w:rFonts w:ascii="Times New Roman" w:eastAsia="宋体" w:hAnsi="Times New Roman" w:cs="Times New Roman"/>
          <w:kern w:val="0"/>
          <w:sz w:val="24"/>
        </w:rPr>
        <w:t>。</w:t>
      </w:r>
    </w:p>
    <w:p w14:paraId="5CE664F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BD5A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3D7F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7A1406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583AFBEB"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7401FA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0AE6ED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69DF502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w:t>
      </w:r>
      <w:r>
        <w:rPr>
          <w:rFonts w:ascii="Times New Roman" w:eastAsia="宋体" w:hAnsi="Times New Roman" w:cs="Times New Roman"/>
          <w:kern w:val="0"/>
          <w:sz w:val="24"/>
        </w:rPr>
        <w:lastRenderedPageBreak/>
        <w:t>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。现有分析材料列出了主要载荷，尚未完整呈现各题在其他成分上的载荷。</w:t>
      </w:r>
    </w:p>
    <w:p w14:paraId="04B467D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0A54A09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00A6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FE99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6478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684C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3B2E46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01920F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03C4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C5CC9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78BF3D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5B00E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58C8FCBA"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387761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5A5068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45BC9EB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64C922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0606EC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19CAB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D8EF3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10ADE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3386FA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13C301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3DED7F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51E1398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E189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12C8E4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6F255D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615A51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6CE57C9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582C1E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0660A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1A2879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413705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179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84482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4B20B5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43427C26"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40E6D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73C5C8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05B4CF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047979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68A18D0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为考察学生问卷题项在各内容组内的一致程度，研究计算</w:t>
      </w:r>
      <w:r>
        <w:rPr>
          <w:rFonts w:ascii="Times New Roman" w:eastAsia="宋体" w:hAnsi="Times New Roman" w:cs="Times New Roman"/>
          <w:kern w:val="0"/>
          <w:sz w:val="24"/>
        </w:rPr>
        <w:t>Cronbach α</w:t>
      </w:r>
      <w:r>
        <w:rPr>
          <w:rFonts w:ascii="Times New Roman" w:eastAsia="宋体" w:hAnsi="Times New Roman" w:cs="Times New Roman"/>
          <w:kern w:val="0"/>
          <w:sz w:val="24"/>
        </w:rPr>
        <w:t>系数。问卷星报告按六组题项内容进行统计，检验结果见表</w:t>
      </w:r>
      <w:r>
        <w:rPr>
          <w:rFonts w:ascii="Times New Roman" w:eastAsia="宋体" w:hAnsi="Times New Roman" w:cs="Times New Roman"/>
          <w:kern w:val="0"/>
          <w:sz w:val="24"/>
        </w:rPr>
        <w:t>3-4</w:t>
      </w:r>
      <w:r>
        <w:rPr>
          <w:rFonts w:ascii="Times New Roman" w:eastAsia="宋体" w:hAnsi="Times New Roman" w:cs="Times New Roman"/>
          <w:kern w:val="0"/>
          <w:sz w:val="24"/>
        </w:rPr>
        <w:t>。</w:t>
      </w:r>
    </w:p>
    <w:p w14:paraId="2E07516D"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B9D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测评内容组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373E3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FAEC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Cronbachα</w:t>
            </w:r>
          </w:p>
        </w:tc>
      </w:tr>
      <w:tr w:rsidR="000B1CCE" w14:paraId="171468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0" w:type="auto"/>
            <w:tcBorders>
              <w:top w:val="nil"/>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w:t>
            </w:r>
          </w:p>
        </w:tc>
        <w:tc>
          <w:tcPr>
            <w:tcW w:w="2413" w:type="dxa"/>
            <w:tcBorders>
              <w:top w:val="nil"/>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0.9266</w:t>
            </w:r>
          </w:p>
        </w:tc>
      </w:tr>
    </w:tbl>
    <w:p w14:paraId="1E4F956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六组题项的</w:t>
      </w:r>
      <w:r>
        <w:rPr>
          <w:rFonts w:ascii="Times New Roman" w:eastAsia="宋体" w:hAnsi="Times New Roman" w:cs="Times New Roman"/>
          <w:kern w:val="0"/>
          <w:sz w:val="24"/>
        </w:rPr>
        <w:t>Cronbach α</w:t>
      </w:r>
      <w:r>
        <w:rPr>
          <w:rFonts w:ascii="Times New Roman" w:eastAsia="宋体" w:hAnsi="Times New Roman" w:cs="Times New Roman"/>
          <w:kern w:val="0"/>
          <w:sz w:val="24"/>
        </w:rPr>
        <w:t>介于</w:t>
      </w:r>
      <w:r>
        <w:rPr>
          <w:rFonts w:ascii="Times New Roman" w:eastAsia="宋体" w:hAnsi="Times New Roman" w:cs="Times New Roman"/>
          <w:kern w:val="0"/>
          <w:sz w:val="24"/>
        </w:rPr>
        <w:t>0.9045—0.9349</w:t>
      </w:r>
      <w:r>
        <w:rPr>
          <w:rFonts w:ascii="Times New Roman" w:eastAsia="宋体" w:hAnsi="Times New Roman" w:cs="Times New Roman"/>
          <w:kern w:val="0"/>
          <w:sz w:val="24"/>
        </w:rPr>
        <w:t>之间，表明各组题项具有较好的内部一致性，可支持按相应内容组进行综合描述。该信度结果对应上述六组题项划分；</w:t>
      </w:r>
    </w:p>
    <w:p w14:paraId="6E23E5F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学生高阶能力基础的前测结果</w:t>
      </w:r>
    </w:p>
    <w:p w14:paraId="723A022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36709E4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73FD9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D4DC8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E04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A86F4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10F18F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74C7394D"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38D51C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2F868BE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7B19E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12EAD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19EE35F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1E467FA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C168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19830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582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D470A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F2298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310E9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0AD35F1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192581A2"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1DF111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443109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28431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D35F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380D71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6BF04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4EEAD587"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74118B5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4868B81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6B2B9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74F70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35D56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615BB5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75E1625D"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7B66DE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3465D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416C61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62878198"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7F06121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F0439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5CAAE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16281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0D5DC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D2E66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9DD8F0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764F7F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569D9393"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017942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23FDB8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579D336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44C95D9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C17DB9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3A5128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7633544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w:t>
      </w:r>
      <w:r>
        <w:rPr>
          <w:rFonts w:ascii="Times New Roman" w:eastAsia="宋体" w:hAnsi="Times New Roman" w:cs="Times New Roman"/>
          <w:kern w:val="0"/>
          <w:sz w:val="24"/>
        </w:rPr>
        <w:lastRenderedPageBreak/>
        <w:t>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3BB9655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7117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A3C28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6B268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2400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64EC9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82B06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B6A60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0D2ED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78E6A5D8"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71081197"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03BAFD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ABD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70A70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68D7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3BB43B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0C4CB2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757293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479317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5D97BB8D"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07673EA9"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695BC5CD"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C02F0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D7F18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5ADD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F5574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9215CCA"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F174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3BC56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0C1312E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7F88E2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415D5F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362BB4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45AA38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2E4FBA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43AAD7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52C7C3B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54AB062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17465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F1E7A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08A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E59BC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58499"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667F80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2AB35789"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7C7E5D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16D19D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02A3287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48553C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08FE9C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3D31EAB4"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3F05BD4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3A337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D62A3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1D3CD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B4EA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A00E90"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74187A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2DFC6C7"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6F420B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3CD53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0716D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186E5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7F1565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0DD9C08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12AE537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44C49FF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39DF9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4345F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F478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C8E8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69EA9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D180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36024A"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02CBEB"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5AFCCC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22CD14A8"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530D91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A8923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A27BA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31255F7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01CB74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7535B5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289100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5DBC7B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309E3F2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1B0F0A5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0BEA3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324440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536F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F9C2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AF11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759AA8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7BBD4B16"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315B63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A06C3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09391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83934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5AF28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27F68C8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134CEF48" w14:textId="77777777">
        <w:trPr>
          <w:cantSplit/>
          <w:tblHeader/>
          <w:jc w:val="center"/>
        </w:trPr>
        <w:tc>
          <w:tcPr>
            <w:tcW w:w="1704" w:type="dxa"/>
            <w:tcBorders>
              <w:top w:val="single" w:sz="12" w:space="0" w:color="000000"/>
              <w:left w:val="nil"/>
              <w:bottom w:val="single" w:sz="6" w:space="0" w:color="000000"/>
              <w:right w:val="nil"/>
            </w:tcBorders>
            <w:vAlign w:val="center"/>
          </w:tcPr>
          <w:p w14:paraId="387A8C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507013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69711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1C788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56A11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7CD505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2B508F7B" w14:textId="77777777">
        <w:trPr>
          <w:cantSplit/>
          <w:jc w:val="center"/>
        </w:trPr>
        <w:tc>
          <w:tcPr>
            <w:tcW w:w="1704" w:type="dxa"/>
            <w:tcBorders>
              <w:top w:val="nil"/>
              <w:left w:val="nil"/>
              <w:bottom w:val="nil"/>
              <w:right w:val="nil"/>
            </w:tcBorders>
            <w:vAlign w:val="center"/>
          </w:tcPr>
          <w:p w14:paraId="098454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4A022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7E5150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10966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7533B2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5B5A1E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81B6AF8" w14:textId="77777777">
        <w:trPr>
          <w:cantSplit/>
          <w:jc w:val="center"/>
        </w:trPr>
        <w:tc>
          <w:tcPr>
            <w:tcW w:w="1704" w:type="dxa"/>
            <w:tcBorders>
              <w:top w:val="nil"/>
              <w:left w:val="nil"/>
              <w:bottom w:val="single" w:sz="12" w:space="0" w:color="000000"/>
              <w:right w:val="nil"/>
            </w:tcBorders>
            <w:vAlign w:val="center"/>
          </w:tcPr>
          <w:p w14:paraId="4C9D35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460740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1F463A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6442D3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72BB9F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22F5BB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5EE384F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5E5E7EA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CE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9B117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FA8A9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03DC9A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0F1CBF92"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262404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4ED446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40A82E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5CEE017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w:t>
      </w:r>
      <w:r>
        <w:rPr>
          <w:rFonts w:ascii="Times New Roman" w:eastAsia="宋体" w:hAnsi="Times New Roman" w:cs="Times New Roman"/>
          <w:kern w:val="0"/>
          <w:sz w:val="24"/>
        </w:rPr>
        <w:lastRenderedPageBreak/>
        <w:t>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4141618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47CCC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8748A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FC0E0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357A6C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23CB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0C3D59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28AAA4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6CAD835A"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383D9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2CEE41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4B49E3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7950F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2B980E4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367B45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7E80E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246E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55E0C2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4416A3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338A62E7"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5F00FAC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0314BBC4"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lastRenderedPageBreak/>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1B9DB856"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0CB56D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27261D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w:t>
      </w:r>
      <w:r>
        <w:rPr>
          <w:rFonts w:ascii="Times New Roman" w:eastAsia="宋体" w:hAnsi="Times New Roman" w:cs="Times New Roman"/>
          <w:kern w:val="0"/>
          <w:sz w:val="24"/>
        </w:rPr>
        <w:lastRenderedPageBreak/>
        <w:t>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BFE9B7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学生调查呈现能力发展需要，教师调查呈现教学支持的基础与条件。两类结果共同用于确定学习模型的能力目标、任务要求与支持重点，并为学习决策路径、学习层次设计及后续教学模式构建提供依据。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w:t>
      </w:r>
      <w:r>
        <w:rPr>
          <w:rFonts w:ascii="Times New Roman" w:eastAsia="宋体" w:hAnsi="Times New Roman" w:cs="Times New Roman"/>
          <w:color w:val="000000"/>
          <w:sz w:val="24"/>
          <w:szCs w:val="22"/>
          <w:shd w:val="clear" w:color="auto" w:fill="FFFFFF"/>
        </w:rPr>
        <w:lastRenderedPageBreak/>
        <w:t>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22723F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份教师前测问卷进行探索性因子分析与内部一致性信度检验。</w:t>
      </w:r>
    </w:p>
    <w:p w14:paraId="5DBCDF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31E7EF3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5E7457A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30549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37589C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5D7342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DF31BF0" w14:textId="77777777">
        <w:trPr>
          <w:cantSplit/>
          <w:trHeight w:val="282"/>
          <w:jc w:val="center"/>
        </w:trPr>
        <w:tc>
          <w:tcPr>
            <w:tcW w:w="3504" w:type="dxa"/>
            <w:tcBorders>
              <w:top w:val="nil"/>
              <w:left w:val="nil"/>
              <w:bottom w:val="nil"/>
              <w:right w:val="nil"/>
            </w:tcBorders>
            <w:vAlign w:val="center"/>
          </w:tcPr>
          <w:p w14:paraId="0E1CEE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3BA70792" w14:textId="77777777">
        <w:trPr>
          <w:cantSplit/>
          <w:trHeight w:val="269"/>
          <w:jc w:val="center"/>
        </w:trPr>
        <w:tc>
          <w:tcPr>
            <w:tcW w:w="3504" w:type="dxa"/>
            <w:tcBorders>
              <w:top w:val="nil"/>
              <w:left w:val="nil"/>
              <w:bottom w:val="nil"/>
              <w:right w:val="nil"/>
            </w:tcBorders>
            <w:vAlign w:val="center"/>
          </w:tcPr>
          <w:p w14:paraId="52839B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47F1EFAB" w14:textId="77777777">
        <w:trPr>
          <w:cantSplit/>
          <w:trHeight w:val="282"/>
          <w:jc w:val="center"/>
        </w:trPr>
        <w:tc>
          <w:tcPr>
            <w:tcW w:w="3504" w:type="dxa"/>
            <w:tcBorders>
              <w:top w:val="nil"/>
              <w:left w:val="nil"/>
              <w:bottom w:val="single" w:sz="12" w:space="0" w:color="000000"/>
              <w:right w:val="nil"/>
            </w:tcBorders>
            <w:vAlign w:val="center"/>
          </w:tcPr>
          <w:p w14:paraId="11DA4B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7E869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0B794F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78454D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1AB71D7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w:t>
      </w:r>
      <w:r>
        <w:rPr>
          <w:rFonts w:ascii="Times New Roman" w:eastAsia="宋体" w:hAnsi="Times New Roman" w:cs="Times New Roman"/>
          <w:kern w:val="0"/>
          <w:sz w:val="24"/>
        </w:rPr>
        <w:t>1</w:t>
      </w:r>
      <w:r>
        <w:rPr>
          <w:rFonts w:ascii="Times New Roman" w:eastAsia="宋体" w:hAnsi="Times New Roman" w:cs="Times New Roman"/>
          <w:kern w:val="0"/>
          <w:sz w:val="24"/>
        </w:rPr>
        <w:t>，第五个成分的特征值低于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3-20</w:t>
      </w:r>
      <w:r>
        <w:rPr>
          <w:rFonts w:ascii="Times New Roman" w:eastAsia="宋体" w:hAnsi="Times New Roman" w:cs="Times New Roman"/>
          <w:kern w:val="0"/>
          <w:sz w:val="24"/>
        </w:rPr>
        <w:t>。</w:t>
      </w:r>
    </w:p>
    <w:p w14:paraId="48F1D1B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73DDA660"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000673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12842D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53AC2418" w14:textId="77777777">
        <w:trPr>
          <w:cantSplit/>
          <w:trHeight w:val="342"/>
          <w:jc w:val="center"/>
        </w:trPr>
        <w:tc>
          <w:tcPr>
            <w:tcW w:w="4390" w:type="dxa"/>
            <w:tcBorders>
              <w:top w:val="nil"/>
              <w:left w:val="nil"/>
              <w:bottom w:val="nil"/>
              <w:right w:val="nil"/>
            </w:tcBorders>
            <w:vAlign w:val="center"/>
          </w:tcPr>
          <w:p w14:paraId="1944B2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9733830" w14:textId="77777777">
        <w:trPr>
          <w:cantSplit/>
          <w:trHeight w:val="326"/>
          <w:jc w:val="center"/>
        </w:trPr>
        <w:tc>
          <w:tcPr>
            <w:tcW w:w="4390" w:type="dxa"/>
            <w:tcBorders>
              <w:top w:val="nil"/>
              <w:left w:val="nil"/>
              <w:bottom w:val="nil"/>
              <w:right w:val="nil"/>
            </w:tcBorders>
            <w:vAlign w:val="center"/>
          </w:tcPr>
          <w:p w14:paraId="0DF187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00293FB6" w14:textId="77777777">
        <w:trPr>
          <w:cantSplit/>
          <w:trHeight w:val="326"/>
          <w:jc w:val="center"/>
        </w:trPr>
        <w:tc>
          <w:tcPr>
            <w:tcW w:w="4390" w:type="dxa"/>
            <w:tcBorders>
              <w:top w:val="nil"/>
              <w:left w:val="nil"/>
              <w:bottom w:val="nil"/>
              <w:right w:val="nil"/>
            </w:tcBorders>
            <w:vAlign w:val="center"/>
          </w:tcPr>
          <w:p w14:paraId="243F38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4BB8431B" w14:textId="77777777">
        <w:trPr>
          <w:cantSplit/>
          <w:trHeight w:val="326"/>
          <w:jc w:val="center"/>
        </w:trPr>
        <w:tc>
          <w:tcPr>
            <w:tcW w:w="4390" w:type="dxa"/>
            <w:tcBorders>
              <w:top w:val="nil"/>
              <w:left w:val="nil"/>
              <w:bottom w:val="nil"/>
              <w:right w:val="nil"/>
            </w:tcBorders>
            <w:vAlign w:val="center"/>
          </w:tcPr>
          <w:p w14:paraId="497DDE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507BBB8D" w14:textId="77777777">
        <w:trPr>
          <w:cantSplit/>
          <w:trHeight w:val="342"/>
          <w:jc w:val="center"/>
        </w:trPr>
        <w:tc>
          <w:tcPr>
            <w:tcW w:w="4390" w:type="dxa"/>
            <w:tcBorders>
              <w:top w:val="nil"/>
              <w:left w:val="nil"/>
              <w:bottom w:val="single" w:sz="12" w:space="0" w:color="000000"/>
              <w:right w:val="nil"/>
            </w:tcBorders>
            <w:vAlign w:val="center"/>
          </w:tcPr>
          <w:p w14:paraId="76F338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6BC3C5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35D6EF2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11A1B0B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lastRenderedPageBreak/>
        <w:t>3</w:t>
      </w:r>
      <w:r>
        <w:rPr>
          <w:rFonts w:ascii="Times New Roman" w:eastAsia="华文楷体" w:hAnsi="Times New Roman" w:cs="Times New Roman"/>
          <w:kern w:val="0"/>
          <w:sz w:val="24"/>
        </w:rPr>
        <w:t>）旋转后的题项归属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55B19BB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AF0AD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40427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42669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D673BE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72B0F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66C218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170405D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14E9E8B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EAA721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E6D902"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1FEB9B"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E76E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636988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5AB23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3974D5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522EAB2C"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30A87F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2BF4A3D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29311875" w14:textId="77777777" w:rsidR="000B1CCE" w:rsidRDefault="00000000">
      <w:pPr>
        <w:keepNext/>
        <w:spacing w:before="120"/>
        <w:jc w:val="center"/>
      </w:pPr>
      <w:r>
        <w:rPr>
          <w:noProof/>
        </w:rPr>
        <w:lastRenderedPageBreak/>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1"/>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718406B9" w14:textId="77777777" w:rsidR="000B1CCE" w:rsidRDefault="00000000">
      <w:pPr>
        <w:spacing w:line="360" w:lineRule="auto"/>
        <w:ind w:firstLineChars="200" w:firstLine="480"/>
      </w:pPr>
      <w:r>
        <w:rPr>
          <w:rFonts w:ascii="Times New Roman" w:eastAsia="宋体" w:hAnsi="Times New Roman" w:cs="Times New Roman"/>
          <w:kern w:val="0"/>
          <w:sz w:val="24"/>
        </w:rPr>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7102D127"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5E62F32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A253F65"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17543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B05D60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EFEE6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98EF6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7CAF091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31FE0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7912756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542F47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34E97E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6451A83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61FCDD0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3CB7FA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78FFF05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0DB498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62F463E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BAF4C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7F241F3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27CF2B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51B33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2A0E97F0"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54A9B5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D98E09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EC8E6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5A2073F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39D1C7"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2931823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6607500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95EB4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F7072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E2220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93F3D8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35459C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4E7362B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B9F57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6AE52E1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2611A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7F2F4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45458E"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8A2A1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0EC3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5719EF6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4F9BBB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A2E84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3B6616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765C3E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2945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7065FD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13B3DE1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4F68FE6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09F452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7D0A91A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82E27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37335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B891D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BF3EF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424596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C39D32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116790B6"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2"/>
                    <a:stretch>
                      <a:fillRect/>
                    </a:stretch>
                  </pic:blipFill>
                  <pic:spPr>
                    <a:xfrm>
                      <a:off x="0" y="0"/>
                      <a:ext cx="5340985" cy="1865630"/>
                    </a:xfrm>
                    <a:prstGeom prst="rect">
                      <a:avLst/>
                    </a:prstGeom>
                  </pic:spPr>
                </pic:pic>
              </a:graphicData>
            </a:graphic>
          </wp:inline>
        </w:drawing>
      </w:r>
    </w:p>
    <w:p w14:paraId="4D275967"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99DA29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2F73D42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9E865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950EA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5FDBF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8718A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52D81C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0CD83A2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5E3C5F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0EB1379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ADB461"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EDCD00"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DE31B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264CF0"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627F02"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12EF25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D9780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38DD6F4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2035B2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75CD996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6B82C5E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46FA1FA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2AF250EA" w14:textId="77777777" w:rsidR="000B1CCE" w:rsidRDefault="00000000">
      <w:pPr>
        <w:keepNext/>
        <w:spacing w:before="120"/>
        <w:jc w:val="center"/>
      </w:pPr>
      <w:r>
        <w:rPr>
          <w:noProof/>
        </w:rPr>
        <w:lastRenderedPageBreak/>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3"/>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61B415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54B3F08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1F02E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BDF5B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8812A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22D078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D4D1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5A9471A8"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BD91A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1B2CA30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w:t>
      </w:r>
      <w:r>
        <w:rPr>
          <w:rFonts w:ascii="Times New Roman" w:eastAsia="宋体" w:hAnsi="Times New Roman" w:cs="Times New Roman"/>
          <w:sz w:val="24"/>
        </w:rPr>
        <w:lastRenderedPageBreak/>
        <w:t>学习。</w:t>
      </w:r>
      <w:r>
        <w:rPr>
          <w:rFonts w:ascii="Times New Roman" w:eastAsia="宋体" w:hAnsi="Times New Roman" w:cs="Times New Roman"/>
          <w:b/>
          <w:sz w:val="24"/>
        </w:rPr>
        <w:t>因此，前测的价值在于识别从理念到实践、从参与到能力生成之间的关键断点。</w:t>
      </w:r>
    </w:p>
    <w:p w14:paraId="1C53F9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5C915F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9E25A1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2D365AD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33DC13E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高阶能力培育需要突破的主要问题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56B58E"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FDC6F"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384B9D"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76DA888"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188FBF83"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DB2B72A"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2C29B767"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6985C2E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68AB187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06D5BAF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w:t>
      </w:r>
      <w:r>
        <w:rPr>
          <w:rFonts w:ascii="Times New Roman" w:eastAsia="宋体" w:hAnsi="Times New Roman" w:cs="Times New Roman"/>
          <w:sz w:val="24"/>
        </w:rPr>
        <w:lastRenderedPageBreak/>
        <w:t>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2838449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0CE7A2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2D580A6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0360081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w:t>
      </w:r>
      <w:r>
        <w:rPr>
          <w:rFonts w:ascii="Times New Roman" w:eastAsia="宋体" w:hAnsi="Times New Roman" w:cs="Times New Roman"/>
          <w:sz w:val="24"/>
        </w:rPr>
        <w:lastRenderedPageBreak/>
        <w:t>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27D67485"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4"/>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7535CB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w:t>
      </w:r>
      <w:r>
        <w:rPr>
          <w:rFonts w:ascii="Times New Roman" w:eastAsia="宋体" w:hAnsi="Times New Roman" w:cs="Times New Roman"/>
          <w:sz w:val="24"/>
        </w:rPr>
        <w:lastRenderedPageBreak/>
        <w:t>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30593F2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指向高阶能力发展的学习模型</w:t>
      </w:r>
    </w:p>
    <w:p w14:paraId="6AD85C5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5"/>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w:t>
      </w:r>
      <w:r>
        <w:rPr>
          <w:rFonts w:ascii="Times New Roman" w:eastAsia="宋体" w:hAnsi="Times New Roman" w:cs="Times New Roman"/>
          <w:sz w:val="24"/>
        </w:rPr>
        <w:lastRenderedPageBreak/>
        <w:t>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6876760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239A3EC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6DE307F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39B60DD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w:t>
      </w:r>
      <w:r>
        <w:rPr>
          <w:rFonts w:ascii="Times New Roman" w:eastAsia="宋体" w:hAnsi="Times New Roman" w:cs="Times New Roman"/>
          <w:sz w:val="24"/>
        </w:rPr>
        <w:lastRenderedPageBreak/>
        <w:t>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2593150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352CCC2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12A1DFA6"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102A5F2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4490F624"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6"/>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1A1B13D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6553AA4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3F6A3A8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3A02C9C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69AE6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0549A8B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75DA1B5E"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28334F9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0814F6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4EDB4F17"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（五）双模型协同下的实践与迭代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诊断发现、干预、实施和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协同实践的框架与逻辑</w:t>
      </w:r>
    </w:p>
    <w:p w14:paraId="4071CE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w:t>
      </w:r>
      <w:r>
        <w:rPr>
          <w:rFonts w:ascii="Times New Roman" w:eastAsia="宋体" w:hAnsi="Times New Roman" w:cs="Times New Roman"/>
          <w:sz w:val="24"/>
        </w:rPr>
        <w:lastRenderedPageBreak/>
        <w:t>进。</w:t>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性质和学习周期作出具体转化。</w:t>
      </w:r>
    </w:p>
    <w:p w14:paraId="4CBF262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7"/>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3-11  </w:t>
      </w:r>
      <w:r>
        <w:rPr>
          <w:rFonts w:ascii="Times New Roman" w:eastAsia="黑体" w:hAnsi="Times New Roman" w:cs="Times New Roman"/>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其基本过程依次为七维能力目标、学习模型与教学模型协同运行、两域实践、</w:t>
      </w:r>
      <w:r>
        <w:rPr>
          <w:rFonts w:ascii="Times New Roman" w:eastAsia="宋体" w:hAnsi="Times New Roman" w:cs="Times New Roman"/>
          <w:sz w:val="24"/>
        </w:rPr>
        <w:lastRenderedPageBreak/>
        <w:t>高阶学习样态生成、实践证据形成和模型迭代优化。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这一框架的意义在于，高阶能力培育不再停留于目标表述，而通过学生学习、教师调节和实践证据之间的持续循环进入真实教育过程。</w:t>
      </w:r>
    </w:p>
    <w:p w14:paraId="73D667D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）实践逻辑</w:t>
      </w:r>
    </w:p>
    <w:p w14:paraId="035AB9A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）以七维高阶能力统领双模型实践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无论是学生五环学习，还是教师循证调节，都是为了使抽象的能力要求进入真实学习过程。具体实践中，并不追求每一节课同时覆盖七个维度，而根据学科内容、任务性质和学生基础确定重点，使能力目标能够真正落到学习任务和学习表现上。</w:t>
      </w:r>
      <w:r>
        <w:rPr>
          <w:rFonts w:ascii="Times New Roman" w:eastAsia="宋体" w:hAnsi="Times New Roman" w:cs="Times New Roman"/>
          <w:b/>
          <w:sz w:val="24"/>
        </w:rPr>
        <w:t>可见的学习解决的是如何看见并促进学习发生，高阶能力培育解决的是学习最终应当走向哪里。</w:t>
      </w:r>
    </w:p>
    <w:p w14:paraId="19EB7D0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）以五环学习与循证调节协同推动学习发生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五环描述学生的学习怎样向前推进，循证调节描述教师怎样围绕学生学习不断调整教学。</w:t>
      </w:r>
    </w:p>
    <w:p w14:paraId="61698E4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）以五见贯通学生学习与教师教学</w:t>
      </w:r>
    </w:p>
    <w:p w14:paraId="29836A25"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学习模型与教学模型能够真正发生联系，关键在于学习是否可见。</w:t>
      </w:r>
      <w:r>
        <w:rPr>
          <w:rFonts w:ascii="Times New Roman" w:eastAsia="宋体" w:hAnsi="Times New Roman" w:cs="Times New Roman"/>
          <w:sz w:val="24"/>
        </w:rPr>
        <w:t>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五种典型样态是学习模型在不同学科内容、任务类型和实践情境中呈现出的典型高阶学习形态。</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w:t>
      </w:r>
      <w:r>
        <w:rPr>
          <w:rFonts w:ascii="Times New Roman" w:eastAsia="宋体" w:hAnsi="Times New Roman" w:cs="Times New Roman"/>
          <w:sz w:val="24"/>
        </w:rPr>
        <w:t>3-31</w:t>
      </w:r>
      <w:r>
        <w:rPr>
          <w:rFonts w:ascii="Times New Roman" w:eastAsia="宋体" w:hAnsi="Times New Roman" w:cs="Times New Roman"/>
          <w:sz w:val="24"/>
        </w:rPr>
        <w:t>和表</w:t>
      </w:r>
      <w:r>
        <w:rPr>
          <w:rFonts w:ascii="Times New Roman" w:eastAsia="宋体" w:hAnsi="Times New Roman" w:cs="Times New Roman"/>
          <w:sz w:val="24"/>
        </w:rPr>
        <w:t>3-32</w:t>
      </w:r>
      <w:r>
        <w:rPr>
          <w:rFonts w:ascii="Times New Roman" w:eastAsia="宋体" w:hAnsi="Times New Roman" w:cs="Times New Roman"/>
          <w:sz w:val="24"/>
        </w:rPr>
        <w:t>分别呈现五环与可见的学习、高阶能力培育的对应关系，以及</w:t>
      </w:r>
      <w:r>
        <w:rPr>
          <w:rFonts w:ascii="Times New Roman" w:eastAsia="宋体" w:hAnsi="Times New Roman" w:cs="Times New Roman"/>
          <w:sz w:val="24"/>
        </w:rPr>
        <w:lastRenderedPageBreak/>
        <w:t>学生学习与教师循证调节的协同关系。</w:t>
      </w:r>
    </w:p>
    <w:p w14:paraId="4965DEE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3-31  </w:t>
      </w:r>
      <w:r>
        <w:rPr>
          <w:rFonts w:ascii="Times New Roman" w:eastAsia="黑体" w:hAnsi="Times New Roman" w:cs="Times New Roman"/>
        </w:rPr>
        <w:t>五环实践中可见的学习与高阶能力培育的对应关系</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4260E6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w:t>
            </w:r>
          </w:p>
        </w:tc>
        <w:tc>
          <w:tcPr>
            <w:tcW w:w="18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0464C2"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可见</w:t>
            </w: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关键问题</w:t>
            </w:r>
          </w:p>
        </w:tc>
        <w:tc>
          <w:tcPr>
            <w:tcW w:w="146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9A354C"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学生学习可见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8FBA81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教师调节可见</w:t>
            </w:r>
          </w:p>
        </w:tc>
        <w:tc>
          <w:tcPr>
            <w:tcW w:w="26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D0B9F"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高阶能力指向</w:t>
            </w:r>
          </w:p>
        </w:tc>
      </w:tr>
      <w:tr w:rsidR="000B1CCE" w14:paraId="54B06861"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2AE267A"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w:t>
            </w:r>
          </w:p>
        </w:tc>
        <w:tc>
          <w:tcPr>
            <w:tcW w:w="1821" w:type="dxa"/>
            <w:tcBorders>
              <w:top w:val="nil"/>
              <w:left w:val="nil"/>
              <w:bottom w:val="nil"/>
              <w:right w:val="nil"/>
            </w:tcBorders>
            <w:tcMar>
              <w:top w:w="-1" w:type="dxa"/>
              <w:left w:w="-1" w:type="dxa"/>
              <w:bottom w:w="-1" w:type="dxa"/>
              <w:right w:w="-1" w:type="dxa"/>
            </w:tcMar>
            <w:vAlign w:val="center"/>
          </w:tcPr>
          <w:p w14:paraId="5E06E0F3"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学什么？</w:t>
            </w:r>
          </w:p>
          <w:p w14:paraId="48F0A0D2"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学到什么程度？</w:t>
            </w:r>
          </w:p>
        </w:tc>
        <w:tc>
          <w:tcPr>
            <w:tcW w:w="1469" w:type="dxa"/>
            <w:tcBorders>
              <w:top w:val="nil"/>
              <w:left w:val="nil"/>
              <w:bottom w:val="nil"/>
              <w:right w:val="nil"/>
            </w:tcBorders>
            <w:tcMar>
              <w:top w:w="-1" w:type="dxa"/>
              <w:left w:w="-1" w:type="dxa"/>
              <w:bottom w:w="-1" w:type="dxa"/>
              <w:right w:w="-1" w:type="dxa"/>
            </w:tcMar>
            <w:vAlign w:val="center"/>
          </w:tcPr>
          <w:p w14:paraId="52566A43"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目标提前告知</w:t>
            </w:r>
          </w:p>
          <w:p w14:paraId="58375B3D"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标准提前明确</w:t>
            </w:r>
          </w:p>
          <w:p w14:paraId="5EB4174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预期表现可见</w:t>
            </w:r>
          </w:p>
        </w:tc>
        <w:tc>
          <w:tcPr>
            <w:tcW w:w="0" w:type="auto"/>
            <w:tcBorders>
              <w:top w:val="nil"/>
              <w:left w:val="nil"/>
              <w:bottom w:val="nil"/>
              <w:right w:val="nil"/>
            </w:tcBorders>
            <w:tcMar>
              <w:top w:w="-1" w:type="dxa"/>
              <w:left w:w="-1" w:type="dxa"/>
              <w:bottom w:w="-1" w:type="dxa"/>
              <w:right w:w="-1" w:type="dxa"/>
            </w:tcMar>
            <w:vAlign w:val="center"/>
          </w:tcPr>
          <w:p w14:paraId="3DED58F4"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起点、差距、重点</w:t>
            </w:r>
          </w:p>
        </w:tc>
        <w:tc>
          <w:tcPr>
            <w:tcW w:w="2642" w:type="dxa"/>
            <w:tcBorders>
              <w:top w:val="nil"/>
              <w:left w:val="nil"/>
              <w:bottom w:val="nil"/>
              <w:right w:val="nil"/>
            </w:tcBorders>
            <w:tcMar>
              <w:top w:w="-1" w:type="dxa"/>
              <w:left w:w="-1" w:type="dxa"/>
              <w:bottom w:w="-1" w:type="dxa"/>
              <w:right w:w="-1" w:type="dxa"/>
            </w:tcMar>
            <w:vAlign w:val="center"/>
          </w:tcPr>
          <w:p w14:paraId="557A6CE5"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能力目标显化，依据学习任务确定重点</w:t>
            </w:r>
          </w:p>
        </w:tc>
      </w:tr>
      <w:tr w:rsidR="000B1CCE" w14:paraId="4F4E41C1"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0EA12D4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1821" w:type="dxa"/>
            <w:tcBorders>
              <w:top w:val="nil"/>
              <w:left w:val="nil"/>
              <w:bottom w:val="nil"/>
              <w:right w:val="nil"/>
            </w:tcBorders>
            <w:tcMar>
              <w:top w:w="-1" w:type="dxa"/>
              <w:left w:w="-1" w:type="dxa"/>
              <w:bottom w:w="-1" w:type="dxa"/>
              <w:right w:w="-1" w:type="dxa"/>
            </w:tcMar>
            <w:vAlign w:val="center"/>
          </w:tcPr>
          <w:p w14:paraId="5851CC30"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解决什么？</w:t>
            </w:r>
          </w:p>
          <w:p w14:paraId="55132268"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挑战在哪里？</w:t>
            </w:r>
          </w:p>
        </w:tc>
        <w:tc>
          <w:tcPr>
            <w:tcW w:w="1469" w:type="dxa"/>
            <w:tcBorders>
              <w:top w:val="nil"/>
              <w:left w:val="nil"/>
              <w:bottom w:val="nil"/>
              <w:right w:val="nil"/>
            </w:tcBorders>
            <w:tcMar>
              <w:top w:w="-1" w:type="dxa"/>
              <w:left w:w="-1" w:type="dxa"/>
              <w:bottom w:w="-1" w:type="dxa"/>
              <w:right w:w="-1" w:type="dxa"/>
            </w:tcMar>
            <w:vAlign w:val="center"/>
          </w:tcPr>
          <w:p w14:paraId="5A1BC8D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问题、任务、认知冲突可见</w:t>
            </w:r>
          </w:p>
        </w:tc>
        <w:tc>
          <w:tcPr>
            <w:tcW w:w="0" w:type="auto"/>
            <w:tcBorders>
              <w:top w:val="nil"/>
              <w:left w:val="nil"/>
              <w:bottom w:val="nil"/>
              <w:right w:val="nil"/>
            </w:tcBorders>
            <w:tcMar>
              <w:top w:w="-1" w:type="dxa"/>
              <w:left w:w="-1" w:type="dxa"/>
              <w:bottom w:w="-1" w:type="dxa"/>
              <w:right w:w="-1" w:type="dxa"/>
            </w:tcMar>
            <w:vAlign w:val="center"/>
          </w:tcPr>
          <w:p w14:paraId="76F5EBB9"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进入方式、主要困难</w:t>
            </w:r>
          </w:p>
        </w:tc>
        <w:tc>
          <w:tcPr>
            <w:tcW w:w="2642" w:type="dxa"/>
            <w:tcBorders>
              <w:top w:val="nil"/>
              <w:left w:val="nil"/>
              <w:bottom w:val="nil"/>
              <w:right w:val="nil"/>
            </w:tcBorders>
            <w:tcMar>
              <w:top w:w="-1" w:type="dxa"/>
              <w:left w:w="-1" w:type="dxa"/>
              <w:bottom w:w="-1" w:type="dxa"/>
              <w:right w:w="-1" w:type="dxa"/>
            </w:tcMar>
            <w:vAlign w:val="center"/>
          </w:tcPr>
          <w:p w14:paraId="53611ACE"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083D58B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w:t>
            </w:r>
          </w:p>
        </w:tc>
        <w:tc>
          <w:tcPr>
            <w:tcW w:w="1821" w:type="dxa"/>
            <w:tcBorders>
              <w:top w:val="nil"/>
              <w:left w:val="nil"/>
              <w:bottom w:val="nil"/>
              <w:right w:val="nil"/>
            </w:tcBorders>
            <w:tcMar>
              <w:top w:w="-1" w:type="dxa"/>
              <w:left w:w="-1" w:type="dxa"/>
              <w:bottom w:w="-1" w:type="dxa"/>
              <w:right w:w="-1" w:type="dxa"/>
            </w:tcMar>
            <w:vAlign w:val="center"/>
          </w:tcPr>
          <w:p w14:paraId="34802E0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怎么想？</w:t>
            </w:r>
          </w:p>
          <w:p w14:paraId="3472B76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依据什么？</w:t>
            </w:r>
          </w:p>
        </w:tc>
        <w:tc>
          <w:tcPr>
            <w:tcW w:w="1469" w:type="dxa"/>
            <w:tcBorders>
              <w:top w:val="nil"/>
              <w:left w:val="nil"/>
              <w:bottom w:val="nil"/>
              <w:right w:val="nil"/>
            </w:tcBorders>
            <w:tcMar>
              <w:top w:w="-1" w:type="dxa"/>
              <w:left w:w="-1" w:type="dxa"/>
              <w:bottom w:w="-1" w:type="dxa"/>
              <w:right w:w="-1" w:type="dxa"/>
            </w:tcMar>
            <w:vAlign w:val="center"/>
          </w:tcPr>
          <w:p w14:paraId="2FF3DE9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思维、观点、证据、合作可见</w:t>
            </w:r>
          </w:p>
        </w:tc>
        <w:tc>
          <w:tcPr>
            <w:tcW w:w="0" w:type="auto"/>
            <w:tcBorders>
              <w:top w:val="nil"/>
              <w:left w:val="nil"/>
              <w:bottom w:val="nil"/>
              <w:right w:val="nil"/>
            </w:tcBorders>
            <w:tcMar>
              <w:top w:w="-1" w:type="dxa"/>
              <w:left w:w="-1" w:type="dxa"/>
              <w:bottom w:w="-1" w:type="dxa"/>
              <w:right w:w="-1" w:type="dxa"/>
            </w:tcMar>
            <w:vAlign w:val="center"/>
          </w:tcPr>
          <w:p w14:paraId="39AF0259"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思维路径、误区、生成</w:t>
            </w:r>
          </w:p>
        </w:tc>
        <w:tc>
          <w:tcPr>
            <w:tcW w:w="2642" w:type="dxa"/>
            <w:tcBorders>
              <w:top w:val="nil"/>
              <w:left w:val="nil"/>
              <w:bottom w:val="nil"/>
              <w:right w:val="nil"/>
            </w:tcBorders>
            <w:tcMar>
              <w:top w:w="-1" w:type="dxa"/>
              <w:left w:w="-1" w:type="dxa"/>
              <w:bottom w:w="-1" w:type="dxa"/>
              <w:right w:w="-1" w:type="dxa"/>
            </w:tcMar>
            <w:vAlign w:val="center"/>
          </w:tcPr>
          <w:p w14:paraId="09F9F2B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分析、评价、合作共情、包容创新</w:t>
            </w:r>
          </w:p>
        </w:tc>
      </w:tr>
      <w:tr w:rsidR="000B1CCE" w14:paraId="28767F0D"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5B1F0CF4"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w:t>
            </w:r>
          </w:p>
        </w:tc>
        <w:tc>
          <w:tcPr>
            <w:tcW w:w="1821" w:type="dxa"/>
            <w:tcBorders>
              <w:top w:val="nil"/>
              <w:left w:val="nil"/>
              <w:bottom w:val="nil"/>
              <w:right w:val="nil"/>
            </w:tcBorders>
            <w:tcMar>
              <w:top w:w="-1" w:type="dxa"/>
              <w:left w:w="-1" w:type="dxa"/>
              <w:bottom w:w="-1" w:type="dxa"/>
              <w:right w:w="-1" w:type="dxa"/>
            </w:tcMar>
            <w:vAlign w:val="center"/>
          </w:tcPr>
          <w:p w14:paraId="5140E593"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差在哪里？</w:t>
            </w:r>
          </w:p>
          <w:p w14:paraId="41B418A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怎样改进？</w:t>
            </w:r>
          </w:p>
        </w:tc>
        <w:tc>
          <w:tcPr>
            <w:tcW w:w="1469" w:type="dxa"/>
            <w:tcBorders>
              <w:top w:val="nil"/>
              <w:left w:val="nil"/>
              <w:bottom w:val="nil"/>
              <w:right w:val="nil"/>
            </w:tcBorders>
            <w:tcMar>
              <w:top w:w="-1" w:type="dxa"/>
              <w:left w:w="-1" w:type="dxa"/>
              <w:bottom w:w="-1" w:type="dxa"/>
              <w:right w:w="-1" w:type="dxa"/>
            </w:tcMar>
            <w:vAlign w:val="center"/>
          </w:tcPr>
          <w:p w14:paraId="3523DB1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差距、反馈、修订过程可见</w:t>
            </w:r>
          </w:p>
        </w:tc>
        <w:tc>
          <w:tcPr>
            <w:tcW w:w="0" w:type="auto"/>
            <w:tcBorders>
              <w:top w:val="nil"/>
              <w:left w:val="nil"/>
              <w:bottom w:val="nil"/>
              <w:right w:val="nil"/>
            </w:tcBorders>
            <w:tcMar>
              <w:top w:w="-1" w:type="dxa"/>
              <w:left w:w="-1" w:type="dxa"/>
              <w:bottom w:w="-1" w:type="dxa"/>
              <w:right w:w="-1" w:type="dxa"/>
            </w:tcMar>
            <w:vAlign w:val="center"/>
          </w:tcPr>
          <w:p w14:paraId="3B983827"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变化、支架、调节</w:t>
            </w:r>
          </w:p>
        </w:tc>
        <w:tc>
          <w:tcPr>
            <w:tcW w:w="2642" w:type="dxa"/>
            <w:tcBorders>
              <w:top w:val="nil"/>
              <w:left w:val="nil"/>
              <w:bottom w:val="nil"/>
              <w:right w:val="nil"/>
            </w:tcBorders>
            <w:tcMar>
              <w:top w:w="-1" w:type="dxa"/>
              <w:left w:w="-1" w:type="dxa"/>
              <w:bottom w:w="-1" w:type="dxa"/>
              <w:right w:w="-1" w:type="dxa"/>
            </w:tcMar>
            <w:vAlign w:val="center"/>
          </w:tcPr>
          <w:p w14:paraId="59AEF83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tcMar>
              <w:top w:w="-1" w:type="dxa"/>
              <w:left w:w="-1" w:type="dxa"/>
              <w:bottom w:w="-1" w:type="dxa"/>
              <w:right w:w="-1" w:type="dxa"/>
            </w:tcMar>
            <w:vAlign w:val="center"/>
          </w:tcPr>
          <w:p w14:paraId="64F4DA5B"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w:t>
            </w:r>
          </w:p>
        </w:tc>
        <w:tc>
          <w:tcPr>
            <w:tcW w:w="1821" w:type="dxa"/>
            <w:tcBorders>
              <w:top w:val="nil"/>
              <w:left w:val="nil"/>
              <w:bottom w:val="single" w:sz="12" w:space="0" w:color="000000"/>
              <w:right w:val="nil"/>
            </w:tcBorders>
            <w:tcMar>
              <w:top w:w="-1" w:type="dxa"/>
              <w:left w:w="-1" w:type="dxa"/>
              <w:bottom w:w="-1" w:type="dxa"/>
              <w:right w:w="-1" w:type="dxa"/>
            </w:tcMar>
            <w:vAlign w:val="center"/>
          </w:tcPr>
          <w:p w14:paraId="2069BD96"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学会了什么？</w:t>
            </w:r>
          </w:p>
          <w:p w14:paraId="139AE5E2"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还能怎样用？</w:t>
            </w:r>
          </w:p>
        </w:tc>
        <w:tc>
          <w:tcPr>
            <w:tcW w:w="1469" w:type="dxa"/>
            <w:tcBorders>
              <w:top w:val="nil"/>
              <w:left w:val="nil"/>
              <w:bottom w:val="single" w:sz="12" w:space="0" w:color="000000"/>
              <w:right w:val="nil"/>
            </w:tcBorders>
            <w:tcMar>
              <w:top w:w="-1" w:type="dxa"/>
              <w:left w:w="-1" w:type="dxa"/>
              <w:bottom w:w="-1" w:type="dxa"/>
              <w:right w:w="-1" w:type="dxa"/>
            </w:tcMar>
            <w:vAlign w:val="center"/>
          </w:tcPr>
          <w:p w14:paraId="3871C008"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方法、迁移、能力进步可见</w:t>
            </w:r>
          </w:p>
        </w:tc>
        <w:tc>
          <w:tcPr>
            <w:tcW w:w="1611" w:type="dxa"/>
            <w:tcBorders>
              <w:top w:val="nil"/>
              <w:left w:val="nil"/>
              <w:bottom w:val="single" w:sz="12" w:space="0" w:color="000000"/>
              <w:right w:val="nil"/>
            </w:tcBorders>
            <w:tcMar>
              <w:top w:w="-1" w:type="dxa"/>
              <w:left w:w="-1" w:type="dxa"/>
              <w:bottom w:w="-1" w:type="dxa"/>
              <w:right w:w="-1" w:type="dxa"/>
            </w:tcMar>
            <w:vAlign w:val="center"/>
          </w:tcPr>
          <w:p w14:paraId="7EE0BDD5"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迁移水平、能力发展</w:t>
            </w:r>
          </w:p>
        </w:tc>
        <w:tc>
          <w:tcPr>
            <w:tcW w:w="2642" w:type="dxa"/>
            <w:tcBorders>
              <w:top w:val="nil"/>
              <w:left w:val="nil"/>
              <w:bottom w:val="single" w:sz="12" w:space="0" w:color="000000"/>
              <w:right w:val="nil"/>
            </w:tcBorders>
            <w:tcMar>
              <w:top w:w="-1" w:type="dxa"/>
              <w:left w:w="-1" w:type="dxa"/>
              <w:bottom w:w="-1" w:type="dxa"/>
              <w:right w:w="-1" w:type="dxa"/>
            </w:tcMar>
            <w:vAlign w:val="center"/>
          </w:tcPr>
          <w:p w14:paraId="0EDF86CC"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创造、包容创新、责任担当</w:t>
            </w:r>
          </w:p>
        </w:tc>
      </w:tr>
    </w:tbl>
    <w:p w14:paraId="4B7F958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3-32  </w:t>
      </w:r>
      <w:r>
        <w:rPr>
          <w:rFonts w:ascii="Times New Roman" w:eastAsia="黑体" w:hAnsi="Times New Roman" w:cs="Times New Roman"/>
        </w:rPr>
        <w:t>五环学习模型与教师循证调节的协同关系</w:t>
      </w:r>
    </w:p>
    <w:tbl>
      <w:tblPr>
        <w:tblW w:w="9845" w:type="dxa"/>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99418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五环学习过程</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73A2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学生学习关键问题</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3A36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学生学习可见</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53ED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教师循证调节</w:t>
            </w:r>
          </w:p>
        </w:tc>
        <w:tc>
          <w:tcPr>
            <w:tcW w:w="20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34C4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高阶能力指向</w:t>
            </w:r>
          </w:p>
        </w:tc>
      </w:tr>
      <w:tr w:rsidR="000B1CCE" w14:paraId="0370BBAC"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26B13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目标引领</w:t>
            </w:r>
          </w:p>
        </w:tc>
        <w:tc>
          <w:tcPr>
            <w:tcW w:w="2160" w:type="dxa"/>
            <w:tcBorders>
              <w:top w:val="nil"/>
              <w:left w:val="nil"/>
              <w:bottom w:val="nil"/>
              <w:right w:val="nil"/>
            </w:tcBorders>
            <w:tcMar>
              <w:top w:w="-1" w:type="dxa"/>
              <w:left w:w="-1" w:type="dxa"/>
              <w:bottom w:w="-1" w:type="dxa"/>
              <w:right w:w="-1" w:type="dxa"/>
            </w:tcMar>
            <w:vAlign w:val="center"/>
          </w:tcPr>
          <w:p w14:paraId="30C628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学什么？</w:t>
            </w:r>
            <w:r>
              <w:rPr>
                <w:rFonts w:ascii="Times New Roman" w:eastAsia="宋体" w:hAnsi="Times New Roman" w:cs="Times New Roman"/>
              </w:rPr>
              <w:br/>
            </w:r>
            <w:r>
              <w:rPr>
                <w:rFonts w:ascii="Times New Roman" w:eastAsia="宋体" w:hAnsi="Times New Roman" w:cs="Times New Roman"/>
              </w:rPr>
              <w:t>学到什么程度？</w:t>
            </w:r>
          </w:p>
        </w:tc>
        <w:tc>
          <w:tcPr>
            <w:tcW w:w="1920" w:type="dxa"/>
            <w:tcBorders>
              <w:top w:val="nil"/>
              <w:left w:val="nil"/>
              <w:bottom w:val="nil"/>
              <w:right w:val="nil"/>
            </w:tcBorders>
            <w:tcMar>
              <w:top w:w="-1" w:type="dxa"/>
              <w:left w:w="-1" w:type="dxa"/>
              <w:bottom w:w="-1" w:type="dxa"/>
              <w:right w:w="-1" w:type="dxa"/>
            </w:tcMar>
            <w:vAlign w:val="center"/>
          </w:tcPr>
          <w:p w14:paraId="3D069D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目标、标准和预期表现可见</w:t>
            </w:r>
          </w:p>
        </w:tc>
        <w:tc>
          <w:tcPr>
            <w:tcW w:w="2160" w:type="dxa"/>
            <w:tcBorders>
              <w:top w:val="nil"/>
              <w:left w:val="nil"/>
              <w:bottom w:val="nil"/>
              <w:right w:val="nil"/>
            </w:tcBorders>
            <w:tcMar>
              <w:top w:w="-1" w:type="dxa"/>
              <w:left w:w="-1" w:type="dxa"/>
              <w:bottom w:w="-1" w:type="dxa"/>
              <w:right w:w="-1" w:type="dxa"/>
            </w:tcMar>
            <w:vAlign w:val="center"/>
          </w:tcPr>
          <w:p w14:paraId="41CC50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诊断学习起点，识别差距与能力重点</w:t>
            </w:r>
          </w:p>
        </w:tc>
        <w:tc>
          <w:tcPr>
            <w:tcW w:w="2040" w:type="dxa"/>
            <w:tcBorders>
              <w:top w:val="nil"/>
              <w:left w:val="nil"/>
              <w:bottom w:val="nil"/>
              <w:right w:val="nil"/>
            </w:tcBorders>
            <w:tcMar>
              <w:top w:w="-1" w:type="dxa"/>
              <w:left w:w="-1" w:type="dxa"/>
              <w:bottom w:w="-1" w:type="dxa"/>
              <w:right w:w="-1" w:type="dxa"/>
            </w:tcMar>
            <w:vAlign w:val="center"/>
          </w:tcPr>
          <w:p w14:paraId="562924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明确重点能力目标</w:t>
            </w:r>
          </w:p>
        </w:tc>
      </w:tr>
      <w:tr w:rsidR="000B1CCE" w14:paraId="0568A37E"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6DC59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任务驱动</w:t>
            </w:r>
          </w:p>
        </w:tc>
        <w:tc>
          <w:tcPr>
            <w:tcW w:w="2160" w:type="dxa"/>
            <w:tcBorders>
              <w:top w:val="nil"/>
              <w:left w:val="nil"/>
              <w:bottom w:val="nil"/>
              <w:right w:val="nil"/>
            </w:tcBorders>
            <w:tcMar>
              <w:top w:w="-1" w:type="dxa"/>
              <w:left w:w="-1" w:type="dxa"/>
              <w:bottom w:w="-1" w:type="dxa"/>
              <w:right w:w="-1" w:type="dxa"/>
            </w:tcMar>
            <w:vAlign w:val="center"/>
          </w:tcPr>
          <w:p w14:paraId="1E54F2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解决什么？</w:t>
            </w:r>
            <w:r>
              <w:rPr>
                <w:rFonts w:ascii="Times New Roman" w:eastAsia="宋体" w:hAnsi="Times New Roman" w:cs="Times New Roman"/>
              </w:rPr>
              <w:br/>
            </w:r>
            <w:r>
              <w:rPr>
                <w:rFonts w:ascii="Times New Roman" w:eastAsia="宋体" w:hAnsi="Times New Roman" w:cs="Times New Roman"/>
              </w:rPr>
              <w:t>挑战在哪里？</w:t>
            </w:r>
          </w:p>
        </w:tc>
        <w:tc>
          <w:tcPr>
            <w:tcW w:w="1920" w:type="dxa"/>
            <w:tcBorders>
              <w:top w:val="nil"/>
              <w:left w:val="nil"/>
              <w:bottom w:val="nil"/>
              <w:right w:val="nil"/>
            </w:tcBorders>
            <w:tcMar>
              <w:top w:w="-1" w:type="dxa"/>
              <w:left w:w="-1" w:type="dxa"/>
              <w:bottom w:w="-1" w:type="dxa"/>
              <w:right w:w="-1" w:type="dxa"/>
            </w:tcMar>
            <w:vAlign w:val="center"/>
          </w:tcPr>
          <w:p w14:paraId="3BE14D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问题、任务和认知冲突可见</w:t>
            </w:r>
          </w:p>
        </w:tc>
        <w:tc>
          <w:tcPr>
            <w:tcW w:w="2160" w:type="dxa"/>
            <w:tcBorders>
              <w:top w:val="nil"/>
              <w:left w:val="nil"/>
              <w:bottom w:val="nil"/>
              <w:right w:val="nil"/>
            </w:tcBorders>
            <w:tcMar>
              <w:top w:w="-1" w:type="dxa"/>
              <w:left w:w="-1" w:type="dxa"/>
              <w:bottom w:w="-1" w:type="dxa"/>
              <w:right w:w="-1" w:type="dxa"/>
            </w:tcMar>
            <w:vAlign w:val="center"/>
          </w:tcPr>
          <w:p w14:paraId="4D575D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根据差异调整任务、支架和进入方式</w:t>
            </w:r>
          </w:p>
        </w:tc>
        <w:tc>
          <w:tcPr>
            <w:tcW w:w="2040" w:type="dxa"/>
            <w:tcBorders>
              <w:top w:val="nil"/>
              <w:left w:val="nil"/>
              <w:bottom w:val="nil"/>
              <w:right w:val="nil"/>
            </w:tcBorders>
            <w:tcMar>
              <w:top w:w="-1" w:type="dxa"/>
              <w:left w:w="-1" w:type="dxa"/>
              <w:bottom w:w="-1" w:type="dxa"/>
              <w:right w:w="-1" w:type="dxa"/>
            </w:tcMar>
            <w:vAlign w:val="center"/>
          </w:tcPr>
          <w:p w14:paraId="2BAF7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分析、评价、责任担当</w:t>
            </w:r>
          </w:p>
        </w:tc>
      </w:tr>
      <w:tr w:rsidR="000B1CCE" w14:paraId="5700FAD5"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A54C7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探究展学</w:t>
            </w:r>
          </w:p>
        </w:tc>
        <w:tc>
          <w:tcPr>
            <w:tcW w:w="2160" w:type="dxa"/>
            <w:tcBorders>
              <w:top w:val="nil"/>
              <w:left w:val="nil"/>
              <w:bottom w:val="nil"/>
              <w:right w:val="nil"/>
            </w:tcBorders>
            <w:tcMar>
              <w:top w:w="-1" w:type="dxa"/>
              <w:left w:w="-1" w:type="dxa"/>
              <w:bottom w:w="-1" w:type="dxa"/>
              <w:right w:w="-1" w:type="dxa"/>
            </w:tcMar>
            <w:vAlign w:val="center"/>
          </w:tcPr>
          <w:p w14:paraId="417D2CD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怎么想？</w:t>
            </w:r>
            <w:r>
              <w:rPr>
                <w:rFonts w:ascii="Times New Roman" w:eastAsia="宋体" w:hAnsi="Times New Roman" w:cs="Times New Roman"/>
              </w:rPr>
              <w:br/>
            </w:r>
            <w:r>
              <w:rPr>
                <w:rFonts w:ascii="Times New Roman" w:eastAsia="宋体" w:hAnsi="Times New Roman" w:cs="Times New Roman"/>
              </w:rPr>
              <w:t>依据什么？</w:t>
            </w:r>
          </w:p>
        </w:tc>
        <w:tc>
          <w:tcPr>
            <w:tcW w:w="1920" w:type="dxa"/>
            <w:tcBorders>
              <w:top w:val="nil"/>
              <w:left w:val="nil"/>
              <w:bottom w:val="nil"/>
              <w:right w:val="nil"/>
            </w:tcBorders>
            <w:tcMar>
              <w:top w:w="-1" w:type="dxa"/>
              <w:left w:w="-1" w:type="dxa"/>
              <w:bottom w:w="-1" w:type="dxa"/>
              <w:right w:w="-1" w:type="dxa"/>
            </w:tcMar>
            <w:vAlign w:val="center"/>
          </w:tcPr>
          <w:p w14:paraId="7A2CEF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思维、观点、证据和合作过程可见</w:t>
            </w:r>
          </w:p>
        </w:tc>
        <w:tc>
          <w:tcPr>
            <w:tcW w:w="2160" w:type="dxa"/>
            <w:tcBorders>
              <w:top w:val="nil"/>
              <w:left w:val="nil"/>
              <w:bottom w:val="nil"/>
              <w:right w:val="nil"/>
            </w:tcBorders>
            <w:tcMar>
              <w:top w:w="-1" w:type="dxa"/>
              <w:left w:w="-1" w:type="dxa"/>
              <w:bottom w:w="-1" w:type="dxa"/>
              <w:right w:w="-1" w:type="dxa"/>
            </w:tcMar>
            <w:vAlign w:val="center"/>
          </w:tcPr>
          <w:p w14:paraId="28F81C7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通过追问、点拨和资源支持动态调节</w:t>
            </w:r>
          </w:p>
        </w:tc>
        <w:tc>
          <w:tcPr>
            <w:tcW w:w="2040" w:type="dxa"/>
            <w:tcBorders>
              <w:top w:val="nil"/>
              <w:left w:val="nil"/>
              <w:bottom w:val="nil"/>
              <w:right w:val="nil"/>
            </w:tcBorders>
            <w:tcMar>
              <w:top w:w="-1" w:type="dxa"/>
              <w:left w:w="-1" w:type="dxa"/>
              <w:bottom w:w="-1" w:type="dxa"/>
              <w:right w:w="-1" w:type="dxa"/>
            </w:tcMar>
            <w:vAlign w:val="center"/>
          </w:tcPr>
          <w:p w14:paraId="51697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分析、评价、合作共情、包容创新</w:t>
            </w:r>
          </w:p>
        </w:tc>
      </w:tr>
      <w:tr w:rsidR="000B1CCE" w14:paraId="7AE5252B"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5BA39A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反馈迭代</w:t>
            </w:r>
          </w:p>
        </w:tc>
        <w:tc>
          <w:tcPr>
            <w:tcW w:w="2160" w:type="dxa"/>
            <w:tcBorders>
              <w:top w:val="nil"/>
              <w:left w:val="nil"/>
              <w:bottom w:val="nil"/>
              <w:right w:val="nil"/>
            </w:tcBorders>
            <w:tcMar>
              <w:top w:w="-1" w:type="dxa"/>
              <w:left w:w="-1" w:type="dxa"/>
              <w:bottom w:w="-1" w:type="dxa"/>
              <w:right w:w="-1" w:type="dxa"/>
            </w:tcMar>
            <w:vAlign w:val="center"/>
          </w:tcPr>
          <w:p w14:paraId="2E7CCA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差在哪里？</w:t>
            </w:r>
            <w:r>
              <w:rPr>
                <w:rFonts w:ascii="Times New Roman" w:eastAsia="宋体" w:hAnsi="Times New Roman" w:cs="Times New Roman"/>
              </w:rPr>
              <w:br/>
            </w:r>
            <w:r>
              <w:rPr>
                <w:rFonts w:ascii="Times New Roman" w:eastAsia="宋体" w:hAnsi="Times New Roman" w:cs="Times New Roman"/>
              </w:rPr>
              <w:t>怎样改进？</w:t>
            </w:r>
          </w:p>
        </w:tc>
        <w:tc>
          <w:tcPr>
            <w:tcW w:w="1920" w:type="dxa"/>
            <w:tcBorders>
              <w:top w:val="nil"/>
              <w:left w:val="nil"/>
              <w:bottom w:val="nil"/>
              <w:right w:val="nil"/>
            </w:tcBorders>
            <w:tcMar>
              <w:top w:w="-1" w:type="dxa"/>
              <w:left w:w="-1" w:type="dxa"/>
              <w:bottom w:w="-1" w:type="dxa"/>
              <w:right w:w="-1" w:type="dxa"/>
            </w:tcMar>
            <w:vAlign w:val="center"/>
          </w:tcPr>
          <w:p w14:paraId="04734E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差距、反馈和修订过程可见</w:t>
            </w:r>
          </w:p>
        </w:tc>
        <w:tc>
          <w:tcPr>
            <w:tcW w:w="2160" w:type="dxa"/>
            <w:tcBorders>
              <w:top w:val="nil"/>
              <w:left w:val="nil"/>
              <w:bottom w:val="nil"/>
              <w:right w:val="nil"/>
            </w:tcBorders>
            <w:tcMar>
              <w:top w:w="-1" w:type="dxa"/>
              <w:left w:w="-1" w:type="dxa"/>
              <w:bottom w:w="-1" w:type="dxa"/>
              <w:right w:w="-1" w:type="dxa"/>
            </w:tcMar>
            <w:vAlign w:val="center"/>
          </w:tcPr>
          <w:p w14:paraId="569299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判断学习变化，调整反馈与支架</w:t>
            </w:r>
          </w:p>
        </w:tc>
        <w:tc>
          <w:tcPr>
            <w:tcW w:w="2040" w:type="dxa"/>
            <w:tcBorders>
              <w:top w:val="nil"/>
              <w:left w:val="nil"/>
              <w:bottom w:val="nil"/>
              <w:right w:val="nil"/>
            </w:tcBorders>
            <w:tcMar>
              <w:top w:w="-1" w:type="dxa"/>
              <w:left w:w="-1" w:type="dxa"/>
              <w:bottom w:w="-1" w:type="dxa"/>
              <w:right w:w="-1" w:type="dxa"/>
            </w:tcMar>
            <w:vAlign w:val="center"/>
          </w:tcPr>
          <w:p w14:paraId="51245BD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评价、情绪调节、责任担当</w:t>
            </w:r>
          </w:p>
        </w:tc>
      </w:tr>
      <w:tr w:rsidR="000B1CCE" w14:paraId="47BC8FAD" w14:textId="77777777">
        <w:trPr>
          <w:jc w:val="center"/>
        </w:trPr>
        <w:tc>
          <w:tcPr>
            <w:tcW w:w="1565" w:type="dxa"/>
            <w:tcBorders>
              <w:top w:val="nil"/>
              <w:left w:val="nil"/>
              <w:bottom w:val="single" w:sz="12" w:space="0" w:color="000000"/>
              <w:right w:val="nil"/>
            </w:tcBorders>
            <w:tcMar>
              <w:top w:w="-1" w:type="dxa"/>
              <w:left w:w="-1" w:type="dxa"/>
              <w:bottom w:w="-1" w:type="dxa"/>
              <w:right w:w="-1" w:type="dxa"/>
            </w:tcMar>
            <w:vAlign w:val="center"/>
          </w:tcPr>
          <w:p w14:paraId="43CFD4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反思迁移</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1715A3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学会了什么？</w:t>
            </w:r>
            <w:r>
              <w:rPr>
                <w:rFonts w:ascii="Times New Roman" w:eastAsia="宋体" w:hAnsi="Times New Roman" w:cs="Times New Roman"/>
              </w:rPr>
              <w:br/>
            </w:r>
            <w:r>
              <w:rPr>
                <w:rFonts w:ascii="Times New Roman" w:eastAsia="宋体" w:hAnsi="Times New Roman" w:cs="Times New Roman"/>
              </w:rPr>
              <w:t>还能怎样用？</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423E0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方法、迁移和能力进步可见</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5F64C4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评估迁移表现，判断能力发展</w:t>
            </w:r>
          </w:p>
        </w:tc>
        <w:tc>
          <w:tcPr>
            <w:tcW w:w="2040" w:type="dxa"/>
            <w:tcBorders>
              <w:top w:val="nil"/>
              <w:left w:val="nil"/>
              <w:bottom w:val="single" w:sz="12" w:space="0" w:color="000000"/>
              <w:right w:val="nil"/>
            </w:tcBorders>
            <w:tcMar>
              <w:top w:w="-1" w:type="dxa"/>
              <w:left w:w="-1" w:type="dxa"/>
              <w:bottom w:w="-1" w:type="dxa"/>
              <w:right w:w="-1" w:type="dxa"/>
            </w:tcMar>
            <w:vAlign w:val="center"/>
          </w:tcPr>
          <w:p w14:paraId="37DA2B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创造、包容创新、责任担当</w:t>
            </w:r>
          </w:p>
        </w:tc>
      </w:tr>
    </w:tbl>
    <w:p w14:paraId="27E0C41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3-32</w:t>
      </w:r>
      <w:r>
        <w:rPr>
          <w:rFonts w:ascii="Times New Roman" w:eastAsia="黑体" w:hAnsi="Times New Roman" w:cs="Times New Roman"/>
        </w:rPr>
        <w:t>从实践角度说明，学生学习推进到不同状态时，教师需要关注的证据以及相应的判断和调节。其核心仍然是让学生真实学习成为教师改进教学的依据。</w:t>
      </w:r>
    </w:p>
    <w:p w14:paraId="74CFF4A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学科课堂中的五环实践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4521E83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）以能力目标引领学习进阶</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目标引领首先解决课堂往哪里走的问题。实践中，我们要求教师把课程标准</w:t>
      </w:r>
      <w:r>
        <w:rPr>
          <w:rFonts w:ascii="Times New Roman" w:eastAsia="宋体" w:hAnsi="Times New Roman" w:cs="Times New Roman"/>
          <w:sz w:val="24"/>
        </w:rPr>
        <w:lastRenderedPageBreak/>
        <w:t>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ACD20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4587FE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案例片段｜语文《拿来主义》第二课时，从读懂观点到依据证据形成判断</w:t>
            </w:r>
          </w:p>
          <w:p w14:paraId="422F9D28"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胡志禹老师的课例在课前即以预习任务和学习表现了解学生起点，并把观点、证据与解释的一致性作为课堂高阶学习的成功标准。学生在理解鲁迅观点的基础上，需要说明依据、回应质疑，并根据新的证据修订判断。目标由知识理解转化为可观察的论证表现，也成为教师后续诊断、追问和反馈的依据。</w:t>
            </w:r>
          </w:p>
        </w:tc>
      </w:tr>
    </w:tbl>
    <w:p w14:paraId="7C0185B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）以进阶任务驱动高阶学习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高阶能力只有在解决具有一定复杂度的问题时才会被真正调用。</w:t>
      </w:r>
      <w:r>
        <w:rPr>
          <w:rFonts w:ascii="Times New Roman" w:eastAsia="宋体" w:hAnsi="Times New Roman" w:cs="Times New Roman"/>
          <w:b/>
          <w:sz w:val="24"/>
        </w:rPr>
        <w:t>因此，任务驱动是把能力目标转化为必须经过思考才能完成的学习任务。</w:t>
      </w:r>
      <w:r>
        <w:rPr>
          <w:rFonts w:ascii="Times New Roman" w:eastAsia="宋体" w:hAnsi="Times New Roman" w:cs="Times New Roman"/>
          <w:sz w:val="24"/>
        </w:rPr>
        <w:t>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D8F5AD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B90F9D"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案例片段｜物理《质量的测量》第二课时，校园网球质检员的任务链</w:t>
            </w:r>
          </w:p>
          <w:p w14:paraId="3198CA2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肖岩老师把原来按步骤使用托盘天平的教学，重构为以校园网球质检员为角色的真实任务。学生依次经历器材认识与调平、实验方案设计、网球质量测量和质检报告撰写。在方案设计环节，学生自主选择器材、确定步骤、设计记录表，并在小组互审后修改方案。任务要求由会操作逐步提高到会设计、会论证、会质检，学生留下观察记录单、实验方案表、数据记录和质检报告等过程证据。</w:t>
            </w:r>
          </w:p>
        </w:tc>
      </w:tr>
    </w:tbl>
    <w:p w14:paraId="0F9D81F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）在探究展学中促进思维外显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如果学生只呈现最后答案，教师很难判断其高阶思维是否真正发生。</w:t>
      </w:r>
      <w:r>
        <w:rPr>
          <w:rFonts w:ascii="Times New Roman" w:eastAsia="宋体" w:hAnsi="Times New Roman" w:cs="Times New Roman"/>
          <w:b/>
          <w:sz w:val="24"/>
        </w:rPr>
        <w:t>因此，探究展学的核心是让思维过程进入课堂。</w:t>
      </w:r>
      <w:r>
        <w:rPr>
          <w:rFonts w:ascii="Times New Roman" w:eastAsia="宋体" w:hAnsi="Times New Roman" w:cs="Times New Roman"/>
          <w:sz w:val="24"/>
        </w:rPr>
        <w:t>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6E5DEC7"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1C2A18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案例片段｜物理《光的折射》，从实验数据到共同建构</w:t>
            </w:r>
          </w:p>
          <w:p w14:paraId="42BC250B"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姜惠轶老师组织学生以小组实验获得多路径数据，并把异常数据和不同解释带入全班讨论。学生在报告实验结果的同时说明数据如何支持结论，投屏答辩和同伴纠错使各小组的判断能够相互质询和修正。课堂由做实验、报结论转向用数据解释、在质疑中共同归纳并修正模型，为协同探究和证据论证留下了清晰过程。</w:t>
            </w:r>
          </w:p>
        </w:tc>
      </w:tr>
    </w:tbl>
    <w:p w14:paraId="7BA052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）以学习证据推动反馈迭代</w:t>
      </w:r>
    </w:p>
    <w:p w14:paraId="508CF33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反馈迭代是五环中最能体现可见的学习价值的环节。</w:t>
      </w:r>
      <w:r>
        <w:rPr>
          <w:rFonts w:ascii="Times New Roman" w:eastAsia="宋体" w:hAnsi="Times New Roman" w:cs="Times New Roman"/>
          <w:sz w:val="24"/>
        </w:rPr>
        <w:t>评价根据学生已经呈现的学习证据，及时告诉学生与目标之间还存在什么差距，并推动下一步行动。高质量反馈应当指向思维和策略。</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支架和反馈是否真正促成了学生变化。</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49A87E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E49477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案例片段｜英语写作，从有条理到有新意的三级反馈</w:t>
            </w:r>
          </w:p>
          <w:p w14:paraId="3C4816AC"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李静老师以</w:t>
            </w:r>
            <w:r>
              <w:rPr>
                <w:rFonts w:ascii="Times New Roman" w:eastAsia="华文楷体" w:hAnsi="Times New Roman" w:cs="Times New Roman"/>
              </w:rPr>
              <w:t>2026</w:t>
            </w:r>
            <w:r>
              <w:rPr>
                <w:rFonts w:ascii="Times New Roman" w:eastAsia="华文楷体" w:hAnsi="Times New Roman" w:cs="Times New Roman"/>
              </w:rPr>
              <w:t>年上海中考英语作文为载体，把评价标准前置，并在过程性作品基础上实施教师、同伴和自我三级反馈。学生围绕外国友人</w:t>
            </w:r>
            <w:r>
              <w:rPr>
                <w:rFonts w:ascii="Times New Roman" w:eastAsia="华文楷体" w:hAnsi="Times New Roman" w:cs="Times New Roman"/>
              </w:rPr>
              <w:t>Jim</w:t>
            </w:r>
            <w:r>
              <w:rPr>
                <w:rFonts w:ascii="Times New Roman" w:eastAsia="华文楷体" w:hAnsi="Times New Roman" w:cs="Times New Roman"/>
              </w:rPr>
              <w:t>的开放性问题形成观点、提出建议并说明理由，检查的重点是论证链是否完整、理由是否充分、建议是否具体可行。反馈后学生再次修改作品，思维漏洞、修改依据和表达进阶都有迹可循。</w:t>
            </w:r>
          </w:p>
        </w:tc>
      </w:tr>
    </w:tbl>
    <w:p w14:paraId="275D2E7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）在反思迁移中促进能力进阶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能力的形成需要跨越多节课的持续积累。高阶能力真正稳定，需要学生能够</w:t>
      </w:r>
      <w:r>
        <w:rPr>
          <w:rFonts w:ascii="Times New Roman" w:eastAsia="宋体" w:hAnsi="Times New Roman" w:cs="Times New Roman"/>
          <w:sz w:val="24"/>
        </w:rPr>
        <w:lastRenderedPageBreak/>
        <w:t>从具体任务中提炼方法，并在新的情境中再次使用。反思迁移因此要帮助学生回答，我这次用了什么方法？它为什么有效？适用条件是什么？换一个问题后，哪些部分可以迁移，哪些需要调整？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1372802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6476A2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案例片段｜语文物件类具象化写作，从课堂方法到家庭旧物</w:t>
            </w:r>
          </w:p>
          <w:p w14:paraId="3CBF56D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王尤迪老师把概念性名词、具象化特写、场景铺陈、人事相融和寄寓情思设计为学生可见的写作进阶路径。课堂完成分层写作和量表反馈后，学生回到家庭情境，选择旧蒲扇、木梳、铁皮盒等老物件完成新的写作片段，并依据同一量表再次修改。迁移的关键在于学生能否把课堂形成的具象化方法独立用于陌生物件和新的情感表达。</w:t>
            </w:r>
          </w:p>
        </w:tc>
      </w:tr>
    </w:tbl>
    <w:p w14:paraId="2AABCF3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科创项目中的五环实践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）以真实问题确立项目育人目标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2454E7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A9BF47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案例片段｜机械臂路径规划，让工程判断可见</w:t>
            </w:r>
          </w:p>
          <w:p w14:paraId="6BFF0A9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梁芳老师把工业机械臂分拣任务校本化为智慧校园垃圾分类分拣项目，并在项目开始时前置评价标尺。项目要求机械臂完成路径运行，同时要求学生说明路径设计依据，</w:t>
            </w:r>
            <w:r>
              <w:rPr>
                <w:rFonts w:ascii="Times New Roman" w:eastAsia="华文楷体" w:hAnsi="Times New Roman" w:cs="Times New Roman"/>
              </w:rPr>
              <w:lastRenderedPageBreak/>
              <w:t>记录耗时与碰撞、越界情况，解释故障原因并完成改进。成果目标与能力目标同步呈现，项目的重心由做出作品转向用证据作出工程判断。</w:t>
            </w:r>
          </w:p>
        </w:tc>
      </w:tr>
    </w:tbl>
    <w:p w14:paraId="27E10E5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411795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29E72D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案例片段｜机械臂路径规划，任务链与证据链同步推进</w:t>
            </w:r>
          </w:p>
          <w:p w14:paraId="53A7B68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该项目依次留下路径草图、双方案设计、实测数据、故障排查记录和项目成果。学生需要提出至少两套路径方案，实测并记录耗时、碰撞、越界等信息，再据此比较权衡。任务推进的每一步同时形成证据，教师据此判断学生停留在机械操作，还是已经进入工程分析与方案决策。</w:t>
            </w:r>
          </w:p>
        </w:tc>
      </w:tr>
    </w:tbl>
    <w:p w14:paraId="0D6999F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）在设计与实验中深化探究</w:t>
      </w:r>
    </w:p>
    <w:p w14:paraId="2745310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科创学习的高阶性，往往体现在学生能否把想法变成可验证的方案。</w:t>
      </w:r>
      <w:r>
        <w:rPr>
          <w:rFonts w:ascii="Times New Roman" w:eastAsia="宋体" w:hAnsi="Times New Roman" w:cs="Times New Roman"/>
          <w:sz w:val="24"/>
        </w:rPr>
        <w:t>设计草图、实验假设、参数选择、原型测试、阶段答辩，都是学生把思考外显出来的方式。教师不替学生直接决定哪个方案最好，而通过追问为什么这样设计、依据什么判断、如果条件变化会怎样，促使学生把直觉转化为可讨论、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5A921E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745C193"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案例片段｜机械臂路径规划，从现象到修复的故障探究</w:t>
            </w:r>
          </w:p>
          <w:p w14:paraId="1A1FEBE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面对机械臂运行中的异常，学生使用故障排查单记录具体现象，提出可能原因，再通过调整参数、检查结构和重新运行进行验证。班级进一步把典型故障及修复方式汇入</w:t>
            </w:r>
            <w:r>
              <w:rPr>
                <w:rFonts w:ascii="Times New Roman" w:eastAsia="华文楷体" w:hAnsi="Times New Roman" w:cs="Times New Roman"/>
              </w:rPr>
              <w:lastRenderedPageBreak/>
              <w:t>资源库。失败由此成为学生提出解释、验证假设和积累工程经验的学习资源。</w:t>
            </w:r>
          </w:p>
        </w:tc>
      </w:tr>
    </w:tbl>
    <w:p w14:paraId="54859A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）以测试评价推动方案优化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ADF5675"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28FB3E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案例片段｜机械臂路径规划，用测试结果推动二次修改</w:t>
            </w:r>
          </w:p>
          <w:p w14:paraId="4DF5D45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两套路径完成实测后，学生依据耗时、抬升高度、碰撞、越界等记录进行比较，并对不稳定路径继续修改。反馈直接进入下一轮方案调整，第一次方案、测试证据、修改依据和再次运行由此形成清晰的迭代链。</w:t>
            </w:r>
          </w:p>
        </w:tc>
      </w:tr>
    </w:tbl>
    <w:p w14:paraId="1504AC5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）在成果应用中实现迁移创新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科创项目完成后，学生容易把注意力停留在作品成功了。我们更关注的是，学生能否从项目中提炼出可迁移的问题解决方法，并把它带到新的情境。当学生能够解释</w:t>
      </w:r>
      <w:r>
        <w:rPr>
          <w:rFonts w:ascii="Times New Roman" w:eastAsia="宋体" w:hAnsi="Times New Roman" w:cs="Times New Roman"/>
          <w:sz w:val="24"/>
        </w:rPr>
        <w:t>“</w:t>
      </w:r>
      <w:r>
        <w:rPr>
          <w:rFonts w:ascii="Times New Roman" w:eastAsia="宋体" w:hAnsi="Times New Roman" w:cs="Times New Roman"/>
          <w:sz w:val="24"/>
        </w:rPr>
        <w:t>这次项目让我学会了怎样解决一类问题</w:t>
      </w:r>
      <w:r>
        <w:rPr>
          <w:rFonts w:ascii="Times New Roman" w:eastAsia="宋体" w:hAnsi="Times New Roman" w:cs="Times New Roman"/>
          <w:sz w:val="24"/>
        </w:rPr>
        <w:t>”</w:t>
      </w:r>
      <w:r>
        <w:rPr>
          <w:rFonts w:ascii="Times New Roman" w:eastAsia="宋体" w:hAnsi="Times New Roman" w:cs="Times New Roman"/>
          <w:sz w:val="24"/>
        </w:rPr>
        <w:t>，而不只是我做出了什么，科创学习才真正转化为能力。</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47189C9"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684785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案例片段｜机械臂路径规划，从垃圾分拣迁移到新的工程场景</w:t>
            </w:r>
          </w:p>
          <w:p w14:paraId="2309A7A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项目结束后，学生将路径规划与故障排查经验迁移到图书上架、材料运输等新的任务情境，重新考虑路线、空间限制和运行效率。学生需要根据新任务的约束重新设计方案，项目中形成的比较、验证、修复和优化方法由此获得新的应用。</w:t>
            </w:r>
          </w:p>
        </w:tc>
      </w:tr>
    </w:tbl>
    <w:p w14:paraId="52BFAED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两域实践中的高阶学习典型样态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29AD507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这一样态突出学生是否真正进入具有现实意义的任务情境，并在约束条件下作出判断和行动。其高阶性在于学生需要筛选信息、明确问题、调用知识并承担任务责任。</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5E813C8"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019918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案例片段｜主案例一｜吴薇《捍卫国家利益》</w:t>
            </w:r>
          </w:p>
          <w:p w14:paraId="1FF0047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本案例以</w:t>
            </w:r>
            <w:r>
              <w:rPr>
                <w:rFonts w:ascii="Times New Roman" w:eastAsia="华文楷体" w:hAnsi="Times New Roman" w:cs="Times New Roman"/>
              </w:rPr>
              <w:t>AI</w:t>
            </w:r>
            <w:r>
              <w:rPr>
                <w:rFonts w:ascii="Times New Roman" w:eastAsia="华文楷体" w:hAnsi="Times New Roman" w:cs="Times New Roman"/>
              </w:rPr>
              <w:t>仿真冲突情境为主要载体，让学生在国家利益与个人选择发生张力的价值情境中作出判断，说明理由并调整应对策略。主样态为真实情境的任务性实践，同时具有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C098F1D"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F4DFE50"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案例片段｜主案例二｜肖岩《质量的测量》第二课时</w:t>
            </w:r>
          </w:p>
          <w:p w14:paraId="7E22119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校园网球质检员的角色贯穿课堂，学生自主设计实验、测量网球质量、依据标准判断是否合格并形成质检报告。主样态为真实情境的任务性实践，同时具有方案比较的验证性实践和证据支撑的论证性实践特征。</w:t>
            </w:r>
          </w:p>
        </w:tc>
      </w:tr>
    </w:tbl>
    <w:p w14:paraId="15C453D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这一样态突出学生面对多个可能方案时，能否建立比较标准，并利用实验、计算、调查或数据验证不同方案的优劣。其核心在于选择过程是否建立在证据和条件判断之上。</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D565B0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1991955"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案例片段｜主案例一｜梁芳《机械臂路径规划》</w:t>
            </w:r>
          </w:p>
          <w:p w14:paraId="396D9E1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设计两套路径并进行对照实测，记录运行耗时、抬升高度、碰撞、越界等数据，在比较权衡后确定方案，并通过故障排查继续修正。主样态为方案比较的验证性实践，同时具有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85B7D74"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3E0514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案例片段｜主案例二｜数学案例</w:t>
            </w:r>
          </w:p>
          <w:p w14:paraId="7F9B6AC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数学案例承担方案比较的验证性实践的第二个主案例，重点呈现两种以上解法或模型，明确比较标准，并依据计算、数据、图形或模型检验作出判断。</w:t>
            </w:r>
          </w:p>
        </w:tc>
      </w:tr>
    </w:tbl>
    <w:p w14:paraId="38E8910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这一样态突出观点怎样被证据支持、质疑和修正。学生需要区分观点与事实，判断证据是否相关、可靠、充分，并在新的证据出现时调整原有结论。其关键是</w:t>
      </w:r>
      <w:r>
        <w:rPr>
          <w:rFonts w:ascii="Times New Roman" w:eastAsia="宋体" w:hAnsi="Times New Roman" w:cs="Times New Roman"/>
          <w:sz w:val="24"/>
        </w:rPr>
        <w:lastRenderedPageBreak/>
        <w:t>形成观点、证据、解释和修订的完整链条。</w:t>
      </w:r>
    </w:p>
    <w:p w14:paraId="4F8568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w:t>
      </w:r>
      <w:r>
        <w:rPr>
          <w:rFonts w:ascii="Times New Roman" w:eastAsia="宋体" w:hAnsi="Times New Roman" w:cs="Times New Roman"/>
          <w:kern w:val="0"/>
          <w:sz w:val="24"/>
        </w:rPr>
        <w:t>Kuhn et al., 2000</w:t>
      </w:r>
      <w:r>
        <w:rPr>
          <w:rFonts w:ascii="Times New Roman" w:eastAsia="宋体" w:hAnsi="Times New Roman" w:cs="Times New Roman"/>
          <w:kern w:val="0"/>
          <w:sz w:val="24"/>
        </w:rPr>
        <w:t>）。论证性实践要求学生说明依据、回应质疑并修正判断，为学生认识论理解的发展提供了课堂条件。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264347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F665E08"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案例片段｜主案例一｜胡志禹《拿来主义》第二课时</w:t>
            </w:r>
          </w:p>
          <w:p w14:paraId="0532369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课堂围绕观点、证据与解释展开。学生基于文本和现实材料形成初始判断，在质疑、回应和教师追问中补充证据、修正解释，并通过反馈迭代形成更有依据的观点。主样态为证据支撑的论证性实践，同时具有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34A880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6E6BAD"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案例片段｜主案例二｜李静《英语写作》</w:t>
            </w:r>
          </w:p>
          <w:p w14:paraId="02257D74"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学生围绕开放性写作问题回应外国友人</w:t>
            </w:r>
            <w:r>
              <w:rPr>
                <w:rFonts w:ascii="Times New Roman" w:eastAsia="华文楷体" w:hAnsi="Times New Roman" w:cs="Times New Roman"/>
              </w:rPr>
              <w:t>Jim</w:t>
            </w:r>
            <w:r>
              <w:rPr>
                <w:rFonts w:ascii="Times New Roman" w:eastAsia="华文楷体" w:hAnsi="Times New Roman" w:cs="Times New Roman"/>
              </w:rPr>
              <w:t>的困惑，提出建议并说明理由。评价标准前置、过程性作品分析以及教师、同伴和自我三级反馈，使论证链、证据和修改过程持续可见。主样态为证据支撑的论证性实践，同时具有真实情境的任务性实践和综合迁移的创新性实践特征。</w:t>
            </w:r>
          </w:p>
        </w:tc>
      </w:tr>
    </w:tbl>
    <w:p w14:paraId="0D5274C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F40018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0C636A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案例片段｜主案例一｜姜惠轶《光的折射》</w:t>
            </w:r>
          </w:p>
          <w:p w14:paraId="3F2BD2BA"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小组实验、多路径数据、异常数据讨论、投屏答辩和同伴纠错共同构成学习过程。学生在比较数据和回应质疑中共同归纳规律、修正解释并逐步建构模型。主样态为协同探究的建构性实践，同时具有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8E14E3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512680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案例片段｜主案例二｜董丹《秋天的怀念》第二课时</w:t>
            </w:r>
          </w:p>
          <w:p w14:paraId="0E2E7F96"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本案例呈现学生对生命的不同感悟如何在倾听、质疑、回应中共同深化，并由文本</w:t>
            </w:r>
            <w:r>
              <w:rPr>
                <w:rFonts w:ascii="Times New Roman" w:eastAsia="华文楷体" w:hAnsi="Times New Roman" w:cs="Times New Roman"/>
              </w:rPr>
              <w:lastRenderedPageBreak/>
              <w:t>解读迁移到现实生命情境。个体初始理解、小组交流记录和共同成果构成协同建构的证据。主样态为协同探究的建构性实践，同时具有综合迁移的创新性实践和证据支撑的论证性实践特征。</w:t>
            </w:r>
          </w:p>
        </w:tc>
      </w:tr>
    </w:tbl>
    <w:p w14:paraId="6681B0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325F1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C35F8F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案例片段｜主案例一｜王尤迪《物件类具象化写作》</w:t>
            </w:r>
          </w:p>
          <w:p w14:paraId="0D9C1084"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从课前对凳子的概念化表达出发，经历由材质细节到场景、人事和情感落点的写作进阶，再把方法迁移到家庭旧物写作，并依据量表进行二次修改。主样态为综合迁移的创新性实践，同时具有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A19902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245B9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案例片段｜主案例二｜杨冬冬《内能》单元</w:t>
            </w:r>
          </w:p>
          <w:p w14:paraId="68DAB9D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学生围绕热机模型完成</w:t>
            </w:r>
            <w:r>
              <w:rPr>
                <w:rFonts w:ascii="Times New Roman" w:eastAsia="华文楷体" w:hAnsi="Times New Roman" w:cs="Times New Roman"/>
              </w:rPr>
              <w:t>V1</w:t>
            </w:r>
            <w:r>
              <w:rPr>
                <w:rFonts w:ascii="Times New Roman" w:eastAsia="华文楷体" w:hAnsi="Times New Roman" w:cs="Times New Roman"/>
              </w:rPr>
              <w:t>至</w:t>
            </w:r>
            <w:r>
              <w:rPr>
                <w:rFonts w:ascii="Times New Roman" w:eastAsia="华文楷体" w:hAnsi="Times New Roman" w:cs="Times New Roman"/>
              </w:rPr>
              <w:t>V3</w:t>
            </w:r>
            <w:r>
              <w:rPr>
                <w:rFonts w:ascii="Times New Roman" w:eastAsia="华文楷体" w:hAnsi="Times New Roman" w:cs="Times New Roman"/>
              </w:rPr>
              <w:t>三轮迭代，针对漏气、散热、热源等问题依据物理原理进行修正；随后把比热容、热传递等知识迁移到校园热岛治理，形成校园热地图和微降温方案。主样态为综合迁移的创新性实践，同时具有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714C2A9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基于实践证据的模型迭代</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6B80FB6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4BFEB02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724CF63F"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3-12  </w:t>
      </w:r>
      <w:r>
        <w:rPr>
          <w:rFonts w:ascii="Times New Roman" w:eastAsia="黑体" w:hAnsi="Times New Roman" w:cs="Times New Roman"/>
        </w:rPr>
        <w:t>可见的学习视域下中学生高阶能力培育模型（</w:t>
      </w:r>
      <w:r>
        <w:rPr>
          <w:rFonts w:ascii="Times New Roman" w:eastAsia="黑体" w:hAnsi="Times New Roman" w:cs="Times New Roman"/>
        </w:rPr>
        <w:t>2.0</w:t>
      </w:r>
      <w:r>
        <w:rPr>
          <w:rFonts w:ascii="Times New Roman" w:eastAsia="黑体" w:hAnsi="Times New Roman" w:cs="Times New Roman"/>
        </w:rPr>
        <w:t>版）</w:t>
      </w:r>
    </w:p>
    <w:p w14:paraId="0D8FBC2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4B9B1A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63A65DB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B1F0D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1D3CFDF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47E8A1A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368C0A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w:t>
      </w:r>
      <w:r>
        <w:rPr>
          <w:rFonts w:ascii="Times New Roman" w:eastAsia="宋体" w:hAnsi="Times New Roman" w:cs="Times New Roman"/>
          <w:sz w:val="24"/>
        </w:rPr>
        <w:lastRenderedPageBreak/>
        <w:t>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9EC8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741DDC50"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D8ECDA"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w:t>
      </w:r>
      <w:r>
        <w:rPr>
          <w:rFonts w:ascii="Times New Roman" w:eastAsia="宋体" w:hAnsi="Times New Roman" w:cs="Times New Roman"/>
          <w:sz w:val="24"/>
        </w:rPr>
        <w:lastRenderedPageBreak/>
        <w:t>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5D1486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7780D5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62E0039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w:t>
      </w:r>
      <w:r>
        <w:rPr>
          <w:rFonts w:ascii="Times New Roman" w:eastAsia="宋体" w:hAnsi="Times New Roman" w:cs="Times New Roman"/>
          <w:kern w:val="0"/>
          <w:sz w:val="24"/>
        </w:rPr>
        <w:lastRenderedPageBreak/>
        <w:t>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33545D1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54003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97E88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70D8B972"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2BFFAB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0A5DBBA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w:t>
            </w:r>
            <w:r>
              <w:rPr>
                <w:rFonts w:ascii="Times New Roman" w:eastAsia="宋体" w:hAnsi="Times New Roman" w:cs="Times New Roman"/>
                <w:szCs w:val="21"/>
              </w:rPr>
              <w:lastRenderedPageBreak/>
              <w:t>新想法。</w:t>
            </w:r>
          </w:p>
        </w:tc>
      </w:tr>
    </w:tbl>
    <w:p w14:paraId="08A6241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评课则更多呈现真实课堂中师生行为和学习参与的实际状态。研究中不以其中任何一种数据单独作出结论，而通过不同来源证据的相互参照，提高对研究成效判断的可靠性。</w:t>
      </w:r>
    </w:p>
    <w:p w14:paraId="5E7E633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3-33  </w:t>
      </w:r>
      <w:r>
        <w:rPr>
          <w:rFonts w:ascii="Times New Roman" w:eastAsia="黑体" w:hAnsi="Times New Roman" w:cs="Times New Roman"/>
        </w:rPr>
        <w:t>高阶能力培育评价工具与证据采集</w:t>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B058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495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1717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EB48F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5B937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3C190CBE"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1E4A23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416C8750"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41F44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52F739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7169BB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0045A0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0A226DD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w:t>
      </w:r>
      <w:r>
        <w:rPr>
          <w:rFonts w:ascii="Times New Roman" w:eastAsia="宋体" w:hAnsi="Times New Roman" w:cs="Times New Roman"/>
          <w:sz w:val="24"/>
        </w:rPr>
        <w:lastRenderedPageBreak/>
        <w:t>多呈现课堂中实际发生的行为过程。二者与学生、教师前后测相互补充，从不同角度呈现研究实践中发生的变化。</w:t>
      </w:r>
    </w:p>
    <w:p w14:paraId="627E898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01E452D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108793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w:t>
      </w:r>
      <w:r>
        <w:rPr>
          <w:rFonts w:ascii="Times New Roman" w:eastAsia="宋体" w:hAnsi="Times New Roman" w:cs="Times New Roman"/>
          <w:sz w:val="24"/>
        </w:rPr>
        <w:lastRenderedPageBreak/>
        <w:t>价和具体课堂表现，判断讨论是否包含分析、评价、证据使用和观点修正。多元互证的目的是避免依据单一证据作出过度判断，使研究结论更加接近真实课堂。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3E29C5E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6399966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3D3F72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1117B5F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3-34  </w:t>
      </w:r>
      <w:r>
        <w:rPr>
          <w:rFonts w:ascii="Times New Roman" w:eastAsia="黑体" w:hAnsi="Times New Roman" w:cs="Times New Roman"/>
        </w:rPr>
        <w:t>研究样本基本情况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ADB56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14177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D5FAA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FE26F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772386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528D10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579581A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1D9AE47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5A3A8C8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3-35  </w:t>
      </w:r>
      <w:r>
        <w:rPr>
          <w:rFonts w:ascii="Times New Roman" w:eastAsia="黑体" w:hAnsi="Times New Roman" w:cs="Times New Roman"/>
        </w:rPr>
        <w:t>高阶思维总体前后测配对比较（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2F04B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D3E3B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D41FD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D6B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B9AA7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CDF8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D026D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05CC058"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spacing w:before="20" w:after="20"/>
              <w:jc w:val="center"/>
              <w:rPr>
                <w:rFonts w:ascii="宋体" w:eastAsia="宋体" w:hAnsi="宋体" w:cs="宋体"/>
                <w:sz w:val="24"/>
              </w:rPr>
            </w:pPr>
          </w:p>
        </w:tc>
      </w:tr>
    </w:tbl>
    <w:p w14:paraId="6CCC561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3F57718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18AC213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3-36  </w:t>
      </w:r>
      <w:r>
        <w:rPr>
          <w:rFonts w:ascii="Times New Roman" w:eastAsia="黑体" w:hAnsi="Times New Roman" w:cs="Times New Roman"/>
        </w:rPr>
        <w:t>高阶社会情感总体前后测配对比较（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83F40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35ACB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2F280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1FFF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A2FC7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BBE59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6326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5B778F0"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spacing w:before="20" w:after="20"/>
              <w:jc w:val="center"/>
              <w:rPr>
                <w:rFonts w:ascii="宋体" w:eastAsia="宋体" w:hAnsi="宋体" w:cs="宋体"/>
                <w:sz w:val="24"/>
              </w:rPr>
            </w:pPr>
          </w:p>
        </w:tc>
      </w:tr>
    </w:tbl>
    <w:p w14:paraId="2FA895C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w:t>
      </w:r>
      <w:r>
        <w:rPr>
          <w:rFonts w:ascii="Times New Roman" w:eastAsia="宋体" w:hAnsi="Times New Roman" w:cs="Times New Roman"/>
          <w:sz w:val="24"/>
        </w:rPr>
        <w:t>4.032</w:t>
      </w:r>
      <w:r>
        <w:rPr>
          <w:rFonts w:ascii="Times New Roman" w:eastAsia="宋体" w:hAnsi="Times New Roman" w:cs="Times New Roman"/>
          <w:sz w:val="24"/>
        </w:rPr>
        <w:t>分提高至</w:t>
      </w:r>
      <w:r>
        <w:rPr>
          <w:rFonts w:ascii="Times New Roman" w:eastAsia="宋体" w:hAnsi="Times New Roman" w:cs="Times New Roman"/>
          <w:sz w:val="24"/>
        </w:rPr>
        <w:t>4.400</w:t>
      </w:r>
      <w:r>
        <w:rPr>
          <w:rFonts w:ascii="Times New Roman" w:eastAsia="宋体" w:hAnsi="Times New Roman" w:cs="Times New Roman"/>
          <w:sz w:val="24"/>
        </w:rPr>
        <w:t>分，平均增加</w:t>
      </w:r>
      <w:r>
        <w:rPr>
          <w:rFonts w:ascii="Times New Roman" w:eastAsia="宋体" w:hAnsi="Times New Roman" w:cs="Times New Roman"/>
          <w:sz w:val="24"/>
        </w:rPr>
        <w:t>0.368</w:t>
      </w:r>
      <w:r>
        <w:rPr>
          <w:rFonts w:ascii="Times New Roman" w:eastAsia="宋体" w:hAnsi="Times New Roman" w:cs="Times New Roman"/>
          <w:sz w:val="24"/>
        </w:rPr>
        <w:t>分。高阶社会情感总体自评得分明显提高，配对效应量为</w:t>
      </w:r>
      <w:r>
        <w:rPr>
          <w:rFonts w:ascii="Times New Roman" w:eastAsia="宋体" w:hAnsi="Times New Roman" w:cs="Times New Roman"/>
          <w:sz w:val="24"/>
        </w:rPr>
        <w:t>1.099</w:t>
      </w:r>
      <w:r>
        <w:rPr>
          <w:rFonts w:ascii="Times New Roman" w:eastAsia="宋体" w:hAnsi="Times New Roman" w:cs="Times New Roman"/>
          <w:sz w:val="24"/>
        </w:rPr>
        <w:t>。相较于高阶思维总体，其平均增分在数值上更大；该比较未构成两类增幅差异的正式检验。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6F6A8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056860F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3-37  </w:t>
      </w:r>
      <w:r>
        <w:rPr>
          <w:rFonts w:ascii="Times New Roman" w:eastAsia="黑体" w:hAnsi="Times New Roman" w:cs="Times New Roman"/>
        </w:rPr>
        <w:t>两个学段的高阶思维总体前后测比较</w:t>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05DAEF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0EFB0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0EA3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E66CD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EA4FA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FF2B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38ED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6DD43E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1CF6C605"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42177B5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3-38  </w:t>
      </w:r>
      <w:r>
        <w:rPr>
          <w:rFonts w:ascii="Times New Roman" w:eastAsia="黑体" w:hAnsi="Times New Roman" w:cs="Times New Roman"/>
        </w:rPr>
        <w:t>两个学段的高阶社会情感总体前后测比较</w:t>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E49EE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B141B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532C0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14AE5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710EE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4A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B05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0DC110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2B39B81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5B61754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3-39  </w:t>
      </w:r>
      <w:r>
        <w:rPr>
          <w:rFonts w:ascii="Times New Roman" w:eastAsia="黑体" w:hAnsi="Times New Roman" w:cs="Times New Roman"/>
        </w:rPr>
        <w:t>高中与初中学生平均增分的比较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DDA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5107F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AB0C9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0D99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C77FC5"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7D9D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52994D9"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ADEE2B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0BAC15D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63CF2B0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1DB3904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3-40  </w:t>
      </w:r>
      <w:r>
        <w:rPr>
          <w:rFonts w:ascii="Times New Roman" w:eastAsia="黑体" w:hAnsi="Times New Roman" w:cs="Times New Roman"/>
        </w:rPr>
        <w:t>各年级高阶思维总体的前后变化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B2C59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53FF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7858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F24A1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105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4554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DA6C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E1E8AD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3393920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3-41  </w:t>
      </w:r>
      <w:r>
        <w:rPr>
          <w:rFonts w:ascii="Times New Roman" w:eastAsia="黑体" w:hAnsi="Times New Roman" w:cs="Times New Roman"/>
        </w:rPr>
        <w:t>各年级高阶社会情感总体的前后变化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5F69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E246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B8F8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2B7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9AD05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3728F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2B7A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2A4773A"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667F558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w:t>
      </w:r>
      <w:r>
        <w:rPr>
          <w:rFonts w:ascii="Times New Roman" w:eastAsia="宋体" w:hAnsi="Times New Roman" w:cs="Times New Roman"/>
          <w:sz w:val="24"/>
        </w:rPr>
        <w:lastRenderedPageBreak/>
        <w:t>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BD7F25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3-42  </w:t>
      </w:r>
      <w:r>
        <w:rPr>
          <w:rFonts w:ascii="Times New Roman" w:eastAsia="黑体" w:hAnsi="Times New Roman" w:cs="Times New Roman"/>
        </w:rPr>
        <w:t>年级发展特点的探索性分组</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78BFA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5D77E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CE97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26A98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6D22353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4E267CD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）剔除同选项答卷的敏感性检验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2391FED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3-43  </w:t>
      </w:r>
      <w:r>
        <w:rPr>
          <w:rFonts w:ascii="Times New Roman" w:eastAsia="黑体" w:hAnsi="Times New Roman" w:cs="Times New Roman"/>
        </w:rPr>
        <w:t>两个总体指标的敏感性分析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E9A6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B1625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156E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3763F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2BF4CD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75DB765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7F5858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7B4ADF3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0262E6E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3-44  </w:t>
      </w:r>
      <w:r>
        <w:rPr>
          <w:rFonts w:ascii="Times New Roman" w:eastAsia="黑体" w:hAnsi="Times New Roman" w:cs="Times New Roman"/>
        </w:rPr>
        <w:t>分析前后测配对比较（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741DBC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49843C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6DBA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A923C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CEC2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03682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BF73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B096786"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spacing w:before="20" w:after="20"/>
              <w:jc w:val="center"/>
              <w:rPr>
                <w:rFonts w:ascii="宋体" w:eastAsia="宋体" w:hAnsi="宋体" w:cs="宋体"/>
                <w:sz w:val="24"/>
              </w:rPr>
            </w:pPr>
          </w:p>
        </w:tc>
      </w:tr>
    </w:tbl>
    <w:p w14:paraId="29DBBCB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w:t>
      </w:r>
      <w:r>
        <w:rPr>
          <w:rFonts w:ascii="Times New Roman" w:eastAsia="宋体" w:hAnsi="Times New Roman" w:cs="Times New Roman"/>
          <w:sz w:val="24"/>
        </w:rPr>
        <w:lastRenderedPageBreak/>
        <w:t>提高，反映学生对分解问题、联系已有知识、筛选信息和探究原因等学习行为的自我评价有所改善。</w:t>
      </w:r>
    </w:p>
    <w:p w14:paraId="213C6E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2659AD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3-45  </w:t>
      </w:r>
      <w:r>
        <w:rPr>
          <w:rFonts w:ascii="Times New Roman" w:eastAsia="黑体" w:hAnsi="Times New Roman" w:cs="Times New Roman"/>
        </w:rPr>
        <w:t>评价前后测配对比较（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95FD6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C2BE1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026D9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33046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3CFF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2B0B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75C4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336743EB"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spacing w:before="20" w:after="20"/>
              <w:jc w:val="center"/>
              <w:rPr>
                <w:rFonts w:ascii="宋体" w:eastAsia="宋体" w:hAnsi="宋体" w:cs="宋体"/>
                <w:sz w:val="24"/>
              </w:rPr>
            </w:pPr>
          </w:p>
        </w:tc>
      </w:tr>
    </w:tbl>
    <w:p w14:paraId="541B865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273EFF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）创造</w:t>
      </w:r>
    </w:p>
    <w:p w14:paraId="74CA3B4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3-46  </w:t>
      </w:r>
      <w:r>
        <w:rPr>
          <w:rFonts w:ascii="Times New Roman" w:eastAsia="黑体" w:hAnsi="Times New Roman" w:cs="Times New Roman"/>
        </w:rPr>
        <w:t>创造前后测配对比较（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5053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999D3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3085A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83D5C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ADB83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801B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9B64AF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A380E96"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spacing w:before="20" w:after="20"/>
              <w:jc w:val="center"/>
              <w:rPr>
                <w:rFonts w:ascii="宋体" w:eastAsia="宋体" w:hAnsi="宋体" w:cs="宋体"/>
                <w:sz w:val="24"/>
              </w:rPr>
            </w:pPr>
          </w:p>
        </w:tc>
      </w:tr>
    </w:tbl>
    <w:p w14:paraId="54CF0B42"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1001C17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2E68612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3-47  </w:t>
      </w:r>
      <w:r>
        <w:rPr>
          <w:rFonts w:ascii="Times New Roman" w:eastAsia="黑体" w:hAnsi="Times New Roman" w:cs="Times New Roman"/>
        </w:rPr>
        <w:t>责任担当前后测配对比较（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64DED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C633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AFBB8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BA2F9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BF9B6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B8999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E8853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217B06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spacing w:before="20" w:after="20"/>
              <w:jc w:val="center"/>
              <w:rPr>
                <w:rFonts w:ascii="宋体" w:eastAsia="宋体" w:hAnsi="宋体" w:cs="宋体"/>
                <w:sz w:val="24"/>
              </w:rPr>
            </w:pPr>
          </w:p>
        </w:tc>
      </w:tr>
    </w:tbl>
    <w:p w14:paraId="44908475"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7BCED1C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）情绪调节</w:t>
      </w:r>
    </w:p>
    <w:p w14:paraId="4853925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3-48  </w:t>
      </w:r>
      <w:r>
        <w:rPr>
          <w:rFonts w:ascii="Times New Roman" w:eastAsia="黑体" w:hAnsi="Times New Roman" w:cs="Times New Roman"/>
        </w:rPr>
        <w:t>情绪调节前后测配对比较（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2210F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AF182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33358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9A6E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9ECBA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861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8817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35D34DDB"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spacing w:before="20" w:after="20"/>
              <w:jc w:val="center"/>
              <w:rPr>
                <w:rFonts w:ascii="宋体" w:eastAsia="宋体" w:hAnsi="宋体" w:cs="宋体"/>
                <w:sz w:val="24"/>
              </w:rPr>
            </w:pPr>
          </w:p>
        </w:tc>
      </w:tr>
    </w:tbl>
    <w:p w14:paraId="4B9F197E"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26AD75A4"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）合作共情</w:t>
      </w:r>
    </w:p>
    <w:p w14:paraId="6786E41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3-49  </w:t>
      </w:r>
      <w:r>
        <w:rPr>
          <w:rFonts w:ascii="Times New Roman" w:eastAsia="黑体" w:hAnsi="Times New Roman" w:cs="Times New Roman"/>
        </w:rPr>
        <w:t>合作共情前后测配对比较（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E8A26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3AAA8F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213FB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95E82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F730F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1EAB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A189D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65DC9E2"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spacing w:before="20" w:after="20"/>
              <w:jc w:val="center"/>
              <w:rPr>
                <w:rFonts w:ascii="宋体" w:eastAsia="宋体" w:hAnsi="宋体" w:cs="宋体"/>
                <w:sz w:val="24"/>
              </w:rPr>
            </w:pPr>
          </w:p>
        </w:tc>
      </w:tr>
    </w:tbl>
    <w:p w14:paraId="6A4C368B"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7C5C743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01E2CE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3-50  </w:t>
      </w:r>
      <w:r>
        <w:rPr>
          <w:rFonts w:ascii="Times New Roman" w:eastAsia="黑体" w:hAnsi="Times New Roman" w:cs="Times New Roman"/>
        </w:rPr>
        <w:t>包容创新前后测配对比较（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0A76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6BDEB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4B4EA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15E79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61594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ABBE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1BB2B4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9B7B7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spacing w:before="20" w:after="20"/>
              <w:jc w:val="center"/>
              <w:rPr>
                <w:rFonts w:ascii="宋体" w:eastAsia="宋体" w:hAnsi="宋体" w:cs="宋体"/>
                <w:sz w:val="24"/>
              </w:rPr>
            </w:pPr>
          </w:p>
        </w:tc>
      </w:tr>
    </w:tbl>
    <w:p w14:paraId="484B1192"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7986EFB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48A6729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3487872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3-51  </w:t>
      </w:r>
      <w:r>
        <w:rPr>
          <w:rFonts w:ascii="Times New Roman" w:eastAsia="黑体" w:hAnsi="Times New Roman" w:cs="Times New Roman"/>
        </w:rPr>
        <w:t>学生前测开放性回答三级编码表</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5839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B4499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77FA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9D88A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595D32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0DD17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2B97577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3-52  </w:t>
      </w:r>
      <w:r>
        <w:rPr>
          <w:rFonts w:ascii="Times New Roman" w:eastAsia="黑体" w:hAnsi="Times New Roman" w:cs="Times New Roman"/>
        </w:rPr>
        <w:t>学生后测开放性回答三级编码表</w:t>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0358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682D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9CD3E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17A351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32AF5738"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5A219B69"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w:t>
      </w:r>
      <w:r>
        <w:rPr>
          <w:rFonts w:ascii="Times New Roman" w:eastAsia="宋体" w:hAnsi="Times New Roman" w:cs="Times New Roman"/>
          <w:sz w:val="24"/>
        </w:rPr>
        <w:t>这些文字使思维、合作与问题解决过程变得可见。同时，</w:t>
      </w:r>
      <w:r>
        <w:rPr>
          <w:rFonts w:ascii="Times New Roman" w:eastAsia="宋体" w:hAnsi="Times New Roman" w:cs="Times New Roman"/>
          <w:sz w:val="24"/>
        </w:rPr>
        <w:t>429</w:t>
      </w:r>
      <w:r>
        <w:rPr>
          <w:rFonts w:ascii="Times New Roman" w:eastAsia="宋体" w:hAnsi="Times New Roman" w:cs="Times New Roman"/>
          <w:sz w:val="24"/>
        </w:rPr>
        <w:t>条回答未陈述具体变化，另有</w:t>
      </w:r>
      <w:r>
        <w:rPr>
          <w:rFonts w:ascii="Times New Roman" w:eastAsia="宋体" w:hAnsi="Times New Roman" w:cs="Times New Roman"/>
          <w:sz w:val="24"/>
        </w:rPr>
        <w:t>74</w:t>
      </w:r>
      <w:r>
        <w:rPr>
          <w:rFonts w:ascii="Times New Roman" w:eastAsia="宋体" w:hAnsi="Times New Roman" w:cs="Times New Roman"/>
          <w:sz w:val="24"/>
        </w:rPr>
        <w:t>条仍表达任务难度、学习压力或负向体验，研究中均予以保留，以避免只呈现积极声音。</w:t>
      </w:r>
    </w:p>
    <w:p w14:paraId="5653DF7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6AAFB2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3-53  </w:t>
      </w:r>
      <w:r>
        <w:rPr>
          <w:rFonts w:ascii="Times New Roman" w:eastAsia="黑体" w:hAnsi="Times New Roman" w:cs="Times New Roman"/>
        </w:rPr>
        <w:t>学生前后测开放性文本主题对应表</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6AC6D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5A65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F5632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7755A8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212A60BD"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0835828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7F9BA4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34DF000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3-54  </w:t>
      </w:r>
      <w:r>
        <w:rPr>
          <w:rFonts w:ascii="Times New Roman" w:eastAsia="黑体" w:hAnsi="Times New Roman" w:cs="Times New Roman"/>
        </w:rPr>
        <w:t>纳入匹配表的教师背景分布（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13401"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05094B"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42508C"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18DD9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6FF566C"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EA3F8E0"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238FA7B5"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592187A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765E9ECF"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6FB37E16"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5906ABE6"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FFD738A"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69465EEE"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4BB4BC9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53F909A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13F428A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18C87878"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3-55  </w:t>
      </w:r>
      <w:r>
        <w:rPr>
          <w:rFonts w:ascii="Times New Roman" w:eastAsia="黑体" w:hAnsi="Times New Roman" w:cs="Times New Roman"/>
        </w:rPr>
        <w:t>纳入匹配表的教师学科分布（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C2595A"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EAAFA9"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619154"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831D96A"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20" w:after="20"/>
              <w:jc w:val="center"/>
            </w:pPr>
            <w:r>
              <w:rPr>
                <w:rFonts w:ascii="Times New Roman" w:eastAsia="宋体" w:hAnsi="Times New Roman" w:cs="Times New Roman"/>
              </w:rP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20" w:after="20"/>
              <w:jc w:val="center"/>
            </w:pPr>
            <w:r>
              <w:rPr>
                <w:rFonts w:ascii="Times New Roman" w:eastAsia="宋体" w:hAnsi="Times New Roman" w:cs="Times New Roman"/>
              </w:rP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20" w:after="20"/>
              <w:jc w:val="center"/>
            </w:pPr>
            <w:r>
              <w:rPr>
                <w:rFonts w:ascii="Times New Roman" w:eastAsia="宋体" w:hAnsi="Times New Roman" w:cs="Times New Roman"/>
              </w:rP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20" w:after="20"/>
              <w:jc w:val="center"/>
            </w:pPr>
            <w:r>
              <w:rPr>
                <w:rFonts w:ascii="Times New Roman" w:eastAsia="宋体" w:hAnsi="Times New Roman" w:cs="Times New Roman"/>
              </w:rP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20" w:after="20"/>
              <w:jc w:val="center"/>
            </w:pPr>
            <w:r>
              <w:rPr>
                <w:rFonts w:ascii="Times New Roman" w:eastAsia="宋体" w:hAnsi="Times New Roman" w:cs="Times New Roman"/>
              </w:rP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20" w:after="20"/>
              <w:jc w:val="center"/>
            </w:pPr>
            <w:r>
              <w:rPr>
                <w:rFonts w:ascii="Times New Roman" w:eastAsia="宋体" w:hAnsi="Times New Roman" w:cs="Times New Roman"/>
              </w:rP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20" w:after="20"/>
              <w:jc w:val="center"/>
            </w:pPr>
            <w:r>
              <w:rPr>
                <w:rFonts w:ascii="Times New Roman" w:eastAsia="宋体" w:hAnsi="Times New Roman" w:cs="Times New Roman"/>
              </w:rP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20" w:after="20"/>
              <w:jc w:val="center"/>
            </w:pPr>
            <w:r>
              <w:rPr>
                <w:rFonts w:ascii="Times New Roman" w:eastAsia="宋体" w:hAnsi="Times New Roman" w:cs="Times New Roman"/>
              </w:rP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20" w:after="20"/>
              <w:jc w:val="center"/>
            </w:pPr>
            <w:r>
              <w:rPr>
                <w:rFonts w:ascii="Times New Roman" w:eastAsia="宋体" w:hAnsi="Times New Roman" w:cs="Times New Roman"/>
              </w:rP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20" w:after="20"/>
              <w:jc w:val="center"/>
            </w:pPr>
            <w:r>
              <w:rPr>
                <w:rFonts w:ascii="Times New Roman" w:eastAsia="宋体" w:hAnsi="Times New Roman" w:cs="Times New Roman"/>
              </w:rP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20" w:after="20"/>
              <w:jc w:val="center"/>
            </w:pPr>
            <w:r>
              <w:rPr>
                <w:rFonts w:ascii="Times New Roman" w:eastAsia="宋体" w:hAnsi="Times New Roman" w:cs="Times New Roman"/>
              </w:rP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20" w:after="20"/>
              <w:jc w:val="center"/>
            </w:pPr>
            <w:r>
              <w:rPr>
                <w:rFonts w:ascii="Times New Roman" w:eastAsia="宋体" w:hAnsi="Times New Roman" w:cs="Times New Roman"/>
              </w:rP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20" w:after="20"/>
              <w:jc w:val="center"/>
            </w:pPr>
            <w:r>
              <w:rPr>
                <w:rFonts w:ascii="Times New Roman" w:eastAsia="宋体" w:hAnsi="Times New Roman" w:cs="Times New Roman"/>
              </w:rPr>
              <w:t>0.78</w:t>
            </w:r>
          </w:p>
        </w:tc>
      </w:tr>
      <w:tr w:rsidR="000B1CCE" w14:paraId="2D3D8F99"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5836C8D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48C39681"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1271A7C3"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DBABD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436C7B8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032D532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CDCA88E"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3-56  </w:t>
      </w:r>
      <w:r>
        <w:rPr>
          <w:rFonts w:ascii="Times New Roman" w:eastAsia="黑体" w:hAnsi="Times New Roman" w:cs="Times New Roman"/>
        </w:rPr>
        <w:t>教师认知与价值认同前后测配对分析（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83B4D2B"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60C4582"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2FD372BB"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E535FD"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D5524B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66F74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C9A6E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spacing w:before="20" w:after="2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20" w:after="20"/>
              <w:jc w:val="center"/>
            </w:pPr>
            <w:r>
              <w:rPr>
                <w:rFonts w:ascii="Times New Roman" w:eastAsia="宋体" w:hAnsi="Times New Roman" w:cs="Times New Roman"/>
              </w:rPr>
              <w:t>0.74</w:t>
            </w:r>
          </w:p>
        </w:tc>
      </w:tr>
      <w:tr w:rsidR="000B1CCE" w14:paraId="6A809718"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5460880F"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16508C61"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2B26326B"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7368E9CA"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1ADDF00F"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4F4F24B9"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2A40ACAB"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0E2CDF56" w14:textId="77777777" w:rsidR="000B1CCE" w:rsidRDefault="00000000">
            <w:pPr>
              <w:snapToGrid w:val="0"/>
              <w:spacing w:before="20" w:after="20"/>
              <w:jc w:val="center"/>
            </w:pPr>
            <w:r>
              <w:rPr>
                <w:rFonts w:ascii="Times New Roman" w:eastAsia="宋体" w:hAnsi="Times New Roman" w:cs="Times New Roman"/>
              </w:rPr>
              <w:t>0.90</w:t>
            </w:r>
          </w:p>
        </w:tc>
      </w:tr>
    </w:tbl>
    <w:p w14:paraId="62315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1AF19C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4201051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3-57  </w:t>
      </w:r>
      <w:r>
        <w:rPr>
          <w:rFonts w:ascii="Times New Roman" w:eastAsia="黑体" w:hAnsi="Times New Roman" w:cs="Times New Roman"/>
        </w:rPr>
        <w:t>教师课堂教学实践前后测配对分析（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C2D6401"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4623EA0"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80945CF"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6C7ED31"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EE34638"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009AEE2"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86D41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37FCA645"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A5AA578"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028AF3C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7B673C1"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1D838CE2"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5AC07572"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4666AD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81E489A"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CD3E4C9" w14:textId="77777777" w:rsidR="000B1CCE" w:rsidRDefault="000B1CCE">
            <w:pPr>
              <w:snapToGrid w:val="0"/>
              <w:spacing w:before="20" w:after="20"/>
              <w:jc w:val="center"/>
              <w:rPr>
                <w:b/>
              </w:rPr>
            </w:pPr>
          </w:p>
        </w:tc>
      </w:tr>
      <w:tr w:rsidR="000B1CCE" w14:paraId="6978A342"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72838832"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B0CCBEB"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74F7C378"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6012CF46"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4CA693DC"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2D833A30"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E5C000F"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4A7AF0E7" w14:textId="77777777" w:rsidR="000B1CCE" w:rsidRDefault="00000000">
            <w:pPr>
              <w:snapToGrid w:val="0"/>
              <w:spacing w:before="20" w:after="20"/>
              <w:jc w:val="center"/>
            </w:pPr>
            <w:r>
              <w:rPr>
                <w:rFonts w:ascii="Times New Roman" w:eastAsia="宋体" w:hAnsi="Times New Roman" w:cs="Times New Roman"/>
              </w:rPr>
              <w:t>0.72</w:t>
            </w:r>
          </w:p>
        </w:tc>
      </w:tr>
      <w:tr w:rsidR="000B1CCE" w14:paraId="113BEBC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541C16E8"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54A7ACC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3F9B4639"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42E1D7F1"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6D260D38"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67D600EC"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7EE4703"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2B26F96F" w14:textId="77777777" w:rsidR="000B1CCE" w:rsidRDefault="00000000">
            <w:pPr>
              <w:snapToGrid w:val="0"/>
              <w:spacing w:before="20" w:after="20"/>
              <w:jc w:val="center"/>
            </w:pPr>
            <w:r>
              <w:rPr>
                <w:rFonts w:ascii="Times New Roman" w:eastAsia="宋体" w:hAnsi="Times New Roman" w:cs="Times New Roman"/>
              </w:rPr>
              <w:t>0.75</w:t>
            </w:r>
          </w:p>
        </w:tc>
      </w:tr>
    </w:tbl>
    <w:p w14:paraId="42D0B33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1D4F856C"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3-58  </w:t>
      </w:r>
      <w:r>
        <w:rPr>
          <w:rFonts w:ascii="Times New Roman" w:eastAsia="黑体" w:hAnsi="Times New Roman" w:cs="Times New Roman"/>
        </w:rPr>
        <w:t>教师教学自我效能前后测配对分析（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BE3FA1"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39BAA3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75DE4962"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B23E64"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0108408"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A5EA92"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C249756"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3CDC4EC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5F30BB63"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6B919E47"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4C71F76A"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4B2D6D7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28CCF414"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59BC5D2F"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A4FBD93"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02880A6" w14:textId="77777777" w:rsidR="000B1CCE" w:rsidRDefault="000B1CCE">
            <w:pPr>
              <w:snapToGrid w:val="0"/>
              <w:spacing w:before="20" w:after="20"/>
              <w:jc w:val="center"/>
              <w:rPr>
                <w:b/>
              </w:rPr>
            </w:pPr>
          </w:p>
        </w:tc>
      </w:tr>
      <w:tr w:rsidR="000B1CCE" w14:paraId="05A3376E"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6AC5EB8C"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45EA44DB"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47606E15"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596C0461"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1FF0D488"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75163055"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F491F4B"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342682B" w14:textId="77777777" w:rsidR="000B1CCE" w:rsidRDefault="00000000">
            <w:pPr>
              <w:snapToGrid w:val="0"/>
              <w:spacing w:before="20" w:after="20"/>
              <w:jc w:val="center"/>
            </w:pPr>
            <w:r>
              <w:rPr>
                <w:rFonts w:ascii="Times New Roman" w:eastAsia="宋体" w:hAnsi="Times New Roman" w:cs="Times New Roman"/>
              </w:rPr>
              <w:t>0.73</w:t>
            </w:r>
          </w:p>
        </w:tc>
      </w:tr>
      <w:tr w:rsidR="000B1CCE" w14:paraId="32FE497E"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1922976"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3F4D7E0A"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1AE92E3C"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9F7D26"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911457"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23C618E9"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01B66B2E"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4E3A7098" w14:textId="77777777" w:rsidR="000B1CCE" w:rsidRDefault="00000000">
            <w:pPr>
              <w:snapToGrid w:val="0"/>
              <w:spacing w:before="20" w:after="20"/>
              <w:jc w:val="center"/>
            </w:pPr>
            <w:r>
              <w:rPr>
                <w:rFonts w:ascii="Times New Roman" w:eastAsia="宋体" w:hAnsi="Times New Roman" w:cs="Times New Roman"/>
              </w:rPr>
              <w:t>0.77</w:t>
            </w:r>
          </w:p>
        </w:tc>
      </w:tr>
    </w:tbl>
    <w:p w14:paraId="6056422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6835F5F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792AE0D8"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3-59  </w:t>
      </w:r>
      <w:r>
        <w:rPr>
          <w:rFonts w:ascii="Times New Roman" w:eastAsia="黑体" w:hAnsi="Times New Roman" w:cs="Times New Roman"/>
        </w:rPr>
        <w:t>教师现实阻碍前后测配对分析（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D00BAEC"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00FE4B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1CC56F56"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4CF495"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C4FD6C3"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DEEE07D"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026F99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spacing w:before="20" w:after="2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20" w:after="20"/>
              <w:jc w:val="center"/>
            </w:pPr>
            <w:r>
              <w:rPr>
                <w:rFonts w:ascii="Times New Roman" w:eastAsia="宋体" w:hAnsi="Times New Roman" w:cs="Times New Roman"/>
              </w:rPr>
              <w:t>0.95</w:t>
            </w:r>
          </w:p>
        </w:tc>
      </w:tr>
      <w:tr w:rsidR="000B1CCE" w14:paraId="69309581"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657B1F12"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3F63DA51"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74BB3B07"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4DD46112"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9CCE2C"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059E57A3"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694C00A"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3397FF79" w14:textId="77777777" w:rsidR="000B1CCE" w:rsidRDefault="00000000">
            <w:pPr>
              <w:snapToGrid w:val="0"/>
              <w:spacing w:before="20" w:after="20"/>
              <w:jc w:val="center"/>
            </w:pPr>
            <w:r>
              <w:rPr>
                <w:rFonts w:ascii="Times New Roman" w:eastAsia="宋体" w:hAnsi="Times New Roman" w:cs="Times New Roman"/>
              </w:rPr>
              <w:t>0.95</w:t>
            </w:r>
          </w:p>
        </w:tc>
      </w:tr>
    </w:tbl>
    <w:p w14:paraId="07E459D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5E568C9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395CDC7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6271F35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3-60  </w:t>
      </w:r>
      <w:r>
        <w:rPr>
          <w:rFonts w:ascii="Times New Roman" w:eastAsia="黑体" w:hAnsi="Times New Roman" w:cs="Times New Roman"/>
        </w:rPr>
        <w:t>教师前测开放性回答三级编码表</w:t>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90F3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E3C77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69163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856BE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178890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16789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79D3B89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2BE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72EB57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99618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1E2CD8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979342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2EA905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5CE6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6911E26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6E28AB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295A15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7FEFD41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0C4FB2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3D074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314C2F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52D516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53D348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6B8C9C2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2358C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7DD2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3E07013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2DC6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3B46FD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2D6C006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66988D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77C5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50F039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2AE79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11A995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31DC2C3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14F7C3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83B85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294328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107033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3B85EC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1BBBF6C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2D5C2BA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112C3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2DD987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0D23C3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3017CF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C84CA9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752588B8"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402FBE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4187D2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12B64B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768C25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797769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3BFAECA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2455E5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3-61  </w:t>
      </w:r>
      <w:r>
        <w:rPr>
          <w:rFonts w:ascii="Times New Roman" w:eastAsia="黑体" w:hAnsi="Times New Roman" w:cs="Times New Roman"/>
        </w:rPr>
        <w:t>教师后测开放性回答三级编码表</w:t>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67E0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29D8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6171A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5288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2B441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C1940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912AB5A"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3109C2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5F4443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CD99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27552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49DF5D7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3CDA9B6F"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C4469D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79D6E9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1DA973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08C0A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631F24F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7AFDDDA8"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989BA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23C5B8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73493F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5C0776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25564E1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0D0A3B74"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82D5D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7F57D8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682C92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110370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4BFEE7A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04C4EEB4"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C978AA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3CB0489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51DDD4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461DA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7A074A9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7C4C15CA"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1206284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114367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61D39B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0DF9E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475AAA8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04142DA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DECDB0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529C2E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4CA383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37F31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03CDA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BA1D72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1528180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3E2E1B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09E9C8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68C9E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23B681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2F39B4D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AC8C0E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29D12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5ED95F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54367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7875E4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5A04361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3DAB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8D1BE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718341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536367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277F4EF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53DE66F9"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6E9BC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6A6980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6C6F6F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A1515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65E9C2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16214F8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427216A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3-62  </w:t>
      </w:r>
      <w:r>
        <w:rPr>
          <w:rFonts w:ascii="Times New Roman" w:eastAsia="黑体" w:hAnsi="Times New Roman" w:cs="Times New Roman"/>
        </w:rPr>
        <w:t>课堂评价工具内部一致性检验结果</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F1E8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D6BF7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204A5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75C716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5B4825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D9E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7DB7AA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0A03CE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4F03A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616711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CCE0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3C033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F900E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1478B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5629E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FD3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6EE9F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20CEF0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3DDDE9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801AB4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678A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6286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62E75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F6746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6E3C6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3B3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45C71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01E76A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260002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672D3BC"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45111F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3CFA0A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5F7BDA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2D8946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7E317A6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4B31E0F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3-63  </w:t>
      </w:r>
      <w:r>
        <w:rPr>
          <w:rFonts w:ascii="Times New Roman" w:eastAsia="黑体" w:hAnsi="Times New Roman" w:cs="Times New Roman"/>
        </w:rPr>
        <w:t>删除一级维度后的内部一致性检验</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8F4C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74BBE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8589A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57B99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490F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7CE324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30F23A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6D0497D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B8EB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22372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39C59C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510155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442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617F2A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667C7E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11F28F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E38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73F4D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5293FA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2A83C8E0"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17C0A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2EB22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03C4A8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1CBDF91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3-64  </w:t>
      </w:r>
      <w:r>
        <w:rPr>
          <w:rFonts w:ascii="Times New Roman" w:eastAsia="黑体" w:hAnsi="Times New Roman" w:cs="Times New Roman"/>
        </w:rPr>
        <w:t>各维度与其余四维总分的相关度</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4BE23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323CE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5783D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68EC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7EEEF4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6FB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0244FA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2B507C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49C754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1B7D23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2D2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505B9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656F90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041457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F42A42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D7B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F9C3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176FE7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B1D54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3DDCC0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A1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C0244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0E12D0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02C796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8C8E6AE"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58DDCD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50101B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150B3E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6B787F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1E46481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3844EC6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3-65  </w:t>
      </w:r>
      <w:r>
        <w:rPr>
          <w:rFonts w:ascii="Times New Roman" w:eastAsia="黑体" w:hAnsi="Times New Roman" w:cs="Times New Roman"/>
        </w:rPr>
        <w:t>课堂评价总分总体描述统计</w:t>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2DB3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233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68ACADF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13F3B9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80FF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3530391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39BC3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A7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3C8E3163"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160B44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4379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31866EA7"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6096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1BB82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0C53421"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0D4FD0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F395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5E9B0F37"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86DAB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324A11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7CF4F52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DA38D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068A26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5538AB7D"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5C6E2A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095677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7A17BD3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3-66  </w:t>
      </w:r>
      <w:r>
        <w:rPr>
          <w:rFonts w:ascii="Times New Roman" w:eastAsia="黑体" w:hAnsi="Times New Roman" w:cs="Times New Roman"/>
        </w:rPr>
        <w:t>课堂评价总分区间分布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45F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B594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9C0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6F629AE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60BDA4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B9C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553B1B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5793F1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61965E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6D394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B7C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5ECB57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39F29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2A6E86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44544E42"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48853F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3AEA6B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4E388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6A9DD7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714B184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68F082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1B45B2D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3-67  </w:t>
      </w:r>
      <w:r>
        <w:rPr>
          <w:rFonts w:ascii="Times New Roman" w:eastAsia="黑体" w:hAnsi="Times New Roman" w:cs="Times New Roman"/>
        </w:rPr>
        <w:t>五个评价维度的描述统计</w:t>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EB0D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7077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B3D0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962D3F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696EB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CA06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35EAAE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D032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60C2C6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5ECF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103B5D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0896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4314D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1F80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741D0D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9ACDE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17CE4F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73274A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5199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7468E4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7701DB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1D52A0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05D6BF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A8607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22EBFD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525A7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143A5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5A13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BB204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676D34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637D81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60CB2B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6D567E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2A32B2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5EC31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1A51E4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3091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313EC4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FF3A4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5100D4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27E8FB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2FF4ED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24E13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6840D5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7DB16303"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52B9D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D8008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73C0CC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466CBA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5445C6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13EA3D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1C55ED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8A3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9305F6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3-68  </w:t>
      </w:r>
      <w:r>
        <w:rPr>
          <w:rFonts w:ascii="Times New Roman" w:eastAsia="黑体" w:hAnsi="Times New Roman" w:cs="Times New Roman"/>
        </w:rPr>
        <w:t>五维重复测量整体差异检验</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A64669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C179A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165466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4B8B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20832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6B569C86"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5BA1BC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66D8F2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2BD6B9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6787A9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A78E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74BFBE4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7AF2D44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3-69  </w:t>
      </w:r>
      <w:r>
        <w:rPr>
          <w:rFonts w:ascii="Times New Roman" w:eastAsia="黑体" w:hAnsi="Times New Roman" w:cs="Times New Roman"/>
        </w:rPr>
        <w:t>五维两两比较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C75E3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7678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078D0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2E932B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C560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1333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00BB5A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68C8E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F755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518639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255FD7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62A2D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B7D2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01E0D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6BEDA0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6BC324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2A8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58E15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589F21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7A8D1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4AA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33566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52AB7B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AC7E0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684B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61979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A5645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098DA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10586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5C0E86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343C83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620930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02BB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AEAE7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0C7F4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848EC6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A302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9A36E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DD5A5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497D644"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0A2BC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2E2D4A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1A7EFC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20039EE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42A734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3-70  </w:t>
      </w:r>
      <w:r>
        <w:rPr>
          <w:rFonts w:ascii="Times New Roman" w:eastAsia="黑体" w:hAnsi="Times New Roman" w:cs="Times New Roman"/>
        </w:rPr>
        <w:t>不同学科课堂评价描述统计</w:t>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361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4837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96F49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3114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6E2C73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01A5B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3FD0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2D8E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95C0CB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7BE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DAA0C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2FBC98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713A4AF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645AB3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06B689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23CFA3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6FBE7A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AD710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6004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A005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4F051F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1289B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82A11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0ED67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7E9A80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083456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78FFC2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9B84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742865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CDA94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8E51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06DAA7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0D55AB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2AB39C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47894A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4B9A3D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C51B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52B764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60A1DD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CB34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44976A6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7FDA1D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6DBCE5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02CB8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0890F65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70CE7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3B64A2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1EC2F4B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832C6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0EFEBA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5D5497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11390E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54FCFD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3C4800E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3156D9A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3-71  </w:t>
      </w:r>
      <w:r>
        <w:rPr>
          <w:rFonts w:ascii="Times New Roman" w:eastAsia="黑体" w:hAnsi="Times New Roman" w:cs="Times New Roman"/>
        </w:rPr>
        <w:t>英语学科低分记录的敏感性描述</w:t>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8F00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4D08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05B16A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17FE56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8F40E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2C7268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7F7D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5FFC3B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6A7179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1E5783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1E5E8D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68479819"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3C2D7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3754BA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87E09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264808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46D83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1DA2F60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58D0430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3-72  </w:t>
      </w:r>
      <w:r>
        <w:rPr>
          <w:rFonts w:ascii="Times New Roman" w:eastAsia="黑体" w:hAnsi="Times New Roman" w:cs="Times New Roman"/>
        </w:rPr>
        <w:t>不同课例课堂评价得分及离散程度</w:t>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A80E2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34BB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C1381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3639E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D1B72F"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6D637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8C7F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4FCD7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FA4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E4D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9E2C1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7B173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44AF51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4CA8E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39C7E7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1260E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DAC9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E5E16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4AA0CF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1633A4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5649E5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6BF505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31D6A4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70F0BB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B510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7C2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47FA3F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6659D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1F8B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85A1B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73DC99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44B7F11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4CF9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A085B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DAB26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69E17C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A7D97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0F2F60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78C19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2A626F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A9DE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2BD02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7811B0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59A5B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622F0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457CEB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645BA1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1B781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6AE6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90950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656F8E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03C996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67A14A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31C37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337E9D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7636D7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D759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58FCA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78567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28D2F3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3FC474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EA3ECA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21B9F6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7CFEC19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EE7E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886A3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2C1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66A48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0B05D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19113E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459194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2B358AB4"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5455C2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790FCF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6E9FB7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00433F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2EE99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5350CC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5DCA0B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4016F36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252B9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3-73  </w:t>
      </w:r>
      <w:r>
        <w:rPr>
          <w:rFonts w:ascii="Times New Roman" w:eastAsia="黑体" w:hAnsi="Times New Roman" w:cs="Times New Roman"/>
        </w:rPr>
        <w:t>英语</w:t>
      </w:r>
      <w:r>
        <w:rPr>
          <w:rFonts w:ascii="Times New Roman" w:eastAsia="黑体" w:hAnsi="Times New Roman" w:cs="Times New Roman"/>
        </w:rPr>
        <w:t>1</w:t>
      </w:r>
      <w:r>
        <w:rPr>
          <w:rFonts w:ascii="Times New Roman" w:eastAsia="黑体" w:hAnsi="Times New Roman" w:cs="Times New Roman"/>
        </w:rPr>
        <w:t>课例的敏感性描述</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AF98E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D8910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380A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705E74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874A2B"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43A4B3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6638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7D9F42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61D97D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FBD4E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4C827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79F9A9E6"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2082DA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570CB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CDE4C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71FC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B68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79F7CC5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3FED853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596FC3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3-74  </w:t>
      </w:r>
      <w:r>
        <w:rPr>
          <w:rFonts w:ascii="Times New Roman" w:eastAsia="黑体" w:hAnsi="Times New Roman" w:cs="Times New Roman"/>
        </w:rPr>
        <w:t>教师开放式评语主题编码频次</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F9EE04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0FAC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627C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8EF7F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610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7A78B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05187D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8B1F5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CC6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55B7F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0C926E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5EA402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1ABA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327910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6982EB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04262C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01E9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4555B8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049932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594CA2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90BE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16FBA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4FCBD2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4D605B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F3D7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04B24A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46F202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695FEAF0"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04A76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24B58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638E69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1FC4D84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53A45CB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1D474C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3-75  </w:t>
      </w:r>
      <w:r>
        <w:rPr>
          <w:rFonts w:ascii="Times New Roman" w:eastAsia="黑体" w:hAnsi="Times New Roman" w:cs="Times New Roman"/>
        </w:rPr>
        <w:t>五维量化结构与开放文本的对应分析</w:t>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4C1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FD0DE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FDEE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B739A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2C70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43858353"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EDA24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1B9D7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18A10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58AE40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2FDCC5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740BEC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087DEE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62216D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37714F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110EBE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7E3BF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5DC60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118CB0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5D6E4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6B59F2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7F594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5356C2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428338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F1E69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0CBC3E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09F7EB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072517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4F845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3388E2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2564AA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113DE12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4377AE5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16731F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3-76  10</w:t>
      </w:r>
      <w:r>
        <w:rPr>
          <w:rFonts w:ascii="Times New Roman" w:eastAsia="黑体" w:hAnsi="Times New Roman" w:cs="Times New Roman"/>
        </w:rPr>
        <w:t>节课教师与学生行为结构及教师主要行为时间</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F5AB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C3F9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39087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737F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F9E9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4D0436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A2EE2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C1F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6D4628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3797F4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5B9061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322F4C6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B2A9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10C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79F19B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44D90C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55BC41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AE244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93EA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49C23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050D0A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605209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6356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7325AE8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7526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506D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1A89A1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2D0F70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44DA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6167DF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A514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3156F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486299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09A1D9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11298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2BFA8B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EFCB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25AC3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7F1553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703EB2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0579B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72D3D9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BD7B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11332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71E9FC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388F4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C8985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33E90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41F3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12800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66AC9C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06F4BC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F000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25F7B3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44A9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F1E45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474C22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4ED438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E783E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12ABF2A"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2ABB6C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734F1C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D097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FF2FB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17AC1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FF485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719712F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3-77  10</w:t>
      </w:r>
      <w:r>
        <w:rPr>
          <w:rFonts w:ascii="Times New Roman" w:eastAsia="黑体" w:hAnsi="Times New Roman" w:cs="Times New Roman"/>
        </w:rPr>
        <w:t>节课学生主要学习行为时间分布</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C0114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263D8C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808A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5BECB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951D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3D904F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634D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D97016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51E1A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EF2FA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4A8A7A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544B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45544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62654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77497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E9A1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E4A2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F85B8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A1A3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166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CC1F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6EFF5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EABCA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95B4C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15D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99A9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9DB70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2854E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5F277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4BCCB5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947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EAF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35C0C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D523A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AC51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1D88B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6CBC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1915E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0E325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551121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D3ABF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38224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7C8D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443C7E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FD64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3A4314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A686F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B5E75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CF77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C164D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E9752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3E5343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B4118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1986B4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1DB3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14784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FC0F6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48C1C7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D037A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35187E53"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5FCBBC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260AA5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017D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3A33F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7787F0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07B2FD1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3-78  </w:t>
      </w:r>
      <w:r>
        <w:rPr>
          <w:rFonts w:ascii="Times New Roman" w:eastAsia="黑体" w:hAnsi="Times New Roman" w:cs="Times New Roman"/>
        </w:rPr>
        <w:t>学生主要学习行为的描述统计</w:t>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A4F58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6C64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6608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626E0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423B87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349CF9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0ECE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00090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593AE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BC3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0179B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18C2882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20C6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57AE9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7595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A223E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3EC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15DA2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EF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3A463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48C0F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C4A2E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44D40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EF5FC0F"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6D0B12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5CD13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6209B9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A2087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3CF570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2DD3A82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45C32D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6BBEFE2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192840F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3-79  10</w:t>
      </w:r>
      <w:r>
        <w:rPr>
          <w:rFonts w:ascii="Times New Roman" w:eastAsia="黑体" w:hAnsi="Times New Roman" w:cs="Times New Roman"/>
        </w:rPr>
        <w:t>节课师生问答与学生讨论时间</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50D25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FA23D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20444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E853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2A0887A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592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33DF0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A3D79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336E50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5DCB4FC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48EF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1AE4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BCCC6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9D650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7401A4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BF91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F3630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CE716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08670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5F8694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1D0F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BE80A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FE1C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490B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66C3E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8A9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68AC1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1B1D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F5044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60592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779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21CF5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C0EE2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20EE4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1E1404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C1E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CDB7F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BB916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6A68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130E81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F44D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75B00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924AA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E9DB3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1F2D51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8C97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2A75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DF1B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0F2525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3F320496"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288F7E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23E51D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27A14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7121F7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CE6CA2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3FF385F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3-80  6</w:t>
      </w:r>
      <w:r>
        <w:rPr>
          <w:rFonts w:ascii="Times New Roman" w:eastAsia="黑体" w:hAnsi="Times New Roman" w:cs="Times New Roman"/>
        </w:rPr>
        <w:t>节课提问认知层级分布</w:t>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6812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8C3F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7E1D8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3F8C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FEF776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C56C3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D6194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93BC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4EE625B4"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44677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00004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BB770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772A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5A6C0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2920F8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0F49A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2E825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1224391"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E4150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AC64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3AD2B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5774A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6C7E15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C195B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7B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C2276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43EA9AB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A86D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2E6B1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723BE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143B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EFDB0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57188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F9D6A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51C90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465B473E"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1A3E9E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45E3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673D70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B1828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E096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AEB7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76B3A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7A314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0175B045"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36C8FE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7E3B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65C5B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02A1A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A3B72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5A9B0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9F198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466A9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0D6E9DE1"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1AF7F7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5CC5E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7C487D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04093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71282B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D08DF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4860D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725BA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67AB7AE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3896082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3-81  6</w:t>
      </w:r>
      <w:r>
        <w:rPr>
          <w:rFonts w:ascii="Times New Roman" w:eastAsia="黑体" w:hAnsi="Times New Roman" w:cs="Times New Roman"/>
        </w:rPr>
        <w:t>节课提问认知层级总体结构</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C3375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2E5AB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5B308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404414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0E49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4A1D1D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59F8FE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11F151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CD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49F476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42715C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4AAE5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C7BD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16AD69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15A7E2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5E83B9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328A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2CFC3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63DE3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6B8A81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E3F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667C74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F96E9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BFACB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4EB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40EF57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38FF7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DADEE1E"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1F6EE0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7BB002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2A6D49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5494C5D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10908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665B051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4CDF0C1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3-82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原始反馈文本编码示例</w:t>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E0765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28140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966F5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08A686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431D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59D45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4349FE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65ED93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8F93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5A1DC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43210C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2BB6B7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3856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1A67A7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158F0B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18655B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B543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3E3E4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8BDE7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48E5DC4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442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1E1C6C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4373B4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4730508F"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354094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0998F3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4BB058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238F4E8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3F16E9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00664C2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68155A3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16338CF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27385B0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03FCA3EA"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0E28F1E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127EEB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47D1FC5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6D048292"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0CE89F8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03639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41CC5B9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8"/>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12B436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3A756C5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66A2442B"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7A1E2452"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716463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3359C0B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5B7B2173"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1DBF1D1C"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19"/>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09FCB9A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60B4F4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48A6757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137A5FFD"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47CBC1AE"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58C1246E"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49F80A8"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61767B2"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AF2207B"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35D50273"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22B9622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6ED20A1F"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0ADB464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1923740D"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0027C5EF"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10E0FF93" w14:textId="77777777" w:rsidR="000B1CCE" w:rsidRDefault="00000000">
            <w:pPr>
              <w:spacing w:before="20" w:after="20"/>
              <w:jc w:val="center"/>
            </w:pPr>
            <w:r>
              <w:rPr>
                <w:rFonts w:ascii="Times New Roman" w:eastAsia="宋体" w:hAnsi="Times New Roman" w:cs="Times New Roman"/>
              </w:rPr>
              <w:t>0.940</w:t>
            </w:r>
          </w:p>
        </w:tc>
      </w:tr>
      <w:tr w:rsidR="000B1CCE" w14:paraId="61F89F2C"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3CF73968"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73622285"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6D33D0F"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40DA1BC6"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0A686508" w14:textId="77777777" w:rsidR="000B1CCE" w:rsidRDefault="00000000">
            <w:pPr>
              <w:spacing w:before="20" w:after="20"/>
              <w:jc w:val="center"/>
            </w:pPr>
            <w:r>
              <w:rPr>
                <w:rFonts w:ascii="Times New Roman" w:eastAsia="宋体" w:hAnsi="Times New Roman" w:cs="Times New Roman"/>
              </w:rPr>
              <w:t>0.852</w:t>
            </w:r>
          </w:p>
        </w:tc>
      </w:tr>
      <w:tr w:rsidR="000B1CCE" w14:paraId="767180E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19FF4ED3"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727FC772"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B13559A"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1FC7D215"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4FD34100" w14:textId="77777777" w:rsidR="000B1CCE" w:rsidRDefault="00000000">
            <w:pPr>
              <w:spacing w:before="20" w:after="20"/>
              <w:jc w:val="center"/>
            </w:pPr>
            <w:r>
              <w:rPr>
                <w:rFonts w:ascii="Times New Roman" w:eastAsia="宋体" w:hAnsi="Times New Roman" w:cs="Times New Roman"/>
              </w:rPr>
              <w:t>0.852</w:t>
            </w:r>
          </w:p>
        </w:tc>
      </w:tr>
      <w:tr w:rsidR="000B1CCE" w14:paraId="6F523824"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7B6A1672"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FEC0408"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C63810C"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605A708A"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89C4D68" w14:textId="77777777" w:rsidR="000B1CCE" w:rsidRDefault="00000000">
            <w:pPr>
              <w:spacing w:before="20" w:after="20"/>
              <w:jc w:val="center"/>
            </w:pPr>
            <w:r>
              <w:rPr>
                <w:rFonts w:ascii="Times New Roman" w:eastAsia="宋体" w:hAnsi="Times New Roman" w:cs="Times New Roman"/>
              </w:rPr>
              <w:t>0.852</w:t>
            </w:r>
          </w:p>
        </w:tc>
      </w:tr>
    </w:tbl>
    <w:p w14:paraId="4040A11C"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0A71758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7566CBF0"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3AAA336"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0"/>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01BA914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1CAE45D5"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64B9CBCD"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1"/>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2A71980B"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2AE7CA2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48C723B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22A8D0B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2A6894D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6A53CD11"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2335EE"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26D8B0EC"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2080FD2" w14:textId="77777777" w:rsidR="000B1CCE" w:rsidRDefault="00000000">
            <w:pPr>
              <w:spacing w:before="20" w:after="20"/>
              <w:jc w:val="center"/>
            </w:pPr>
            <w:r>
              <w:rPr>
                <w:rFonts w:ascii="Times New Roman" w:eastAsia="宋体" w:hAnsi="Times New Roman" w:cs="Times New Roman"/>
                <w:b/>
              </w:rPr>
              <w:t>主要证据</w:t>
            </w:r>
          </w:p>
        </w:tc>
      </w:tr>
      <w:tr w:rsidR="000B1CCE" w14:paraId="2E41B2C1"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2BEF06F4"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0BEA8933"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3F9E12BD"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18FDBCC0"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297364A4"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AE8A8D7"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5AA221F6"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27B5A909"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593ED82E"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5AF85305"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0395DFC1"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20740695"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7F22816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69CB4307"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5D75210"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1E2D42A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8FE2E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7E00D1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5F6FAF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415B6A5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6B0BB3D1"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3AFE50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陈唤春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高星原</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交往能力：中国青少年社会与情感能力测评分报告之五</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39(9), 93–108. https://doi.org/10.16382/j.cnki.1000-5560.2021.09.006</w:t>
      </w:r>
    </w:p>
    <w:p w14:paraId="496F07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义务教育课程方案（</w:t>
      </w:r>
      <w:r>
        <w:rPr>
          <w:rFonts w:ascii="Times New Roman" w:eastAsia="宋体" w:hAnsi="Times New Roman" w:cs="Times New Roman"/>
          <w:color w:val="000000"/>
          <w:kern w:val="0"/>
        </w:rPr>
        <w:t>2022</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北京师范大学出版社</w:t>
      </w:r>
      <w:r>
        <w:rPr>
          <w:rFonts w:ascii="Times New Roman" w:eastAsia="宋体" w:hAnsi="Times New Roman" w:cs="Times New Roman"/>
          <w:color w:val="000000"/>
          <w:kern w:val="0"/>
        </w:rPr>
        <w:t>.</w:t>
      </w:r>
    </w:p>
    <w:p w14:paraId="436CFAE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基础教育课程教学改革深化行动方案（教材厅函〔</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https://www.gov.cn/zhengce/zhengceku/202306/content_6884785.htm</w:t>
      </w:r>
    </w:p>
    <w:p w14:paraId="46E2FAB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w:t>
      </w:r>
      <w:r>
        <w:rPr>
          <w:rFonts w:ascii="Times New Roman" w:eastAsia="宋体" w:hAnsi="Times New Roman" w:cs="Times New Roman"/>
          <w:color w:val="000000"/>
          <w:kern w:val="0"/>
        </w:rPr>
        <w:t xml:space="preserve">. (2025). </w:t>
      </w:r>
      <w:r>
        <w:rPr>
          <w:rFonts w:ascii="Times New Roman" w:eastAsia="宋体" w:hAnsi="Times New Roman" w:cs="Times New Roman"/>
          <w:color w:val="000000"/>
          <w:kern w:val="0"/>
        </w:rPr>
        <w:t>中小学生成式人工智能使用指南（</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转引自中国新闻网</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w:t>
      </w:r>
      <w:r>
        <w:rPr>
          <w:rFonts w:ascii="Times New Roman" w:eastAsia="宋体" w:hAnsi="Times New Roman" w:cs="Times New Roman"/>
          <w:color w:val="000000"/>
          <w:kern w:val="0"/>
        </w:rPr>
        <w:t>5</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12</w:t>
      </w:r>
      <w:r>
        <w:rPr>
          <w:rFonts w:ascii="Times New Roman" w:eastAsia="宋体" w:hAnsi="Times New Roman" w:cs="Times New Roman"/>
          <w:color w:val="000000"/>
          <w:kern w:val="0"/>
        </w:rPr>
        <w:t>日报道</w:t>
      </w:r>
      <w:r>
        <w:rPr>
          <w:rFonts w:ascii="Times New Roman" w:eastAsia="宋体" w:hAnsi="Times New Roman" w:cs="Times New Roman"/>
          <w:color w:val="000000"/>
          <w:kern w:val="0"/>
        </w:rPr>
        <w:t>. https://www.chinanews.com.cn/cj/2025/05-12/10414191.shtml</w:t>
      </w:r>
    </w:p>
    <w:p w14:paraId="0CB9F7A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杨向东</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什么才是高阶思维？</w:t>
      </w:r>
      <w:r>
        <w:rPr>
          <w:rFonts w:ascii="Times New Roman" w:eastAsia="宋体" w:hAnsi="Times New Roman" w:cs="Times New Roman"/>
          <w:color w:val="000000"/>
          <w:kern w:val="0"/>
        </w:rPr>
        <w:t>——</w:t>
      </w:r>
      <w:r>
        <w:rPr>
          <w:rFonts w:ascii="Times New Roman" w:eastAsia="宋体" w:hAnsi="Times New Roman" w:cs="Times New Roman"/>
          <w:color w:val="000000"/>
          <w:kern w:val="0"/>
        </w:rPr>
        <w:t>以</w:t>
      </w:r>
      <w:r>
        <w:rPr>
          <w:rFonts w:ascii="Times New Roman" w:eastAsia="宋体" w:hAnsi="Times New Roman" w:cs="Times New Roman"/>
          <w:color w:val="000000"/>
          <w:kern w:val="0"/>
        </w:rPr>
        <w:t>“</w:t>
      </w:r>
      <w:r>
        <w:rPr>
          <w:rFonts w:ascii="Times New Roman" w:eastAsia="宋体" w:hAnsi="Times New Roman" w:cs="Times New Roman"/>
          <w:color w:val="000000"/>
          <w:kern w:val="0"/>
        </w:rPr>
        <w:t>新旧知识关系建立</w:t>
      </w:r>
      <w:r>
        <w:rPr>
          <w:rFonts w:ascii="Times New Roman" w:eastAsia="宋体" w:hAnsi="Times New Roman" w:cs="Times New Roman"/>
          <w:color w:val="000000"/>
          <w:kern w:val="0"/>
        </w:rPr>
        <w:t>”</w:t>
      </w:r>
      <w:r>
        <w:rPr>
          <w:rFonts w:ascii="Times New Roman" w:eastAsia="宋体" w:hAnsi="Times New Roman" w:cs="Times New Roman"/>
          <w:color w:val="000000"/>
          <w:kern w:val="0"/>
        </w:rPr>
        <w:t>为核心的高阶思维概念框架</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40(11), 58–68. https://doi.org/10.16382/j.cnki.1000-5560.2022.11.005</w:t>
      </w:r>
    </w:p>
    <w:p w14:paraId="555FB1F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(2019a). </w:t>
      </w:r>
      <w:r>
        <w:rPr>
          <w:rFonts w:ascii="Times New Roman" w:eastAsia="宋体" w:hAnsi="Times New Roman" w:cs="Times New Roman"/>
          <w:color w:val="000000"/>
          <w:kern w:val="0"/>
        </w:rPr>
        <w:t>上海市初中学业水平考试实施办法（沪教委规〔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2</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533A3B5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(2019b). </w:t>
      </w:r>
      <w:r>
        <w:rPr>
          <w:rFonts w:ascii="Times New Roman" w:eastAsia="宋体" w:hAnsi="Times New Roman" w:cs="Times New Roman"/>
          <w:color w:val="000000"/>
          <w:kern w:val="0"/>
        </w:rPr>
        <w:t>上海市初中学生综合素质评价实施办法（沪教委规〔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7C02B1A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上海市普通高中课程实施方案</w:t>
      </w:r>
      <w:r>
        <w:rPr>
          <w:rFonts w:ascii="Times New Roman" w:eastAsia="宋体" w:hAnsi="Times New Roman" w:cs="Times New Roman"/>
          <w:color w:val="000000"/>
          <w:kern w:val="0"/>
        </w:rPr>
        <w:t>.</w:t>
      </w:r>
    </w:p>
    <w:p w14:paraId="0E66069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lastRenderedPageBreak/>
        <w:t>上海市教育委员会</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关于实施项目化学习推动义务教育育人方式改革的指导意见（沪教委基〔</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24</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https://edu.sh.gov.cn/xxgk2_zdgz_jcjy_01/20230901/d22c1043024d4d0e9d32b85fd3392186.html</w:t>
      </w:r>
    </w:p>
    <w:p w14:paraId="7B18C9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w:t>
      </w:r>
      <w:r>
        <w:rPr>
          <w:rFonts w:ascii="Times New Roman" w:eastAsia="宋体" w:hAnsi="Times New Roman" w:cs="Times New Roman"/>
          <w:color w:val="000000"/>
          <w:kern w:val="0"/>
        </w:rPr>
        <w:t>. (2025, 1</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14</w:t>
      </w:r>
      <w:r>
        <w:rPr>
          <w:rFonts w:ascii="Times New Roman" w:eastAsia="宋体" w:hAnsi="Times New Roman" w:cs="Times New Roman"/>
          <w:color w:val="000000"/>
          <w:kern w:val="0"/>
        </w:rPr>
        <w:t>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素养立意的课程建设与教学变革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中国教育在线</w:t>
      </w:r>
      <w:r>
        <w:rPr>
          <w:rFonts w:ascii="Times New Roman" w:eastAsia="宋体" w:hAnsi="Times New Roman" w:cs="Times New Roman"/>
          <w:color w:val="000000"/>
          <w:kern w:val="0"/>
        </w:rPr>
        <w:t>. https://www.eol.cn/news/xueshu/hui/202501/t20250114_2651182.shtml</w:t>
      </w:r>
    </w:p>
    <w:p w14:paraId="00E494B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王翔宇</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张静</w:t>
      </w:r>
      <w:r>
        <w:rPr>
          <w:rFonts w:ascii="Times New Roman" w:eastAsia="宋体" w:hAnsi="Times New Roman" w:cs="Times New Roman"/>
          <w:color w:val="000000"/>
          <w:kern w:val="0"/>
        </w:rPr>
        <w:t xml:space="preserve">. (2024). </w:t>
      </w:r>
      <w:r>
        <w:rPr>
          <w:rFonts w:ascii="Times New Roman" w:eastAsia="宋体" w:hAnsi="Times New Roman" w:cs="Times New Roman"/>
          <w:color w:val="000000"/>
          <w:kern w:val="0"/>
        </w:rPr>
        <w:t>中国青少年社会与情感能力发展水平报告</w:t>
      </w:r>
      <w:r>
        <w:rPr>
          <w:rFonts w:ascii="Times New Roman" w:eastAsia="宋体" w:hAnsi="Times New Roman" w:cs="Times New Roman"/>
          <w:color w:val="000000"/>
          <w:kern w:val="0"/>
        </w:rPr>
        <w:t>——</w:t>
      </w:r>
      <w:r>
        <w:rPr>
          <w:rFonts w:ascii="Times New Roman" w:eastAsia="宋体" w:hAnsi="Times New Roman" w:cs="Times New Roman"/>
          <w:color w:val="000000"/>
          <w:kern w:val="0"/>
        </w:rPr>
        <w:t>基于第二轮</w:t>
      </w:r>
      <w:r>
        <w:rPr>
          <w:rFonts w:ascii="Times New Roman" w:eastAsia="宋体" w:hAnsi="Times New Roman" w:cs="Times New Roman"/>
          <w:color w:val="000000"/>
          <w:kern w:val="0"/>
        </w:rPr>
        <w:t>SSES</w:t>
      </w:r>
      <w:r>
        <w:rPr>
          <w:rFonts w:ascii="Times New Roman" w:eastAsia="宋体" w:hAnsi="Times New Roman" w:cs="Times New Roman"/>
          <w:color w:val="000000"/>
          <w:kern w:val="0"/>
        </w:rPr>
        <w:t>测评数据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42(5), 1–32. https://doi.org/10.16382/j.cnki.1000-5560.2024.05.001</w:t>
      </w:r>
    </w:p>
    <w:p w14:paraId="5C2915E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国务院</w:t>
      </w:r>
      <w:r>
        <w:rPr>
          <w:rFonts w:ascii="Times New Roman" w:eastAsia="宋体" w:hAnsi="Times New Roman" w:cs="Times New Roman"/>
          <w:color w:val="000000"/>
          <w:kern w:val="0"/>
        </w:rPr>
        <w:t xml:space="preserve">. (2020). </w:t>
      </w:r>
      <w:r>
        <w:rPr>
          <w:rFonts w:ascii="Times New Roman" w:eastAsia="宋体" w:hAnsi="Times New Roman" w:cs="Times New Roman"/>
          <w:color w:val="000000"/>
          <w:kern w:val="0"/>
        </w:rPr>
        <w:t>深化新时代教育评价改革总体方案</w:t>
      </w:r>
      <w:r>
        <w:rPr>
          <w:rFonts w:ascii="Times New Roman" w:eastAsia="宋体" w:hAnsi="Times New Roman" w:cs="Times New Roman"/>
          <w:color w:val="000000"/>
          <w:kern w:val="0"/>
        </w:rPr>
        <w:t>. https://www.gov.cn/zhengce/2020-10/13/content_5551032.htm</w:t>
      </w:r>
    </w:p>
    <w:p w14:paraId="2F3A235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6469F56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FF755F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5EAAB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572B212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2CA2E9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00F2E5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0161291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0772F1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5F9A9D0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4985F8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338E4AF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74DE81D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1727804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6170EA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43E4E25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3ECD3AD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2572C4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4549DE3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3DDF59B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3C82C5D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7FEC673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2B40F6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76437C1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15FCA89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18DC9D1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62828A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5142E2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323B207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158C1E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6513AAD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3E8EA1F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00E998F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1C9D1F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52C2FCE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1D6E498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2B06D8F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40BD71C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3EC31CD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5E3712E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01DC8F0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0568672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149E19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5A6044F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3A42147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1417AFA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6BB9BF9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4FF86A6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0817148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787BB6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6E72A5"/>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136</Pages>
  <Words>18587</Words>
  <Characters>105946</Characters>
  <Application>Microsoft Office Word</Application>
  <DocSecurity>0</DocSecurity>
  <Lines>882</Lines>
  <Paragraphs>248</Paragraphs>
  <ScaleCrop>false</ScaleCrop>
  <Company/>
  <LinksUpToDate>false</LinksUpToDate>
  <CharactersWithSpaces>124285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3</cp:revision>
  <dcterms:created xsi:type="dcterms:W3CDTF">2026-10-11T12:17:00Z</dcterms:created>
  <dcterms:modified xsi:type="dcterms:W3CDTF">2026-10-11T14:56:00Z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