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我国基础教育课程改革的方向日益明确，即由以知识传授为主转向以核心素养为导向，使学生能够在真实情境中综合运用知识分析和解决问题。2022年发布的《义务教育课程方案（2022年版）》要求各门课程把本课程应着力培养的核心素养具体化，设立跨学科主题学习活动，加强学科之间的关联，原则上各门课程用不少于10%的课时设计跨学科主题学习（教育部，2022）。这一要求意味着，学生不仅要掌握分科知识，还要学会在复杂问题面前调动不同学科的知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2023）。《深化新时代教育评价改革总体方案》此前也提出改进结果评价、强化过程评价、探索增值评价、健全综合评价（中共中央、国务院，2020）。</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2.上海基础教育改革为高阶能力培育提供了制度环境和实践要求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在推进新课程新教材实施方面起步较早。上海市教育委员会印发了普通高中和义务教育阶段的课程实施方案（上海市教育委员会，2021），研制新课程新教材实施研究与实践项目指南，通过项目招标推动各区和学校开展行动研究，并在市、区两级建立了520多个监测点；科创教育方面，已研发近40门小学、初中、高中贯通的科创课程，在200余所中小学实施（杨振峰，2025）。上海的课程改革已经从文件层面进入学校日常教学和持续研究的层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2023年，上海市教育委员会印发关于实施项目化学习推动义务教育育人方式改革的指导意见，提出2023年全面启动项目化学习，2024年力争覆盖义务教育阶段所有学校，2026年实现义务教育学校常态化实施（上海市教育委员会，2023）。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的研究周期为2023年11月至2026年10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考试评价改革同样引导学校关注学生综合运用知识的能力。初中学业水平考试的综合测试包括物理试题、化学试题和满分15分的跨学科案例分析题（上海市教育委员会，2019a）；初中学生综合素质评价设有创新精神与实践能力板块，重点记录学生参加探究学习、科技活动等方面的过程和成果（上海市教育委员会，2019b）。对一所上海初高中学校而言，学生能否在真实、复杂的问题中分析判断、提出方案并与人合作，已经成为课程、教学和评价共同关注的内容，学校需要找到在日常课堂和科创活动中系统培养这些能力的办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3.人工智能的普及使独立思考和判断变得更加重要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2025年发布的《中小学生成式人工智能使用指南（2025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证据也表明，技术本身不会自动提升学生的思维水平。综合29项实验和准实验研究的元分析发现，生成式人工智能总体上能够中等程度地促进学生的高阶思维，但获益在学生之间差异很大，自我调节能力较强的学生提升明显，自我调节能力较弱的学生往往直接照搬答案，提升有限（Zhao et al., 2025）。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Chen &amp; Cheung, 2025）。技术越普及，学校越需要通过任务设计、追问引导和反馈，帮助学生在使用技术时保持独立判断（Li et al., 2026; Wu et al., 2025）。</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4.课堂中高阶学习是否真正发生难以仅凭活动和考试结果判断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和教师普遍认同高阶能力培养的重要性，课堂中也越来越重视问题设计、合作学习、探究活动和学生参与。然而，课堂上出现了活动，并不等于学生在进行高阶学习。学生参加讨论、完成任务，只能说明学习行为已经发生，不能直接说明学生在分析问题、比较观点、形成判断，或者与同伴共同建构了新的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Abrami et al., 2015）。合作学习之所以能够促进高阶思维，在于学生需要向同伴解释概念、回应质疑并整合不同意见（Güngör et al., 2026）；如果小组任务没有分工、不要求说明理由，也没有反思环节，讨论就容易沦为简单的信息交换，甚至只是少数学生发言、多数学生旁听。</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Lei et al., 2026）。如果只看考试结果，可能会低估学生在学习过程中已经发生的变化，也难以判断教学究竟在哪个环节起了作用。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可见的学习理论正是针对这一问题提出的。该理论主张教师让学生清楚学习要到达哪里、当前处在什么位置以及下一步如何改进，并依据学生在课堂上留下的真实表现判断教学是否真正产生了影响（Hattie, 2005）。如何把这一主张转化为能够识别和支持高阶能力的具体课堂做法，是当前课堂教学改革需要解决的现实问题。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5.学校已有实践需要由零散探索走向系统推进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际研究也指出了类似问题。基于新西兰学校的研究发现，教师们常常交流教学活动和学生故事，却很少讨论学生的理解达到了什么水平、任务的挑战程度是否合适，教师之间对学业进阶缺乏共同理解，可能是阻碍学生学习改进的最大瓶颈（Hattie, 2005, p. 14）。对本校而言，推进高阶能力培育不仅需要好的课例，还需要不同学科的教师在培养什么能力、能力发展分为几个层次、依据什么判断学生进步等问题上形成共同的语言。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CNKI）以高阶能力为主题进行检索，共获得相关文献470篇，经筛选剔除与研究主题关联度较低或内容明显不相干的文献后，保留108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图1-1  高阶能力（主题）发文量变化趋势图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中国知网计量可视化分析的结果显示，国内关于高阶能力的研究总体呈波动上升趋势。2004—2017年相关研究数量较少，2018年以后逐渐增加，2020—2021年出现较明显增长，2023年以来再次升温，2025年达到阶段性高点。2026年目前检索到16篇，由于年度尚未结束，不能据此判断研究热度下降。</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1）高阶能力的内涵与结构</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Hughes, 2014）。分析、评价和创造通常被视为较高层次的认知活动，构成高阶思维最常见的操作性含义。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层级划分并不能完整刻画高阶思维的性质。Resnick将高阶思维界定为非算法性的、需要心智努力并涉及自我调节的复杂认知过程，其特征在于往往存在多种解法，或需要在不确定条件下作出审慎判断（Resnick, 1987, as cited in Güngör et al., 2026）。当代实证研究通常将高阶思维操作化为问题解决、元认知、批判性思维、协作和创造力五个成分（Ünal et al., 2026）。这一取向把高阶思维从静态的目标层级拓展为在劣构情境中展开的动态加工过程。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Facione, 1990, as cited in Hughes, 2014）。创造力被界定为在特定情境中生成兼具新颖性和适切性的观念、方案或产品的能力（Runco et al., 2026），针对大学生的多层元分析表明，创造力能够通过系统训练得到显著提升（Guo et al., 2025）。国内研究进一步指出，高阶思维的核心在于新旧知识关系的建立，其概念框架包括问题情境分析、新旧知识关系建立、多维信息综合、创新性知识生成以及对思维过程的监控与调节五个成分（马淑风，杨向东，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Park et al., 2026）。这一发现提示，高阶思维的各个成分在真实任务中往往同时被调用，将分析、评价和创造置于同一学习过程中加以培养，比孤立训练某一成分更符合高阶思维的实际运作方式。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社会情感能力逐渐被纳入高阶能力的讨论范围。经济合作与发展组织（Organisation for Economic Co-operation and Development, OECD）开展的社会与情感能力调查（Survey on Social and Emotional Skills, SSES）从任务能力、情绪调节、协作能力、开放能力和交往能力五个领域考察青少年的社会情感发展（OECD, 2021）；学术、社会与情感学习协作组织（Collaborative for Academic, Social, and Emotional Learning, CASEL）提出自我意识、自我管理、社会意识、人际关系技能和负责任决策五个领域（CASEL, 2020）。元分析表明，系统实施的校本社会情感学习能够改善学生的社会情感技能、日常行为和学业成绩（Durlak et al.,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学者参与SSES测评，提供了与本课题关系密切的本土证据。基于济南市10岁和15岁学生的第二轮测评数据显示，10岁组在全部16项社会与情感能力上的得分均高于15岁组，15岁组女生在责任感、共情和包容度上得分高于男生，情绪控制和抗压力与学业焦虑关系最为密切，成就动机、毅力和好奇心与语文、数学和艺术成绩相关（袁振国等，2024）。基于苏州市数据的研究发现，交往能力与其他社会与情感能力之间存在中等程度的相关，并受同伴关系、家庭背景、教师和学校因素的影响（黄忠敬等，2021）。上述结果表明，社会情感能力在中学阶段并不随年龄增长自然提高，学校层面的有意识培养具有必要性。也有研究提醒，将深受文化影响的共情、情绪等品质转化为统一分数进行跨情境比较，存在标准化和简化的风险（Steiner-Khamsi et al., 2024）。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总体而言，高阶能力的内涵经历了由认知层级划分到思维过程刻画、再到认知与社会情感综合发展的演变。学生在完成复杂任务时既需要分析、评价和创造，也需要承担责任、调节情绪、与人合作并保持开放，这为本课题从高阶思维能力与高阶社会情感能力两个方面界定中学生高阶能力提供了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2）高阶能力的发展条件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现有证据较为一致地表明，高阶能力不会随知识难度的提高而自然形成，其发展依赖特定的教学条件。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Abrami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Güngör et al., 2026）。图形组织器对高阶思维同样具有显著的促进作用，其中思维导图的效果最强，概念图由于结构复杂、绘制负担较重，效果相对较弱（Lei et al., 2026）。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再次，探究活动需要适度的教学指导，并受学生先备知识的调节。证据综述表明，有指导的探究在概念理解和知识迁移上整体优于直接讲授，无指导的发现学习效果较差；过程约束、启发提示、过程反馈和适时讲解等不同形式的指导效果相近，先备知识薄弱的学生从指导中获益更多（De Jong et al., 2023）。对高等教育研究的综合也显示，学生尚未掌握必要基础知识时，问题导向学习的效果较差，教学设计需要先判断学生是否具备开展复杂探究的知识基础（Hattie,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指导的设计还需要避免过载。同时向学习者提供多种相互重叠的外部支架，并不会产生叠加效应，反而可能分散注意力、增加无关认知负荷而相互抵消（De Jong et al., 2023）。从学习者一方看，促成深层学习至少需要四个条件，即学生清楚目标及其在评价中的体现，感到达成目标确有必要，能够在没有过度考试压力的情况下专注于任务，并能通过与同伴和教师的合作对话不断塑造和深化理解（Biggs, 1999）。这些条件说明，高阶能力的发展既取决于任务和支架的设计，也取决于课堂中的目标信号、评价方式和互动氛围。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最后，支架需要逐步撤除，评价需要与目标保持一致。若在学生已能独立完成任务后仍长期提供支架，学生容易形成依赖并跳过自主思考、比较和检查的环节（Zhao et al., 2025）。学生采取深层还是表层的学习取向，在很大程度上取决于教学和评价所释放的信号，课程宣称重视理解而考试只奖励复述时，学生会理性地选择记忆策略，只有课程目标、学习活动和评价任务指向同一种能力，深层学习才具有必要性（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3）高阶能力的学科依存性与情境性</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Hughes, 2014）。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Cole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2023）。对本课题而言，高阶能力培育既需要跨学科共享的能力目标，又需要在语文、数学、物理、英语等学科以及科创项目中形成各自的实践方式，不宜以统一流程机械套用于所有课堂。</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4）高阶能力的评价</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由抽象概念转化为课堂中需要培养的复杂表现，如何判断高阶能力是否真正发生成为研究重点。评价面临的第一个难题是构念覆盖不足。对知识论课程评价标准的分析表明，其目标与评分描述能够考查观点比较、清晰论证和联系现实等内容，却未系统要求批判性阅读、来源评价、推论、假设检验和创造等成分，课程各层级之间的内部一致并不等于评价完整表征了批判性思维（Hughes, 2014）。第二个难题是教师缺乏判断依据，对国际文凭学校教师的调查显示，评估学生批判性思维的进步是教师认为最困难的工作（Bergeron &amp; Rogers,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形成性评价为应对上述难题提供了思路。过早给出终结性分数会促使学生追求唯一正确答案而回避智识风险，低利害的多轮练习与修订以及描述性反馈，更有利于学生提出新颖假设并审慎修正论证（Bouckaert, 2023）。学习结果结构分类（Structure of the Observed Learning Outcome, SOLO）依据学生回答的结构复杂程度，将理解水平划分为前结构、单点结构、多点结构、关联结构和拓展抽象五个层次，后两个层次对应整合多方面信息并迁移至新问题的能力，为观察思维质量提供了表现性参照（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教师对评价功能的理解同样影响评价能否服务于学习。基于新西兰教师的研究区分了四种评价观，即把评价视为改进教学的依据、视为学校问责的工具、视为对学生的问责以及视为与教学无关，持有后几种观念的教师更可能排斥可靠的评价数据，难以将其转化为调整教学的线索（Hattie, 2005, p. 17）。这意味着，高阶能力评价的改进不仅是工具问题，也涉及教师如何理解评价结果的意义。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评价还需警惕单一证据的局限。元分析显示，创造力与批判性思维均采用自陈量表测量时，二者的相关明显高于均采用任务表现测量时，表明共享测量方法会放大构念之间的观察相关（Park et al., 2026）。学习分析技术扩大了可观察的范围，但仪表盘以颜色、进度条等形式给出的直观判断，可能先于并替代教师对学生学习的专业解释（Jornitz &amp; Klinge, 2022）。因此，高阶能力评价需要综合问卷、作品、课堂表现和教师判断等多种证据，并明确每类证据所能支持的推断范围。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5）数智技术对高阶能力发展的影响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生成式人工智能进入教育领域后，其究竟促进还是替代学生思考成为新的研究问题，现有证据表明答案取决于使用方式。元分析发现，生成式人工智能对问题解决和批判性思维的促进作用较为明显，对创造力的促进作用相对较小，研究者认为这与模型倾向于输出常规答案、学生直接采用后难以产生新颖构想有关；干预周期呈倒U型，8至16周效果最佳，周期过短学生尚处适应阶段，周期过长则容易产生依赖和倦怠（Zhao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高等教育中ChatGPT使用的系统综述，分析了34项同时考察批判性思维和创造性思维的研究。其中约53%的研究发现两类思维同步提升，约24%的研究发现学生的构想数量增加而辨别信息、严谨论证的能力减弱，约12%的研究发现两类思维同时下降，差异主要取决于教学中是否嵌入了依据评价量规检查人工智能输出、对答案持续追问和同伴互审等反思环节（Li et al., 2026）。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u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Liu et al., 2026）。反馈研究建议，要求学生将人工智能生成的反馈与同伴意见、教师指导和优秀范例进行比较，并说明采纳或拒绝每条建议的理由，可以使技术反馈成为学生判断的素材而非替代（Du &amp; Yuan, 2026）。数智技术并未降低高阶能力的重要性，反而对学习设计以及判断学生是否真正进行思考提出了更高要求。</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以可见的学习为关键词进行检索，并统计了相关文献的年度发文情况。国内相关研究总体呈波动上升趋势，早期成果较少，2018年以后发文量逐步增加，2022年以来增长较为明显，2025年达到阶段性高点。2026年的数据尚在统计过程中，不能据此判断研究热度下降。</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  可见的学习（主题）发文量变化趋势图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1）可见的学习的基本主张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可见的学习是新西兰学者John Hattie基于大规模教育证据综合提出的理论框架。该框架通过汇总大量元分析比较不同教育因素对学业成绩的影响，发现几乎所有教学干预都能带来一定进步，其平均效应约为0.40个标准差，大致相当于学生一年自然成熟与常规教学效果之和，据此主张判断一项干预是否值得推广的标准应在于其能否带来高于平均水平的增益，而不是简单判断其是否有效（Hattie, 2005）。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在成就差异的来源上，该研究认为学生自身因素约占一半，教师约占30%，家庭、学校和同伴各占5%至10%，教师是学校系统内部可调控的最大因素（Hattie, 2005）。由此，测验结果的意义被重新界定，它不仅用于判断学生的水平，更应被教师用来检验自身教学是否奏效，学生未能掌握的内容构成教师调整后续教学的线索（Hattie, 2005）。可见的学习的核心含义正在于此，即教师能够看见自身教学对学生学习的影响，学生能够看见自己的学习进展并逐步成为自身学习的主导者。</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一主张也体现在对评价制度的看法上。该研究反对以惩罚性的高利害统考作为改进学校的主要手段，认为外部测验若只用于排名和问责，容易窄化课程并引发教师对数据的抵触；新西兰开发的教学与学习评估工具（Assessment Tools for Teaching and Learning, asTTle）则以课程锚定的诊断性测评为教师提供学生所处进阶位置的信息，并配合多时点追踪，使评价结果能够及时转化为调整教学的依据（Hattie, 2005）。由此可见，可见的学习所说的证据，首先是服务于教师专业判断的形成性证据。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2）可见的学习的运行机制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课堂中主要通过学习意图、成功标准、学业进阶和反馈四个相互关联的要素运行。学习意图明确学生需要理解和掌握的内容。研究发现，许多学生并不了解任务背后的学习目的，常把篇幅长、字迹工整、没有拼写错误等形式特征当作优秀的标准，学习意图明确之后，学生的注意力才会转向知识背后的因果与结构关系（Hattie, 2005, p. 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成功标准规定达到学习目标的具体证据，并可分阶段设置。在一个关于毛利人历史的单元中，第3周的标准要求学生准确描述1820年至1920年毛利人口的变化趋势，单元结束时的标准则要求学生解释殖民带来的疾病如何导致人口急剧下降，并推测类似事件对其他原住民群体的影响（Hattie, 2005, p. 17）。分阶段的成功标准使学生能够看到自身理解逐步加深的过程，并据此开展自我监控。</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业进阶是对学生在特定领域由浅入深发展过程的共同描述。教师之间缺乏对学业进阶的共同理解，被认为是制约学习改进的关键瓶颈，共同的进阶语言使不同年级和不同教师能够以同一标尺判断学生所处的位置和下一步方向（Hattie, 2005, p. 14）。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反馈围绕学习要到达哪里、当前处于什么位置、下一步如何推进三个问题展开，把目标、当前表现和后续行动连接起来（Hattie, 2005, p. 15）。反馈具有双向性，学生的作业、提问和错误同样是教师判断教学效果的信息来源。有研究者进一步主张将学校建设为持续追问下一步方向的反馈文化，使反馈由一项教学技术转变为学校的工作方式（Fredens, 2015）。课堂观察研究则发现，教师往往难以觉察课堂中正在发生的大部分事情，教师自认为讲授仅占课堂时间的二至三成，实际测量却达到七至八成（Knudsen, 2017），这说明教师需要借助证据而非仅凭感觉来了解课堂。反馈的效果还取决于学习者的反馈素养，即理解反馈、判断其合理性、调节面对批评时的情绪并将建议转化为改进行动的能力（Carless &amp; Boud, 2018, as cited in Du &amp; Yuan, 2026）。</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3）可见的学习对教师和学校的要求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Hattie后来进一步提出，决定教学质量的关键与其说在于教师采用了何种方法，不如说在于教师如何理解自身的角色（Hattie, 2015）。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Hattie,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教师的专业判断需要学校组织的支持。对教师专业发展文献的综合表明，许多外部培训成效有限，原因在于脱离了对学生实际学习结果的考察，有效的专业学习共同体应以学生的实际学习进步为成功标准，并开展去私密化的课堂观摩、基于证据的反思性对话和深度协作（Hattie, 2005）。关于教育证据使用的研究也发现，学校在日常排课中为教师保留专门的研讨时间，教师才能在互信的氛围中提出疑问、研读研究并结合班级学情设计教学尝试，研究证据也更可能真正进入课堂（Rickinson et al., 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Edovald &amp; Nevill, 2021）。另一方面，将课例研究作为教师共同检验教学方案的正式机制，有助于把教师自身的探究与外部研究证据结合起来（Brown &amp; Greany, 2018）。教研活动的关键在于是否聚焦学生真实的学习表现，并在多轮实践中检验改进是否有效。</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4）关于可见的学习的学术争议与本研究的使用立场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可见的学习在国际上影响广泛，同时也受到持续的学术批评。厘清这些批评，有助于明确本研究应在何种意义上使用该理论。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第一类批评针对以效应量对教学因素进行排序的做法。0.40的关节点缺乏充分依据，对不同研究结果的简单平均会掩盖重要差异，例如家庭作业对小学生几乎没有效果，对中学生的效果却较为明显（Snook et al., 2009）。对二级元分析方法的系统检验发现，原始研究被重复计算、加权方式不一致等问题较为普遍，在一个案例中按正确方法重新计算后，基于网络的学习的效应量由0.59降至0.23，排名由第26位降至第98位，据此按效应量进行排序具有误导性（Wecker et al., 2016）。数值示例还表明，同一组数据采用不同公式计算效应量，可能得出完全相反的排序（Bergeron &amp; Rivard, 2017）；大量元分析的层层汇总也会导致原始研究中的具体信息丢失或被扭曲（Terhart,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批评针对核心概念的边界。以反馈为例，支撑反馈具有高影响力这一结论的5项主要元分析中，只有1项研究的是与其定义一致的反馈干预，该研究显示反馈的平均效果并不突出，且约38%的反馈干预降低了学生表现，其余研究涉及的则是奖励强化、教师亲和力等不同现象（Nielsen &amp; Klitmøller, 2021）。元分析所依据的多为标准化考试成绩，偏重表层知识，对深层理解和批判性思维的反映有限（Qvortrup, 2015）。这些批评表明，反馈发挥作用需要具体指向任务和改进方法，并被学生理解和使用。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第三类批评针对理论在实践中的使用方式。若行政部门把可见的学习转化为以高效应量方法清单考核教师的工具，会削弱教师依据具体情境作出专业判断的能力（Eacott, 2019）。对英格兰、苏格兰和德国学校的比较研究发现，苏格兰校长面对此类流行理念时并不直接照搬，而是组织教师在本校课堂中开展实践者探究，检验其对本校学生的适切性，德国部分学校则将相关著作作为教师小组研读和讨论的参考（Kelly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上述讨论，本研究对可见的学习采取有限而明确的使用立场。本研究不以效应量排名选择教学方法，也不以0.40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可见的学习与高阶能力培育的结合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本课题选择可见的学习作为研究视角的主要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已有研究从多个方面为二者的结合提供了依据。在目标层面，课程与评价只有完整覆盖批判性思维的各个成分，才能真正支持其发展（Hughes, 2014），这与可见的学习关于明确学习意图和成功标准的主张一致，意味着高阶能力目标需要被具体描述为学生可以理解、教师可以观察的表现。在过程层面，结构化对话（Abrami et al., 2015）、合作中的相互解释与质疑（Güngör et al., 2026）以及以图形呈现思路（Lei et al., 2026），都是使学生思考过程外显的方式，也正是可见的学习所强调的使学习对教师可见。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在反馈层面，低利害、多轮修订和描述性的形成性反馈有利于批判性思维和创造力的发展（Bouckaert, 2023），要求学生比较多源反馈并说明采纳理由则有助于其在人工智能环境中保持独立判断（Du &amp; Yuan, 2026），这与可见的学习关于反馈三问和反馈文化的主张相互印证。在教师层面，可见的学习要求教师依据学生学习证据进行诊断、干预和评估（Hattie, 2015），而高阶能力研究反复表明，同一种教学方法在不同学生和情境中的效果差异显著（De Jong et al., 2023; Zhao et al., 2025），这恰恰需要教师依据证据作出判断，而非照搬固定模式。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Hattie, 2005; Rickinson et al., 2022）。苏格兰学校以实践者探究方式检验外部理念的经验也表明，学校对外部理论的吸收需要经过本校课堂证据的检验和校准（Kelly et al., 2025）。这为本课题以行动研究推动模型在学校中的生成和修正提供了依据。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从发展尺度看，二者的结合还需要一套能够描述高阶能力进阶的共同语言。可见的学习强调学业进阶的共同理解（Hattie, 2005），高阶思维研究则提供了布卢姆分类修订版的认知层级和SOLO分类的结构层级等工具（Biggs, 1999; Hughes, 2014）。前者描述学习任务对认知加工提出的要求，后者描述学生实际表现所达到的结构水平，二者结合使用，可以在任务设计和表现判断两个环节上为高阶能力的进阶提供参照。社会情感能力方面，现有测评研究揭示了其随年龄和情境变化的特点（袁振国等，2024），但适用于课堂观察的进阶描述仍较为缺乏，这也是本课题需要探索的内容。</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已有研究的不足与本研究的切入点</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已有研究在高阶能力和可见的学习两方面都形成了较为丰富的理论与实证基础，但就本课题关注的问题而言，仍存在三个方面的不足。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Nielsen &amp; Klitmøller, 2021; Wecker et al., 2016）。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第三，在研究情境上，关于高阶思维与数智技术的实证研究大多以大学生为对象，基础教育阶段的证据较少且结果不稳定（Li et al., 2026; Liu et al., 2026），一所学校在多个学科和多种学习场域中持续开展、多轮改进的研究也较为缺乏。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研究意义</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1.理论意义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开放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2.实践意义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不采用可见的学习中存在争议的效应量排名，而是把其中关于学习意图与成功标准、反馈三问以及教师诊断、干预和评估的主张，转化为学生“目标引领—任务驱动—探究展学—反馈迭代—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3.方法意义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把学生前后测问卷、课堂专业评价、AI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核心概念界定</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第一部分已经梳理了高阶能力和可见的学习的研究脉络。本部分不再重复理论来源，只说明本研究中三个核心概念的具体含义，以及它们在研究中如何被观察和测量。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1.中学生高阶能力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（1）高阶思维能力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w:t>
      </w:r>
      <w:r>
        <w:rPr>
          <w:rFonts w:ascii="宋体" w:eastAsia="宋体" w:hAnsi="宋体" w:cs="宋体" w:hint="eastAsia"/>
          <w:kern w:val="0"/>
          <w:sz w:val="24"/>
        </w:rPr>
        <w:t>，指学生能够分解复杂问题，辨别不同信息、条件和变量之间的关系，抓住问题的关键要素及其内在联系。</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w:t>
      </w:r>
      <w:r>
        <w:rPr>
          <w:rFonts w:ascii="宋体" w:eastAsia="宋体" w:hAnsi="宋体" w:cs="宋体" w:hint="eastAsia"/>
          <w:kern w:val="0"/>
          <w:sz w:val="24"/>
        </w:rPr>
        <w:t>，指学生能够依据事实、证据或一定标准，对观点、方法、过程和结果进行比较、判断、质疑和反思。</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w:t>
      </w:r>
      <w:r>
        <w:rPr>
          <w:rFonts w:ascii="宋体" w:eastAsia="宋体" w:hAnsi="宋体" w:cs="宋体" w:hint="eastAsia"/>
          <w:kern w:val="0"/>
          <w:sz w:val="24"/>
        </w:rPr>
        <w:t>，指学生能够综合已有知识和经验，形成新的观点、方案、解释或作品，并把已有知识和方法迁移到新的问题情境中。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解决、迁移和元认知在本研究中不另设维度，而是作为三个维度共同指向的应用情境和调节过程融入其中。在课堂观察中，本研究还借助SOLO分类判断学生回答和作品的结构水平，即学生是只提到了一个要点、列举了多个彼此孤立的要点，还是能够把多个要点联系起来并迁移到新问题（Biggs, 1999）。</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（2）高阶社会情感能力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开放创新四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，指学生能够明确任务目标和个人职责，主动投入并坚持完成任务，对个人学习和团队成果负责。</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，指学生面对困难、压力、失败和观点冲突时，能够调节自己的情绪和行为，保持相对稳定的学习状态并继续行动。</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开放创新</w:t>
      </w:r>
      <w:r>
        <w:rPr>
          <w:rFonts w:ascii="宋体" w:eastAsia="宋体" w:hAnsi="宋体" w:cs="宋体" w:hint="eastAsia"/>
          <w:kern w:val="0"/>
          <w:sz w:val="24"/>
        </w:rPr>
        <w:t>，指学生面对新问题、不同观点和不确定结果时，能够保持好奇和开放，接纳不同信息，并在尝试、调整和反思中形成新的想法或方案。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里的“高阶”，并不是说社会情感能力已经存在国际公认的高低等级，而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0.40作为成效判断标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需要特别说明的是，本研究中的可见并不等同于课堂行为能够被看到。学生是否发言、是否讨论、是否完成任务，只是外显行为；更重要的是学生的分析、判断、创造、责任承担、情绪调节和合作过程，能否通过真实的学习表现逐步呈现出来，并转化为师生都能理解和使用的学习证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3.学习证据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理论框架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回答培养什么，可见的学习回答怎样使其发生并被判断，学习证据则把二者连接起来。为了避免能力目标、学习活动与评价相互脱节，本研究采用Biggs提出的建构性对齐原则，用同一组能力要求统领学习目标、学习活动和评价任务（Biggs, 1999）。具体而言，能力目标用分析、评价、创造等认知动词和可观察的社会情感行为来表述；学习任务要求学生实际完成这些动作；评价则依据公开的成功标准判断学生表现的质量。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形成“能力目标—学习任务—学习表现—学习证据—反馈调节”的工作链条。在这一链条中，学生和教师各有一条主线。学生沿着“目标引领—任务驱动—探究展学—反馈迭代—反思迁移”的五环经历高阶学习；教师沿着“诊断发现—干预—实施—评估”的循证调节过程支持学习。两条主线通过学习证据相互连接，学生的表现为教师调整教学提供依据，教师的目标、支架和反馈又为学生改进学习提供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学习证据按五个层面组织，即后文模型中的五见，包括目标可见、思维可见、证据可见、进步可见和能力可见。表2-1说明了每个层面对应的可见的学习要素、主要学习证据和证据用途。</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表2-1  五见与可见的学习要素及学习证据的对应关系</w:t>
      </w:r>
    </w:p>
    <w:tbl>
      <w:tblPr>
        <w:tblW w:w="8519" w:type="dxa"/>
        <w:jc w:val="center"/>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证据层面</w:t>
            </w:r>
          </w:p>
        </w:tc>
        <w:tc>
          <w:tcPr>
            <w:tcW w:w="2044"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对应的可见的学习要素</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主要学习证据</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证据用途</w:t>
            </w:r>
          </w:p>
        </w:tc>
      </w:tr>
      <w:tr w:rsidR="000B1CCE" w14:paraId="016CB5C7" w14:textId="77777777">
        <w:trPr>
          <w:jc w:val="center"/>
        </w:trPr>
        <w:tc>
          <w:tcPr>
            <w:tcW w:w="1192"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目标可见</w:t>
            </w:r>
          </w:p>
        </w:tc>
        <w:tc>
          <w:tcPr>
            <w:tcW w:w="2044"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学习意图与成功标准</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学习目标表述、成功标准、学生对目标的复述</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依据布卢姆分类与SOLO分类判断思维层次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课堂观察记录、学生作品、实验数据、AI课堂行为数据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支持教师的诊断与干预决策</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进步可见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反馈与修订</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初稿与修订稿、方案迭代记录、前后测结果</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比较前后表现，判断变化方向与幅度</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形成对能力发展水平的综合判断</w:t>
            </w:r>
          </w:p>
        </w:tc>
      </w:tr>
    </w:tbl>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研究问题与研究目标</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1.研究问题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本研究围绕以下四个问题展开。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（1）本校中学生高阶思维与高阶社会情感的起点状况如何？教师开展高阶能力培育的认识、实践、困难和需求是什么？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（2）以“可见的学习”为连接机制，中学生高阶能力培育的学习模型与教学模型应包含哪些要素？各要素之间如何关联？</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（3）模型在学科课堂与科创项目中如何转化实施？多轮实践中作出了哪些调整，依据是什么？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（4）实施期间，学生高阶能力、课堂学习条件和教师实践发生了哪些变化？不同来源的证据在多大程度上相互一致？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2.研究目标</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开放创新等高阶社会情感能力的发展，并通过学生、课堂、教师三个层面的证据审慎判断实施成效。</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研究内容</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1.“可见的学习”视域下中学生高阶能力培育的理论研究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2.中学生高阶能力发展及培育现状的调查研究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3.中学生高阶能力培育学习模型与教学模型的建构研究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评估组织教师循证调节，以五见贯穿学习证据的获取与使用，形成学习模型与教学模型协同运行的培育框架。</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4.中学生高阶能力培育模式的多场域实践研究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5.中学生高阶能力培育成效的评价与优化研究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研究设计与方法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1.总体设计</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本研究立足学校真实教育教学情境，按照“理论研究—现状诊断—模型建构—多场域实践—成效评价—持续优化”的思路展开。整体上采用设计型研究（Design-Based Research）的逻辑，即在真实课堂中设计、实施、评估并修订培育模型，同时提炼可以迁移的设计原则（Cohen et al., 2011）。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Creswell &amp; Creswell, 2022）。</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（1）文献研究法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（2）问卷调查法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校初中和高中学生、教师为主要调查对象。学生问卷依据双维七维框架编制，包括分析、评价、创造三个高阶思维维度和责任担当、情绪调节、合作共情、开放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（3）访谈法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（4）行动研究法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行动研究是本课题开展实践探索和持续改进的主要方法。研究以典型研究课和科创项目为实践单元，按照“实践—证据采集—问题诊断—方案改进—再次实践—比较反思”的路径多轮推进。学科教师通过研究课、同课异构、课例研讨和多轮磨课，不断调整学习目标、任务设计、探究活动和评价反馈；科创项目通过项目设计、实践验证、成果反馈和方案修正不断完善实施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Cowen et al., 2015）。研究不以单次课堂或单个项目的结果判断模式是否有效，而是通过多轮实践、比较和修正，逐步提炼高阶能力培育的关键环节与实施策略。</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（5）课堂观察法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教师教学行为、学生学习行为和高阶能力表现开展课堂观察，重点了解课堂中实际发生了什么、学生如何参与学习以及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三类证据功能不同、相互补充。AI课堂行为指标以可识别的外显行为为单位，若直接作为判断依据，容易以行为次数代替对教学的解释，因此只作为分析课堂参与结构的辅助信息（Jornitz &amp; Klinge, 2022）。研究不以单一课堂评分或某一项AI行为指标直接判断学生高阶能力的发展。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（6）案例研究法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3.数据处理与证据整合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4.研究效度与推论边界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Cohen et al., 2011）。因此，本研究不把前后测差异直接归因于培育模型。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Park et al., 2026）。因此，本研究不以问卷结果单独判断能力发展，而是将其与学生作品、课堂观察和教师判断相互印证。综合上述设计，本研究的结论表述为多种证据在多大程度上一致支持模型在本校情境中的可实施性和积极变化，不作模型产生确定因果效果的推断。</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研究步骤</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遵循“理论研究—现状诊断—模型建构—多场域实践—成效评价—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2-1所示，图中左侧为研究进程，中部为主要研究内容，右侧为各阶段采用的研究方法。</w:t>
      </w: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drawing>
          <wp:anchor distT="0" distB="0" distL="114300" distR="114300" simplePos="0" relativeHeight="251659264" behindDoc="1" locked="0" layoutInCell="1" allowOverlap="1" wp14:anchorId="359537CC" wp14:editId="388A666D">
            <wp:simplePos x="0" y="0"/>
            <wp:positionH relativeFrom="column">
              <wp:posOffset>26670</wp:posOffset>
            </wp:positionH>
            <wp:positionV relativeFrom="paragraph">
              <wp:posOffset>108585</wp:posOffset>
            </wp:positionV>
            <wp:extent cx="5216525" cy="6519545"/>
            <wp:effectExtent l="0" t="0" r="0" b="0"/>
            <wp:wrapThrough wrapText="bothSides">
              <wp:wrapPolygon edited="0">
                <wp:start x="0" y="0"/>
                <wp:lineTo x="0" y="21554"/>
                <wp:lineTo x="21574" y="21554"/>
                <wp:lineTo x="21574" y="0"/>
                <wp:lineTo x="0" y="0"/>
              </wp:wrapPolygon>
            </wp:wrapThrough>
            <wp:docPr id="5" name="图片 5" descr="07f654f0ec4e8b35ed6ef4cb4479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7f654f0ec4e8b35ed6ef4cb4479c19c"/>
                    <pic:cNvPicPr>
                      <a:picLocks noChangeAspect="1"/>
                    </pic:cNvPicPr>
                  </pic:nvPicPr>
                  <pic:blipFill>
                    <a:blip r:embed="rId7"/>
                    <a:stretch>
                      <a:fillRect/>
                    </a:stretch>
                  </pic:blipFill>
                  <pic:spPr>
                    <a:xfrm>
                      <a:off x="0" y="0"/>
                      <a:ext cx="5216525" cy="6519545"/>
                    </a:xfrm>
                    <a:prstGeom prst="rect">
                      <a:avLst/>
                    </a:prstGeom>
                  </pic:spPr>
                </pic:pic>
              </a:graphicData>
            </a:graphic>
          </wp:anchor>
        </w:drawing>
      </w:r>
      <w:r>
        <w:rPr>
          <w:rFonts w:ascii="宋体" w:hAnsi="宋体" w:cs="宋体"/>
          <w:b/>
          <w:bCs/>
          <w:color w:val="000000"/>
        </w:rPr>
        <w:t>图</w:t>
      </w:r>
      <w:r>
        <w:rPr>
          <w:rFonts w:ascii="Times New Roman"/>
          <w:b/>
          <w:bCs/>
          <w:color w:val="000000"/>
          <w:spacing w:val="-1"/>
        </w:rPr>
        <w:t xml:space="preserve"> </w:t>
      </w:r>
      <w:r>
        <w:rPr>
          <w:rFonts w:ascii="宋体"/>
          <w:b/>
          <w:bCs/>
          <w:color w:val="000000"/>
          <w:spacing w:val="1"/>
        </w:rPr>
        <w:t>2-1</w:t>
      </w:r>
      <w:r>
        <w:rPr>
          <w:rFonts w:ascii="Times New Roman"/>
          <w:b/>
          <w:bCs/>
          <w:color w:val="000000"/>
          <w:spacing w:val="5"/>
        </w:rPr>
        <w:t xml:space="preserve"> </w:t>
      </w:r>
      <w:r>
        <w:rPr>
          <w:rFonts w:ascii="宋体" w:hAnsi="宋体" w:cs="宋体"/>
          <w:b/>
          <w:bCs/>
          <w:color w:val="000000"/>
        </w:rPr>
        <w:t>《</w:t>
      </w:r>
      <w:r>
        <w:rPr>
          <w:rFonts w:ascii="宋体" w:hAnsi="宋体" w:cs="宋体" w:hint="eastAsia"/>
          <w:b/>
          <w:bCs/>
          <w:color w:val="000000"/>
        </w:rPr>
        <w:t>“可见的学习”视域下中学生高阶能力培育的学校探索</w:t>
      </w:r>
      <w:r>
        <w:rPr>
          <w:rFonts w:ascii="宋体" w:hAnsi="宋体" w:cs="宋体"/>
          <w:b/>
          <w:bCs/>
          <w:color w:val="000000"/>
          <w:spacing w:val="-1"/>
        </w:rPr>
        <w:t>》路径图</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1.准备阶段（2023年11月—2024年3月）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2.实施阶段（2024年4月—2026年6月）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3.总结阶段（2026年7月—2026年10月）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（1）完成后期调查与资料整理。开展学生和教师后测，并与前测数据进行比较；系统整理课堂观察、研究课、科创项目、学生学习成果、教师访谈和教学反思等资料。</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（3）整理典型案例，提炼实践经验。梳理不同学科课堂和典型科创项目案例，分析高阶能力培育在不同学科和学习情境中的实施特点，形成典型案例和过程性成果。</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（一）中学生高阶能力基础情况的现状调查研究</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高阶能力测评工具开发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安德森和克拉斯沃尔主编的《学习、教学和评估的分类学：布卢姆教育目标分类学修订版》，将认知过程划分为记忆、理解、应用、分析、评价和创造六个层次，为区分学习任务的认知要求提供了理论依据[100]。Brookhart进一步强调，高阶思维还体现为学生面对新材料和非程序化问题时的迁移、批判性思考与问题解决[103]。</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技能研究从任务能力、情绪调节、协作能力、开放能力和交往能力等领域考察学生的发展状况，为本课题关注学习中的社会情感表现提供了理论参照[101][102]。</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以黄忠敬《社会与情感能力》所介绍的五维度、十五方面框架为直接参照，围绕中学生高阶能力培育的需要，选取与责任承担、自我调节、合作协商和开放探索相关的内容，依据其内涵联系进行归并[107]，形成责任担当、情绪调节、合作共情、开放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开放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3）学生高阶能力测评框架的形成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开放创新”侧重面对新方法和不同观点时的态度与倾向。问卷原报告将后一维度命名为“包容创造”，本研究理论与实践论述采用“开放创新”，数据表及前后测结果保留原名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2.学生样本描述与数据收集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。调查内容包括分析、评价、创造三个高阶思维维度，以及责任担当、情绪调节、合作共情、开放创新四个高阶社会情感维度，共32道评分题。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w:t>
      </w:r>
      <w:r>
        <w:rPr>
          <w:rFonts w:ascii="宋体" w:eastAsia="宋体" w:hAnsi="宋体" w:cs="宋体" w:hint="eastAsia"/>
          <w:sz w:val="24"/>
        </w:rPr>
        <w:t>八</w:t>
      </w:r>
      <w:r>
        <w:rPr>
          <w:rFonts w:ascii="宋体" w:eastAsia="宋体" w:hAnsi="宋体" w:cs="宋体"/>
          <w:sz w:val="24"/>
        </w:rPr>
        <w:t>年级各有12个班，</w:t>
      </w:r>
      <w:r>
        <w:rPr>
          <w:rFonts w:ascii="宋体" w:eastAsia="宋体" w:hAnsi="宋体" w:cs="宋体" w:hint="eastAsia"/>
          <w:sz w:val="24"/>
        </w:rPr>
        <w:t>九年级有13个班级，</w:t>
      </w:r>
      <w:r>
        <w:rPr>
          <w:rFonts w:ascii="宋体" w:eastAsia="宋体" w:hAnsi="宋体" w:cs="宋体"/>
          <w:sz w:val="24"/>
        </w:rPr>
        <w:t>高中十至十二年级各有4个班。课题组在初中</w:t>
      </w:r>
      <w:r>
        <w:rPr>
          <w:rFonts w:ascii="宋体" w:eastAsia="宋体" w:hAnsi="宋体" w:cs="宋体" w:hint="eastAsia"/>
          <w:sz w:val="24"/>
        </w:rPr>
        <w:t>六至八</w:t>
      </w:r>
      <w:r>
        <w:rPr>
          <w:rFonts w:ascii="宋体" w:eastAsia="宋体" w:hAnsi="宋体" w:cs="宋体"/>
          <w:sz w:val="24"/>
        </w:rPr>
        <w:t>各年级随机抽取5个班、</w:t>
      </w:r>
      <w:r>
        <w:rPr>
          <w:rFonts w:ascii="宋体" w:eastAsia="宋体" w:hAnsi="宋体" w:cs="宋体" w:hint="eastAsia"/>
          <w:sz w:val="24"/>
        </w:rPr>
        <w:t>九年级抽取6个班，</w:t>
      </w:r>
      <w:r>
        <w:rPr>
          <w:rFonts w:ascii="宋体" w:eastAsia="宋体" w:hAnsi="宋体" w:cs="宋体"/>
          <w:sz w:val="24"/>
        </w:rPr>
        <w:t>高中各年级随机抽取2个班，共抽取2</w:t>
      </w:r>
      <w:r>
        <w:rPr>
          <w:rFonts w:ascii="宋体" w:eastAsia="宋体" w:hAnsi="宋体" w:cs="宋体" w:hint="eastAsia"/>
          <w:sz w:val="24"/>
        </w:rPr>
        <w:t>7</w:t>
      </w:r>
      <w:r>
        <w:rPr>
          <w:rFonts w:ascii="宋体" w:eastAsia="宋体" w:hAnsi="宋体" w:cs="宋体"/>
          <w:sz w:val="24"/>
        </w:rPr>
        <w:t>个班，采用问卷星组织入选班级学生在学校计算机房集中填写问卷，共回收1</w:t>
      </w:r>
      <w:r>
        <w:rPr>
          <w:rFonts w:ascii="宋体" w:eastAsia="宋体" w:hAnsi="宋体" w:cs="宋体" w:hint="eastAsia"/>
          <w:sz w:val="24"/>
        </w:rPr>
        <w:t>341</w:t>
      </w:r>
      <w:r>
        <w:rPr>
          <w:rFonts w:ascii="宋体" w:eastAsia="宋体" w:hAnsi="宋体" w:cs="宋体"/>
          <w:sz w:val="24"/>
        </w:rPr>
        <w:t>份。其中，男生</w:t>
      </w:r>
      <w:r>
        <w:rPr>
          <w:rFonts w:ascii="宋体" w:eastAsia="宋体" w:hAnsi="宋体" w:cs="宋体" w:hint="eastAsia"/>
          <w:sz w:val="24"/>
        </w:rPr>
        <w:t>671</w:t>
      </w:r>
      <w:r>
        <w:rPr>
          <w:rFonts w:ascii="宋体" w:eastAsia="宋体" w:hAnsi="宋体" w:cs="宋体"/>
          <w:sz w:val="24"/>
        </w:rPr>
        <w:t>人、女生</w:t>
      </w:r>
      <w:r>
        <w:rPr>
          <w:rFonts w:ascii="宋体" w:eastAsia="宋体" w:hAnsi="宋体" w:cs="宋体" w:hint="eastAsia"/>
          <w:sz w:val="24"/>
        </w:rPr>
        <w:t>675</w:t>
      </w:r>
      <w:r>
        <w:rPr>
          <w:rFonts w:ascii="宋体" w:eastAsia="宋体" w:hAnsi="宋体" w:cs="宋体"/>
          <w:sz w:val="24"/>
        </w:rPr>
        <w:t>人，分别占49.</w:t>
      </w:r>
      <w:r>
        <w:rPr>
          <w:rFonts w:ascii="宋体" w:eastAsia="宋体" w:hAnsi="宋体" w:cs="宋体" w:hint="eastAsia"/>
          <w:sz w:val="24"/>
        </w:rPr>
        <w:t>85</w:t>
      </w:r>
      <w:r>
        <w:rPr>
          <w:rFonts w:ascii="宋体" w:eastAsia="宋体" w:hAnsi="宋体" w:cs="宋体"/>
          <w:sz w:val="24"/>
        </w:rPr>
        <w:t>%和50.</w:t>
      </w:r>
      <w:r>
        <w:rPr>
          <w:rFonts w:ascii="宋体" w:eastAsia="宋体" w:hAnsi="宋体" w:cs="宋体" w:hint="eastAsia"/>
          <w:sz w:val="24"/>
        </w:rPr>
        <w:t>15</w:t>
      </w:r>
      <w:r>
        <w:rPr>
          <w:rFonts w:ascii="宋体" w:eastAsia="宋体" w:hAnsi="宋体" w:cs="宋体"/>
          <w:sz w:val="24"/>
        </w:rPr>
        <w:t>%。研究对问卷题项与计分进行核查，据此开展测评工具检验及学生高阶能力现状分析，为学习模型设计与后续教学模式构建提供依据。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3.学生高阶能力问卷的测量质量检验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开放创新七个理论维度。本研究依据问卷星对1341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KMO值为0.9868，Bartlett球形度检验达到显著水平，说明相关矩阵并非单位矩阵，题项之间具备开展结构探索的统计基础。两项检验共同支持进一步考察题项归属，但尚不能据此认定七个理论维度的结构效度。</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前两个成分的特征值大于1，第三个成分的特征值低于1，结果见表2。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学生高阶能力问卷内部一致性信度检验结果（N＝1341）</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本课题前测现状分析按七个理论维度展开，因此不将六组α直接解释为七个理论维度各自的信度。</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4.中学生高阶能力基础情况的问卷调查与分析</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（1）调查样本的年级与性别构成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（2）学生高阶能力自评的总体分布特征</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呈现各题五级选项的分布，与表9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（3）各理论维度的自评特征与培育需求</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（4）题项层面的自评表现与学习支持需求</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表9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（5）学生高阶能力自评的年级与学段差异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表10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开放创新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表11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表12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表13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（6）学生高阶能力自评的性别差异与效应量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表14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（7）创造与情绪调节自评的性别和年级交互效应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表15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表16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（8）开放回答的关键词统计与学习困难分析</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表17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17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（9）前测均值与维度排序的敏感性分析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表18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（10）学生培育需求的综合诊断与学习模型设计依据</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表19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教师高阶能力培育情况的现状调查研究</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1.教师高阶能力培育现状调查内容的确定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（1）认知与价值认同调查内容的确定</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学为区分不同学习要求提供了依据[100]，社会情感能力研究则提示，复杂任务还需要责任、调节与合作等资源参与[101][102]。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2）教师课堂实践调查内容的确定</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Biggs关于建构性一致的研究强调教学目标、学习活动与评价之间的联系[26]；问题导向学习、项目式学习及课堂对话研究则关注复杂问题、真实任务、自主学习、合作与解释论证等学习条件[29][30][31][32]。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3）教学自我效能调查内容的确定</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自我效能理论关注个体对自身组织和执行特定行动能力的判断[108]。本研究以此解释教师对高阶能力培育的实施把握，重点考察其能否设计适合学生的任务、通过提问与点拨推动思考，以及识别学生的高阶表现。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理解自身教学影响的要求相联系[105]。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4）现实阻碍调查内容的确定</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属于本研究面向实际问题编制的调查，不表述为直接采用某一成熟量表。</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5）教师前测调查框架的形成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学为分析、评价和创造的区分提供了依据[100]，社会情感能力框架则为考察责任承担、情绪管理、合作与开放倾向提供了参照[101][102][107]。本研究结合中学生学科学习与探究活动的特点，将学生高阶能力测评内容确定为高阶思维与高阶社会情感两个方面：前者包括分析、评价、创造，后者包括责任担当、情绪调节、合作共情、开放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2.教师样本描述与数据收集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w:t>
      </w:r>
      <w:r>
        <w:rPr>
          <w:rFonts w:ascii="Cambria" w:eastAsia="宋体" w:hAnsi="Cambria" w:cs="Cambria" w:hint="eastAsia"/>
          <w:color w:val="000000"/>
          <w:sz w:val="22"/>
          <w:szCs w:val="22"/>
          <w:shd w:val="clear" w:color="auto" w:fill="FFFFFF"/>
        </w:rPr>
        <w:t>课题组通过问卷星编制问卷向学校全体教师发放问卷，共收回问卷</w:t>
      </w:r>
      <w:r>
        <w:rPr>
          <w:rFonts w:ascii="Cambria" w:eastAsia="宋体" w:hAnsi="Cambria" w:cs="Cambria" w:hint="eastAsia"/>
          <w:color w:val="000000"/>
          <w:sz w:val="22"/>
          <w:szCs w:val="22"/>
          <w:shd w:val="clear" w:color="auto" w:fill="FFFFFF"/>
        </w:rPr>
        <w:t>163</w:t>
      </w:r>
      <w:r>
        <w:rPr>
          <w:rFonts w:ascii="Cambria" w:eastAsia="宋体" w:hAnsi="Cambria" w:cs="Cambria" w:hint="eastAsia"/>
          <w:color w:val="000000"/>
          <w:sz w:val="22"/>
          <w:szCs w:val="22"/>
          <w:shd w:val="clear" w:color="auto" w:fill="FFFFFF"/>
        </w:rPr>
        <w:t>份。</w:t>
      </w:r>
      <w:r>
        <w:rPr>
          <w:rFonts w:ascii="宋体" w:eastAsia="宋体" w:hAnsi="宋体" w:cs="宋体" w:hint="eastAsia"/>
          <w:kern w:val="0"/>
          <w:sz w:val="24"/>
        </w:rPr>
        <w:t>其中，</w:t>
      </w:r>
      <w:r>
        <w:rPr>
          <w:rFonts w:ascii="宋体" w:eastAsia="宋体" w:hAnsi="宋体" w:cs="宋体" w:hint="eastAsia"/>
          <w:color w:val="C00000"/>
          <w:kern w:val="0"/>
          <w:sz w:val="24"/>
        </w:rPr>
        <w:t>初中教师？人、高中教师？人，分别占比？和？。</w:t>
      </w:r>
      <w:r>
        <w:rPr>
          <w:rFonts w:ascii="宋体" w:eastAsia="宋体" w:hAnsi="宋体" w:cs="宋体" w:hint="eastAsia"/>
          <w:kern w:val="0"/>
          <w:sz w:val="24"/>
        </w:rPr>
        <w:t>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3.教师高阶能力培育情的调查问卷的测量质量检验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研究首先采用KMO取样适切性检验和Bartlett球形度检验，判断题项相关矩阵是否适合进行因子分析，结果见表1。</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共同支持进一步考察题项的因素归属，但尚不能据此判断四组理论内容的结构效度。</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前四个成分的特征值均大于1，第五个成分的特征值低于1，结果见表2。</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特征值分布为考察四因素方案提供了初步依据。因素数量的确定还需要结合旋转后的题项分布及其内容含义，不能仅凭特征值大于1认定四组理论内容已经得到验证。</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但不将分别计分解释为其统计结构已经充分区分。</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因素分析结论限于实际呈现的题项归属，不认定四个独立因素已经成立。</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α系数。四组内容的测量指向不同，现实阻碍的高分表示困难较强，因此不合并计算教师问卷总分。检验结果见表4。</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信度检验支持其组内综合描述，不替代两组内容的结构区分判断。</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4..教师高阶能力培育现状的问卷调查与分析</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（1）教师问卷施测与样本构成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本研究依托问卷星组织本校教师在线填写问卷，共收集163份教师问卷。样本涵盖不同教龄、职称、任教学段及相关培训经历，具体构成见图1。</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w:t>
      </w:r>
      <w:r>
        <w:rPr>
          <w:color w:val="3C464C"/>
          <w:sz w:val="18"/>
        </w:rPr>
        <w:t xml:space="preserve">1 </w:t>
      </w:r>
      <w:r>
        <w:rPr>
          <w:color w:val="3C464C"/>
          <w:sz w:val="18"/>
        </w:rPr>
        <w:t>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lastRenderedPageBreak/>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w:t>
      </w:r>
      <w:r>
        <w:t>2</w:t>
      </w:r>
      <w:r>
        <w:rPr>
          <w:rFonts w:hint="eastAsia"/>
        </w:rPr>
        <w:t>）</w:t>
      </w:r>
      <w:r>
        <w:t>教师高阶能力培育四方面的总体表现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四组均值用于描述各自内容，不作为未经检验的显著差异。</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（3）教师价值认同与课堂实践的对应表现</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（4）教师教学自我效能与专业支持需求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（5）高阶能力培育的现实阻碍与实施条件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表5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w:t>
      </w:r>
      <w:r>
        <w:t xml:space="preserve">2 </w:t>
      </w:r>
      <w:r>
        <w:t>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（6）教师对培育价值与实施可行性的判断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（7）教师背景分组与培育判断差异检验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lastRenderedPageBreak/>
        <w:t>据完整选项频数补做固定边际精确检验，结果见表7。</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分别为0.368和0.792）。参加过培训教师选择“可行性较高”和“价值很大”的比例分别为40.77%和45.38%，未参加者分别为21.21%和24.24%。上述比例仅反映描述性差异，不能据此认定培训产生了影响。</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w:t>
      </w:r>
      <w:r>
        <w:rPr>
          <w:color w:val="3C464C"/>
          <w:sz w:val="18"/>
        </w:rPr>
        <w:t xml:space="preserve">3 </w:t>
      </w:r>
      <w:r>
        <w:rPr>
          <w:color w:val="3C464C"/>
          <w:sz w:val="18"/>
        </w:rPr>
        <w:t>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（8）前测诊断与课题实践重点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w:t>
      </w:r>
      <w:r>
        <w:rPr>
          <w:rFonts w:ascii="宋体" w:eastAsia="宋体" w:hAnsi="宋体" w:cs="宋体" w:hint="eastAsia"/>
          <w:sz w:val="24"/>
        </w:rPr>
        <w:t>三</w:t>
      </w:r>
      <w:r>
        <w:rPr>
          <w:rFonts w:ascii="宋体" w:eastAsia="宋体" w:hAnsi="宋体" w:cs="宋体"/>
          <w:sz w:val="24"/>
        </w:rPr>
        <w:t>）</w:t>
      </w:r>
      <w:r>
        <w:rPr>
          <w:rFonts w:ascii="宋体" w:eastAsia="宋体" w:hAnsi="宋体" w:cs="宋体" w:hint="eastAsia"/>
          <w:sz w:val="24"/>
        </w:rPr>
        <w:t>前测诊断与高阶能力培育问题挖掘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并非缺少高阶能力培育意识，也并非学生基础薄弱，真正需要突破的是教师已有的育人意图如何转化为学生真实而持续的高阶学习。因此，前测的价值不在于再次证明高阶能力“重要”，而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1</w:t>
      </w:r>
      <w:r>
        <w:rPr>
          <w:rFonts w:ascii="宋体" w:eastAsia="宋体" w:hAnsi="宋体" w:cs="宋体" w:hint="eastAsia"/>
          <w:sz w:val="24"/>
        </w:rPr>
        <w:t>）</w:t>
      </w:r>
      <w:r>
        <w:rPr>
          <w:rFonts w:ascii="宋体" w:eastAsia="宋体" w:hAnsi="宋体" w:cs="宋体"/>
          <w:sz w:val="24"/>
        </w:rPr>
        <w:t>教师高阶能力培育的实践基础与现实困难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已不再是“是否接受高阶能力理念”，而是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不能简单等同于增加课堂活动或提高任务难度，而应重点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教师教学与学生发展的综合分析</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2.中学生</w:t>
      </w:r>
      <w:r>
        <w:rPr>
          <w:rFonts w:ascii="宋体" w:eastAsia="宋体" w:hAnsi="宋体" w:cs="宋体"/>
          <w:sz w:val="24"/>
        </w:rPr>
        <w:t>高阶能力培育的主要问题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由此可以看出，后续模式建构的重点不是再增加一种教学形式，而是建立一条能够贯通“能力目标—学习任务—深度学习—教学支持—能力发展”的完整机制。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lastRenderedPageBreak/>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（二）“可见的学习”视域下中学生高阶能力培育模型建构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不在于教师是否认同其价值，而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lastRenderedPageBreak/>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不是三个彼此独立的模型，而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反思迁移”的“五环”组织学生高阶学习过程；以“诊断发现—干预—实施—评估”组织教师循证调节；以“目标可见—思维可见—证据可见—进步可见—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能力目标 → 学习发生 → 教学支持 → 证据反馈 → 持续改进</w:t>
      </w:r>
      <w:r>
        <w:rPr>
          <w:rFonts w:ascii="宋体" w:eastAsia="宋体" w:hAnsi="宋体" w:cs="宋体" w:hint="eastAsia"/>
          <w:sz w:val="24"/>
        </w:rPr>
        <w:t>，</w:t>
      </w:r>
      <w:r>
        <w:rPr>
          <w:rFonts w:ascii="宋体" w:eastAsia="宋体" w:hAnsi="宋体" w:cs="宋体"/>
          <w:sz w:val="24"/>
        </w:rPr>
        <w:t>由此形成的模型不是一套固定的课堂程序，而是一套把能力发展、学生学习、教师支持和证据反馈连接起来的学校实践框架。</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不是彼此分离的目标，而是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lastRenderedPageBreak/>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总模型内部不是若干概念的简单叠加，而是围绕中学生高阶能力发展形成五层相互贯通的关系。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第五，两域实践与循证改进保证模型持续生成。学科教学提供日常、连续的能力培育场域，科创教育提供真实、开放、综合的问题解决场域。模型在不同情境中不断接受实践检验，而不是一次建成后固定使用。</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是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（2）能力目标：七维高阶能力</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七维能力不是一节课必须同时覆盖的指标清单。具体学习中，应根据学科内容、任务性质和学生基础确定重点，使能力目标少而准、能够进入学习过程，也能够留下真实表现。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（3）进阶尺度：“三层六阶”与“两境四维”</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的发展不是由低到高的简单累加，而是在认知复杂度和情境复杂度不断提高的过程中逐步形成。“三层六阶”用于刻画高阶思维的发展：“学习理解—应用实践—迁移创新”呈现学习从理解知识到使用知识、再到迁移创新的基本进程，“记忆—理解—应用—分析—评价—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（4）学习过程：“五环”推进</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lastRenderedPageBreak/>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五环不是五个彼此割裂的课堂步骤。真实学习中可以前后回返，但总体方向始终是推动学生由完成任务走向理解方法、由参与活动走向形成能力。</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（5）学习表征：“五见”贯穿</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不是学习模型之外再增加的一套流程，而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因此，“五见”的价值不在于增加课堂展示，而在于使学生能够依据目标和反馈调整学习，也使教师真正看见学生如何学习、在哪里遇到困难、哪里已经发生变化。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不在于替学生完成学习，而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 → 干预 → 实施 → 评估 → 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（2）诊断发现：基于证据识别学习状态</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不是给学生分类，而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（3）干预：基于差异提供适切支持</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不是直接给出答案，而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（4）实施：在真实学习中动态调节</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不是对既定教学设计的机械执行，而是根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不在于教师完成了多少教学环节，而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（5）评估：依据学习证据判断教学影响</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lastRenderedPageBreak/>
        <w:t>设置、任务设计、支架和反馈是否有效。评估结果不是终点，而是下一轮诊断和调整的起点，由此形成基于证据持续改进的专业行动方式。</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不是简单的一一对应关系。学生可能处于“探究展学”，教师此时既可能进行诊断，也可能实施追问和支架；学生进入“反馈迭代”，教师既可能提供干预，也可能依据新的学习证据重新判断。因此，教师的“诊断发现—干预—实施—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“五环”描述学习怎样向前推进，教师循证调节描述教学怎样围绕学习持续变化。二者共同构成“学习发生—证据呈现—教学调节—学习再发生”的动态过程，而不是把五个学习环节机械对应到四个教师步骤。</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69D0D44A" w14:textId="77777777" w:rsidR="000B1CCE" w:rsidRDefault="00000000">
      <w:pPr>
        <w:adjustRightInd w:val="0"/>
        <w:snapToGrid w:val="0"/>
        <w:spacing w:line="360" w:lineRule="auto"/>
        <w:ind w:firstLineChars="200" w:firstLine="480"/>
        <w:rPr>
          <w:rFonts w:ascii="宋体" w:eastAsia="宋体" w:hAnsi="宋体" w:cs="宋体"/>
          <w:color w:val="0000FF"/>
          <w:sz w:val="24"/>
        </w:rPr>
      </w:pPr>
      <w:r>
        <w:rPr>
          <w:rFonts w:ascii="宋体" w:eastAsia="宋体" w:hAnsi="宋体" w:cs="宋体"/>
          <w:color w:val="0000FF"/>
          <w:sz w:val="24"/>
        </w:rPr>
        <w:t>（</w:t>
      </w:r>
      <w:r>
        <w:rPr>
          <w:rFonts w:ascii="宋体" w:eastAsia="宋体" w:hAnsi="宋体" w:cs="宋体" w:hint="eastAsia"/>
          <w:color w:val="0000FF"/>
          <w:sz w:val="24"/>
        </w:rPr>
        <w:t>五</w:t>
      </w:r>
      <w:r>
        <w:rPr>
          <w:rFonts w:ascii="宋体" w:eastAsia="宋体" w:hAnsi="宋体" w:cs="宋体"/>
          <w:color w:val="0000FF"/>
          <w:sz w:val="24"/>
        </w:rPr>
        <w:t>）五环引领下模型的实践与迭代</w:t>
      </w:r>
    </w:p>
    <w:p w14:paraId="0B6D1B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五环引领下的模型实践框架</w:t>
      </w:r>
      <w:r>
        <w:rPr>
          <w:rFonts w:ascii="宋体" w:eastAsia="宋体" w:hAnsi="宋体" w:cs="宋体" w:hint="eastAsia"/>
          <w:sz w:val="24"/>
        </w:rPr>
        <w:t>和逻辑</w:t>
      </w:r>
    </w:p>
    <w:p w14:paraId="73C62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（1）模型的实践框架</w:t>
      </w:r>
    </w:p>
    <w:p w14:paraId="148E8A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前期研究完成了对学生高阶能力基础、课堂学习状态和教师教学实践的诊断，也据此提出了“目标引领—任务驱动—探究展学—反馈迭代—反思迁移”的五环模型。</w:t>
      </w:r>
    </w:p>
    <w:p w14:paraId="3B63D4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38C2C89E" wp14:editId="23971D55">
            <wp:extent cx="4328795" cy="3246755"/>
            <wp:effectExtent l="0" t="0" r="5080" b="1270"/>
            <wp:docPr id="23" name="图片 23" descr="415f2c75-f988-49f6-85ea-b71b14473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5f2c75-f988-49f6-85ea-b71b1447376e"/>
                    <pic:cNvPicPr>
                      <a:picLocks noChangeAspect="1"/>
                    </pic:cNvPicPr>
                  </pic:nvPicPr>
                  <pic:blipFill>
                    <a:blip r:embed="rId18"/>
                    <a:stretch>
                      <a:fillRect/>
                    </a:stretch>
                  </pic:blipFill>
                  <pic:spPr>
                    <a:xfrm>
                      <a:off x="0" y="0"/>
                      <a:ext cx="4328795" cy="3246755"/>
                    </a:xfrm>
                    <a:prstGeom prst="rect">
                      <a:avLst/>
                    </a:prstGeom>
                  </pic:spPr>
                </pic:pic>
              </a:graphicData>
            </a:graphic>
          </wp:inline>
        </w:drawing>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进入实践阶段后，我们关注的重点不再是模型是否完整，而是它能否进入真实课堂，能否解释并改善学生的学习，能否留下可以判断学习发生与否的证据。</w:t>
      </w:r>
      <w:r>
        <w:rPr>
          <w:rFonts w:ascii="宋体" w:eastAsia="宋体" w:hAnsi="宋体" w:cs="宋体" w:hint="eastAsia"/>
          <w:sz w:val="24"/>
        </w:rPr>
        <w:lastRenderedPageBreak/>
        <w:t>基于这一考虑，学校没有把五环作为一套固定教学程序去推广，而是把它作为高阶能力培育的基本实践路径，在不同学科、不同项目中反复使用、观察、修正。在这一实践框架中，“可见的学习”不是附加在模型之外的理论标签，而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而不是凭经验估计学生应该已经会了。</w:t>
      </w:r>
    </w:p>
    <w:p w14:paraId="30E22B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（2）模型的实践逻辑</w:t>
      </w:r>
    </w:p>
    <w:p w14:paraId="6FB35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1）以高阶能力培育统领五环实践为目标</w:t>
      </w:r>
    </w:p>
    <w:p w14:paraId="4F40F4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并不以课堂活动丰富、学生参与热烈作为最终成效，而是持续追问：学生是否能够分析复杂信息，是否能够比较不同方案并作出有依据的判断，是否能够在观点冲突中运用证据进行论证，是否能够在合作中形成超越个体原有认识的共同建构，是否能够把学到的方法迁移到新的情境并产生新的解决方案。也就是说，“可见的学习”解决的是如何看见并促进学习发生，“高阶能力培育”解决的是学习最终应当走向哪里。</w:t>
      </w:r>
    </w:p>
    <w:p w14:paraId="0A036C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2）以五环实践促进高阶能力发展为路径</w:t>
      </w:r>
    </w:p>
    <w:p w14:paraId="407379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样的逻辑下，五环形成了一条由目标到能力、由学习到证据的连续路径：目标引领使学习方向和评价标准可见；任务驱动把能力目标转化为学生必须面对的真实认知挑战；探究展学把原本隐性的思考、判断和合作过程外显出来；反馈迭代依据学习证据缩短学生当前表现与目标之间的距离；反思迁移则促使学生从完成一次任务走向提炼方法、迁移能力。五环之间并非线性割裂，每一环都可能回到前一环重新调整，但其总体方向始终指向学生学习质量的提升。</w:t>
      </w:r>
    </w:p>
    <w:p w14:paraId="290DE3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3）以学科课堂与科创教育为实践域场</w:t>
      </w:r>
    </w:p>
    <w:p w14:paraId="14D190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将这一模型放入两个主要实践场域。其一是学科课堂域，这是高阶能力日常发生、持续积累的基本场域；其二是科创教育域，这是学生面对真实问题、综合运用知识并持续改进方案的重要场域。两个场域使用的是同一“五环”，但学习材料、问题性质和成果形态不同。学科课堂更强调基于学科核心知识的分析、</w:t>
      </w:r>
      <w:r>
        <w:rPr>
          <w:rFonts w:ascii="宋体" w:eastAsia="宋体" w:hAnsi="宋体" w:cs="宋体" w:hint="eastAsia"/>
          <w:sz w:val="24"/>
        </w:rPr>
        <w:lastRenderedPageBreak/>
        <w:t>比较、解释与论证，科创教育更强调基于真实问题的设计、实验、测试与改进。正因为场域不同，同一模型才能在多样实践中接受检验，避免成为只适用于某一课型的教学流程。</w:t>
      </w:r>
    </w:p>
    <w:p w14:paraId="469377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以两域实践提炼高阶能力培育的典型样态</w:t>
      </w:r>
    </w:p>
    <w:p w14:paraId="225DC7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两域持续实践中，我们没有预先规定学生必须呈现某一种“标准化”的高阶学习形态，而是依据课堂观察、学习单、学生作品、项目记录、AI课堂数据和访谈资料，对反复出现的学习行为进行比较与归纳。由此逐步提炼出五种较为稳定的高阶学习样态：真实情境的任务性实践、方案比较的验证性实践、证据支撑的论证性实践、协同探究的建构性实践和综合迁移的创新性实践。五种样态不是五环的另一个版本，也不是五个教学步骤，而是学生高阶学习在不同场域中的典型表现。</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高阶能力培育为目标，以“五环”为运行路径，以学科课堂和科创教育为实践场域，在实践中观察并提炼高阶学习样态，再依据多源证据反观模型、修正模型。其核心不是不断增加新的概念，而是让“目标—学习—证据—改进”之间建立起稳定联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分析、评价、合作共情、开放创新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创造、开放创新、责任担当</w:t>
            </w:r>
          </w:p>
        </w:tc>
      </w:tr>
    </w:tbl>
    <w:p w14:paraId="15A3FADB" w14:textId="77777777" w:rsidR="000B1CCE" w:rsidRDefault="000B1CCE">
      <w:pPr>
        <w:adjustRightInd w:val="0"/>
        <w:snapToGrid w:val="0"/>
        <w:spacing w:line="360" w:lineRule="auto"/>
        <w:ind w:firstLineChars="200" w:firstLine="480"/>
        <w:rPr>
          <w:rFonts w:ascii="宋体" w:eastAsia="宋体" w:hAnsi="宋体" w:cs="宋体"/>
          <w:sz w:val="24"/>
        </w:rPr>
      </w:pP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（五）学习模型与教学模型协同下的实践与迭代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反思迁移”五环组织学生的高阶学习过程；教学模型则以</w:t>
      </w:r>
      <w:r>
        <w:rPr>
          <w:rFonts w:ascii="宋体" w:eastAsia="宋体" w:hAnsi="宋体" w:cs="宋体"/>
          <w:sz w:val="24"/>
        </w:rPr>
        <w:lastRenderedPageBreak/>
        <w:t>“诊断发现—干预—实施—评估”组织教师基于学习证据的持续调节。两者共同指向中学生七维高阶能力发展。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不再是模型结构是否完整，而是两个模型能否共同进入真实课堂和真实项目，能否真正改变学生的学习方式，能否帮助教师依据学生的学习证据作出更准确的教学判断。基于这一认识，课题组没有把两个模型作为两套彼此独立的程序加以推广，而是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学习模型与教学模型协同实践的框架和逻辑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（1）模型的实践框架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并不是对“五环”的机械控制，而是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七维能力目标 → 学习模型与教学模型协同运行 → 两域实践 → 高阶学习样态生成 → 实践证据形成 → 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这一框架的意义在于，高阶能力培育不再停留于目标表述，而是通过学生学习、教师调节和实践证据之间的持续循环进入真实教育过程。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（2）模型的实践逻辑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1）以七维高阶能力发展统领双模型实践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是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不是为了完成某种固定程序，而是为了使抽象的能力要求进入真实学习过程。具体实践中，并不追求每一节课同时覆盖七个维度，而是根据学科内容、任务性质和学生基础确定重</w:t>
      </w:r>
      <w:r>
        <w:rPr>
          <w:rFonts w:ascii="宋体" w:eastAsia="宋体" w:hAnsi="宋体" w:cs="宋体"/>
          <w:sz w:val="24"/>
        </w:rPr>
        <w:lastRenderedPageBreak/>
        <w:t>点，使能力目标能够真正落到学习任务和学习表现上。</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2）以“五环”学习与教师循证调节协同推动学习发生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需要强调的是，五种典型样态并不是“五环”的重新分类，也不是新的教学模式，而是学习模型在不同学科内容、任务类型和实践情境中呈现出的典型高阶学习形态。</w:t>
      </w:r>
    </w:p>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表X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张表并不是把“五环”与教师四个调节环节作机械对应，而是从实践角度说明：学生学习推进到不同状态时，教师需要关注什么证据、作出怎样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学科课堂域：“五环”引领下的高阶能力培育实践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不是改变所有教学形式，而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（1）目标引领：以能力目标明确学习进阶方向</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（2）任务驱动：以进阶任务激活高阶学习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不是增加练习量，而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（3）探究展学：以深度探究促进思维外显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不是“让学生多说”，而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并非需要迅速消除的“噪音”，恰恰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（4）反馈迭代：以学习证据推动持续改进</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不再只是课后判断学生“会不会”，而是根据学生已经呈现的学习证据，及时告诉学生与目标之间还存在什么差距，并推动下一步行动。高质量反馈应当指向思维和策略，而不是简单给出结论。</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并不是终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（5）反思迁移：以反思迁移促进能力进阶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一节课完成，并不意味着能力形成。高阶能力真正稳定，需要学生能够从具体任务中提炼方法，并在新的情境中再次使用。反思迁移因此不是简单写一段“学习感受”，而是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科创教育域：“五环”引领下的高阶能力培育实践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是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（1）目标引领：以真实问题明确项目育人目标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不是教师预设的一串操作步骤，而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（3）探究展学：以设计实验深化实践探究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是通过追问“为什么这样设计”“依据什么判断”“如果条件变化会怎样”，促使学生把直觉转化为可讨论、</w:t>
      </w:r>
      <w:r>
        <w:rPr>
          <w:rFonts w:ascii="宋体" w:eastAsia="宋体" w:hAnsi="宋体" w:cs="宋体"/>
          <w:sz w:val="24"/>
        </w:rPr>
        <w:lastRenderedPageBreak/>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并不意味着项目失败；相反，它们提供了重新分析问题的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（4）反馈迭代：以测试评价促进方案优化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（5）反思迁移：以成果应用促进迁移创新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4. 两域实践中形成的高阶学习典型样态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不是预设流程，而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这一样态突出学生是否真正进入具有现实意义的任务情境，并在约束条件下作出判断和行动。其高阶性不在于“情境真实”本身，而在于学生需要筛选信息、明确问题、调用知识并承担任务责任。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这一样态突出学生面对多个可能方案时，能否建立比较标准，并利用实验、计算、调查或数据验证不同方案的优劣。其核心不在“方案多”，而在于选择过程是否建立在证据和条件判断之上。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这一样态突出观点怎样被证据支持、质疑和修正。学生需要区分观点与事实，判断证据是否相关、可靠、充分，并在新的证据出现时调整原有结论。其关键是形成“观点—证据—解释—修订”的完整链条。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不是简单更换作品名称，而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0EA233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基于实践证据的模型迭代与优化</w:t>
      </w:r>
    </w:p>
    <w:p w14:paraId="7FA3BD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进入实践以后，真正需要回答的不是“有没有按照五环上课”，而是学习模型与教学模型的协同运行是否真正改善了学生的学习。为此，我们把迭代建立在证据基础上。学生学习表现、教师五维评课、课堂行为智能评价以及案例中已经形成的学习单、学生作品、项目记录等，不是为了给研究增加材料，而是用来判断模型在哪些环节有效、在哪些环节仍然存在断点。</w:t>
      </w:r>
    </w:p>
    <w:p w14:paraId="47BABC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迭代首先关注“五环”之间是否真正连起来。目标是否只是教师宣布而没有转化为学生可用的标准；任务是否只是形式丰富而缺乏认知挑战；探究是否出现了学生真实思考，还是停留在热闹交流；反馈是否带来二次修改，还是只停留在教师点评；迁移是否进入新情境，还是只是重复练习。只有把这些问题落实到具体证据上，模型调整才不是经验性的。</w:t>
      </w:r>
    </w:p>
    <w:p w14:paraId="61E0BD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次，迭代还关注教师循证调节是否真正发生。学生出现困难时，教师是否能够识别问题所在；支架是否与学生当前状态匹配；追问和反馈是否推动了学生重新思考；评估是否真正进入下一轮教学设计。也就是说，模型优化既要看学生学习模型是否运转，也要看教师教学模型是否能够依据学习证据作出及时、适切的调整。</w:t>
      </w:r>
    </w:p>
    <w:p w14:paraId="05D0B6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再次，五种高阶学习典型样态为我们重新审视实践质量提供了中层参照。某些课堂可能较容易出现论证性学习，却缺少真正的方案比较；某些科创项目可能有丰富的实践活动，却缺少对证据和方法的反思。样态不是评价等级，而是帮助课题组判断不同实践中高阶学习究竟以何种方式发生、哪些方式仍然不足。</w:t>
      </w:r>
    </w:p>
    <w:p w14:paraId="32E8B3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迭代必须保留“调整前—调整依据—调整后”的完整链条。例如，前期课堂观察发现学生讨论较充分，但讨论结束后往往由教师直接总结，学生缺少依据标准进行自我修订的机会；研究团队据此在后续实践中增加“成功标准回看—同伴反馈—二次表达”的操作要求，再比较两轮课堂中学习单和课堂对话的变化。只有这样的证据链，才能说明模型为什么改、改了什么、改后是否更有效。</w:t>
      </w:r>
    </w:p>
    <w:p w14:paraId="24421F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经过这一过程，模型不再是一张静态结构图，而成为学校持续改进课堂和项目学习的工作框架。它的稳定之处在于：始终以高阶能力发展为目标，以可见学习证据为依据，以“五环”组织学生学习，以循证调节支持教师教学；它的开放之处在于：允许不同学科、不同项目根据自身内容特点调整任务、支架和评价方</w:t>
      </w:r>
      <w:r>
        <w:rPr>
          <w:rFonts w:ascii="宋体" w:eastAsia="宋体" w:hAnsi="宋体" w:cs="宋体"/>
          <w:sz w:val="24"/>
        </w:rPr>
        <w:lastRenderedPageBreak/>
        <w:t>式。</w:t>
      </w:r>
    </w:p>
    <w:p w14:paraId="17B6FD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看见学生在哪里，看见学习怎样发生，看见教师支持产生了什么影响，再依据证据决定下一步怎样改。</w:t>
      </w:r>
    </w:p>
    <w:p w14:paraId="62326E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这也是本研究所理解的“可见的学习”真正进入高阶能力培育实践的意义。</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（六）高阶能力培育评价体系与多源证据构建</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是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不是增加数据，而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评价维度与指标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（1）评价体系的基本依据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迁移创新”逐步深入，并体现出“记忆—理解—应用—分析—评价—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不是新的评价维度，而是学生高阶能力得以发生和表现的主要过程。教师需要在这些真实学习环节中观察学生怎样进入任</w:t>
      </w:r>
      <w:r>
        <w:rPr>
          <w:rFonts w:ascii="宋体" w:eastAsia="宋体" w:hAnsi="宋体" w:cs="宋体" w:hint="eastAsia"/>
          <w:sz w:val="24"/>
        </w:rPr>
        <w:lastRenderedPageBreak/>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是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（3）高阶能力评价指标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 基于“可见的学习”的数据采集系统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为尽可能真实、客观地反映学生高阶能力的发展变化，我们在研究过程中没有把判断建立在单一问卷或单次课堂评价上，而是围绕学生、教师和课堂三个层面持续收集不同类型的数据。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是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表X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说明的是，教师五维评课和希沃AI评课都不是对学生高阶能力的直接测量。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lastRenderedPageBreak/>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多源证据链设计</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不是简单比较两个时间点，而是形成“前测确定起点—实践产生变化—过程留下证据—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不能仅通过最终结果判断。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能否在新的情境中继续运用”。这一证据链使“进步可见”和“能力可见”落实到具体学习过程，而不是只停留在最终成绩或一次性结果上。</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不是简单叠加，也不要求彼此完全一致。恰恰是不同证据之间的一致与差异，为我们进一步理解学生学习提供了依据。例如，学生参与讨论的时间较长，并不能直接说明讨论已经进入高阶思考，还需要结合教师专业评价以</w:t>
      </w:r>
      <w:r>
        <w:rPr>
          <w:rFonts w:ascii="宋体" w:eastAsia="宋体" w:hAnsi="宋体" w:cs="宋体" w:hint="eastAsia"/>
          <w:sz w:val="24"/>
        </w:rPr>
        <w:lastRenderedPageBreak/>
        <w:t>及具体课堂表现，判断讨论是否真正包含分析、评价、证据使用和观点修正。多元互证的目的不是增加评价主体，而是避免依据单一证据作出过度判断，使研究结论更加接近真实课堂。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不是独立于教学之外的一套测评程序，而是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（七）高阶能力培育模型实施成效的结果分析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1.学生问卷前后测结果分析</w:t>
      </w:r>
      <w:r>
        <w:rPr>
          <w:rFonts w:ascii="宋体" w:eastAsia="宋体" w:hAnsi="宋体" w:cs="宋体" w:hint="eastAsia"/>
          <w:sz w:val="24"/>
        </w:rPr>
        <w:br/>
        <w:t>学生高阶能力发展成效分析报告</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（1）研究对象与分析方法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（2）学生高阶能力的总体变化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高阶思维总体均分由3.934分提高至4.030分，平均增加0.095分。高阶思维总体自评得分呈小幅提升。统计检验支持前后测均值存在差异，但配对效应量较小，不能将其表述为大幅提升。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（3）初中与高中学生的发展成效</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不过，差异幅度为0.065分，不宜仅因显著就夸大其教育意义。</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（4）各年级学生的发展成效</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1）各年级高阶能力发展成效</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因此，不能把总体高阶思维改善写成所有年级均显著提升。</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不替代高阶思维、高阶社会情感分别进行的成效检验。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3）补充检验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表10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注：同选项作答筛选用于敏感性分析，并不意味着这些记录必然无效。</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（5）高阶四维能力各维度的发展成效</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表11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表12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表13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（6）高阶社会情感能力各维度的发展成效 续</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表14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注：均值差为后测减前测；df=1345；Holm校正后p&lt;0.001；配对效应量dz=0.965。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表15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表16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表17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（7）学生问卷开放性回答质性分析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 前测学习困难诊断质性分析</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而不是能力水平的直接测量。</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2）后测学习变化感知质性分析</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不是“能力提高了”这样的抽象语言，而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3）前后测开放性文本的主题对应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需要强调的是，这种对应属于质性意义上的“问题—回应”关系，而不是严</w:t>
      </w:r>
      <w:r>
        <w:rPr>
          <w:rFonts w:ascii="宋体" w:eastAsia="宋体" w:hAnsi="宋体" w:cs="宋体" w:hint="eastAsia"/>
          <w:sz w:val="24"/>
        </w:rPr>
        <w:lastRenderedPageBreak/>
        <w:t>格的同题前后比较。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br/>
      </w:r>
      <w:r>
        <w:rPr>
          <w:rFonts w:ascii="宋体" w:eastAsia="宋体" w:hAnsi="宋体" w:cs="宋体" w:hint="eastAsia"/>
          <w:sz w:val="24"/>
        </w:rPr>
        <w:t>2.教师问卷前后测结果分析</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数据来源与研究对象</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教师学科分布与维度计分方法</w:t>
      </w:r>
    </w:p>
    <w:p w14:paraId="18C87878" w14:textId="77777777" w:rsidR="000B1CCE" w:rsidRDefault="00000000">
      <w:pPr>
        <w:keepNext/>
        <w:snapToGrid w:val="0"/>
      </w:pPr>
      <w:r>
        <w:lastRenderedPageBreak/>
        <w:t>表</w:t>
      </w:r>
      <w:r>
        <w:t xml:space="preserve">2  </w:t>
      </w:r>
      <w:r>
        <w:t>纳入匹配表的教师学科分布（</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不能据此认定各学科教师均有相同程度的变化。</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后测使用“更有意识”，部分阻碍题使用“仍然”等表述，解释时需考虑措辞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 各维度前后测配对分析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w:t>
      </w:r>
      <w:r>
        <w:t xml:space="preserve">3  </w:t>
      </w:r>
      <w:r>
        <w:t>教师认知与价值认同前后测配对分析（</w:t>
      </w:r>
      <w:r>
        <w:t>n</w:t>
      </w:r>
      <w:r>
        <w:t>＝</w:t>
      </w:r>
      <w:r>
        <w:t>129</w:t>
      </w:r>
      <w:r>
        <w:t>）</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表4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w:t>
      </w:r>
      <w:r>
        <w:t xml:space="preserve">5  </w:t>
      </w:r>
      <w:r>
        <w:t>教师教学自我效能前后测配对分析（</w:t>
      </w:r>
      <w:r>
        <w:t>n</w:t>
      </w:r>
      <w:r>
        <w:t>＝</w:t>
      </w:r>
      <w:r>
        <w:t>129</w:t>
      </w:r>
      <w:r>
        <w:t>）</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因此，只能描述为自我效能均值略有上升，不能据此证明教师实际教学能力显著提高。</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w:t>
      </w:r>
      <w:r>
        <w:t xml:space="preserve">6  </w:t>
      </w:r>
      <w:r>
        <w:t>教师现实阻碍前后测配对分析（</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3.教师问卷开放性回答质性分析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一、编码对象与分析方法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而不是强行归入单一主题。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需要特别说明的是，前后测开放题的提问结构并不完全相同：前测主要询问</w:t>
      </w:r>
      <w:r>
        <w:rPr>
          <w:rFonts w:ascii="宋体" w:eastAsia="宋体" w:hAnsi="宋体" w:cs="宋体" w:hint="eastAsia"/>
          <w:sz w:val="24"/>
        </w:rPr>
        <w:lastRenderedPageBreak/>
        <w:t>“想法、顾虑和建议”，后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二、教师前测开放性回答三级编码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但这里不把频次高低简单解释为问题的严重程度，而是将其视为教师在开放表达中较容易主动提及的议题。尤其值得保留的是，教师对“高阶能力”的讨论往往同时伴随具体条件判断：既谈价值，也谈</w:t>
      </w:r>
      <w:r>
        <w:rPr>
          <w:rFonts w:ascii="宋体" w:eastAsia="宋体" w:hAnsi="宋体" w:cs="宋体" w:hint="eastAsia"/>
          <w:sz w:val="24"/>
        </w:rPr>
        <w:lastRenderedPageBreak/>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三、教师后测开放性回答三级编码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lastRenderedPageBreak/>
        <w:t>后测文本中同一回答往往同时包含“做法—困难—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3.教师五维评课结果分析</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（1）五维课堂评价工具的质量检验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是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尤其值得注意的是，形成性评价虽然在后续均值比较中并不占优势，但它与整体课堂结构的联系却最为紧密，这为理解课堂中的“反馈—改进”作用提供了一个重要线索。</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课堂总体评价的描述统计</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我们更希望借助多种统计量还原这组课堂评价的真实面貌。</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而不是用平均化的数据塑造一个过于整齐的结论。</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五个评价维度的结构差异分析</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并非偶然波动，而是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与其把五个维度机械排成1—5名，不如把它们理解为两个相对层次：社会情感支持与学科内容建构位于较高层，认知参与、课堂互动和形成性评价构成</w:t>
      </w:r>
      <w:r>
        <w:rPr>
          <w:rFonts w:ascii="宋体" w:eastAsia="宋体" w:hAnsi="宋体" w:cs="宋体" w:hint="eastAsia"/>
          <w:sz w:val="24"/>
        </w:rPr>
        <w:lastRenderedPageBreak/>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sz w:val="24"/>
        </w:rPr>
        <w:t>不同学科的课堂评价比较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是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并不是平均水平，而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表10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但在解释时不能据此把英语学科概括为“整体不稳定”。</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sz w:val="24"/>
        </w:rPr>
        <w:t xml:space="preserve"> 不同课例的评价差异分析</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表11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并不是一种普遍偏低的分布，而是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表12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而不是简单把它当作“异常值删除掉”。研究的价值，恰恰在于解释分歧，而不是消除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sz w:val="24"/>
        </w:rPr>
        <w:t>开放式评语的质性编码分析</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而不是教师人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表13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需要特别说明的是，这两类编码同时包含肯定性意见和改进建议，因此不能把频次简单理解为“问题多”。更准确的解释是：互动与反馈已经成为教师在课堂观察中持续聚焦的关键</w:t>
      </w:r>
      <w:r>
        <w:rPr>
          <w:rFonts w:ascii="宋体" w:eastAsia="宋体" w:hAnsi="宋体" w:cs="宋体" w:hint="eastAsia"/>
          <w:sz w:val="24"/>
        </w:rPr>
        <w:lastRenderedPageBreak/>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sz w:val="24"/>
        </w:rPr>
        <w:t>五维量化结果与开放文本的内部互证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是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表14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它不能被简单理解为一个“低分项”，更像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从课题研究的角度看，五维评课真正有价值的地方，不是为课堂排出一个名</w:t>
      </w:r>
      <w:r>
        <w:rPr>
          <w:rFonts w:ascii="宋体" w:eastAsia="宋体" w:hAnsi="宋体" w:cs="宋体" w:hint="eastAsia"/>
          <w:sz w:val="24"/>
        </w:rPr>
        <w:lastRenderedPageBreak/>
        <w:t>次，而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4. 基于希沃AI评课的课堂实施分析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1）教师教学行为的描述统计分析</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10节课教师—学生行为结构及教师主要行为时间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并非单一由讲授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2）学生学习行为的描述统计分析</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lastRenderedPageBreak/>
        <w:t>为。10节课均记录到学生讨论，累计时间约174分10秒，平均每节约17分25秒。单课讨论时间最高为英语2的23分19秒，其次为物理2的21分43秒、语文2的20分26秒和数学1的19分30秒；最低为英语3的7分21秒。由此可见，讨论并非个别学科或个别课例中的偶发活动，而是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而不是仅表现为抽象的“参与比例”。</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3）师生互动与提问认知层级分析</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lastRenderedPageBreak/>
        <w:t>174分10秒，两类行为合计约284分58秒。由于希沃各行为类别可能存在识别口径差异，且不同指标不宜简单等同于“有效互动时间”，这里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并不是单一的“教师问—学生答”，而是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基于现有数据，可以确认课堂提问已覆盖从记忆、理解、应用到分析、评价、创造的多个认知层级；但由于只有6节课具有完整认知层级数据，本结果主要用于描述这些课例的提问结构，不宜外推为全部10节课的总体水平。</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希沃报告提供的是“教师提出了何种认知层级的问题”，并未对每一次高阶问题之后学生是否发生论证、质疑、观点修正等行为进行逐次编码。因此，本研究不据此直接推断学生高阶思维能力已经形成，而将其作为课堂是否提供高阶认知机会的重要过程性指标。</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4）希沃AI反馈文本的质性分析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是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lastRenderedPageBreak/>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w:t>
      </w:r>
      <w:r>
        <w:rPr>
          <w:rFonts w:ascii="宋体" w:eastAsia="宋体" w:hAnsi="宋体" w:cs="宋体"/>
          <w:sz w:val="24"/>
        </w:rPr>
        <w:t>小结</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基于实践证据的模型迭代与优化</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并不是本研究的终点。我们更关注的是，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是依托学科研究课、课例研讨、科创项目等持续开展行动研究，按照“实践—证据采集—问题诊断—方案改进—再次实践—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并不是对原有模型的简单增加和重新命名，而是实践证据推动下的进</w:t>
      </w:r>
      <w:r>
        <w:rPr>
          <w:rFonts w:ascii="宋体" w:eastAsia="宋体" w:hAnsi="宋体" w:cs="宋体" w:hint="eastAsia"/>
          <w:sz w:val="24"/>
        </w:rPr>
        <w:lastRenderedPageBreak/>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持续迭代优化。</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这种变化不是模型要素的简单增加，而是不同研究成果之间关系的重新建立，使模型从一条实践路径逐渐发展为具有目标、过程、支持、场域、表现和反馈机制的完整育人系统。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图X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（2）学习模型内涵进阶迭代</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“五环”的基本结构在多轮实践中保持了相对稳定。真正发生变化的，不是五个环节的名称，而是我们对每一环节“为什么存在、怎样发挥作用、依据什么判断有效”的理解不断深化。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不再只是教师呈现教学目标，而是要求学生真正理解学习方向、成功标准以及本次学习需要达到的表现水平；任务驱动不再等同于设计活动，而是要求任务能够形成真实的认知挑战；探究展学也不以学生是否发言、讨论作为判断，而是关注分析、证据、观点及协商过程是否真正外显；反馈迭代不仅意味着教师给出评价，更要求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lastRenderedPageBreak/>
        <w:t>习的关键并不是“经历了多少活动”，而是学生是否经历了思考—表达—证据—反馈—修订—迁移的实质变化。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（3）教学模型的机制的循证迭代</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不再只是预设某一种教学策略，而是根据学生当前状态选择任务、支架和反馈方式；实施推进不再意味着按照教案顺序完成教学，而是根据学生实际表现及时追问、补充、调整甚至暂缓原有设计；评估改进也不再是课堂结束后的结果判断，而是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不在于增加第五步、第六步，而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（4）双模型运行机制的互动迭代</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不是对应关系，而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 → 教师依据证据进行调节 → 教学调节改变学生后续学习 → 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（5）实践转化的调整迭代</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模型进入学科课堂和科创教育以后，我们没有要求两个场域采用完全相同的实施形式，而是在保持核心逻辑一致的基础上进行场域化转化。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是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因此，典型样态不是总模型之外新增的模型，而是实践反哺模型后形成的重要研究成果。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（6）迭代方式的持续深化</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模型能够迭代，关键不在于研究者认为哪里“应该改”，而在于是否有足够证据说明哪里存在问题、调整以后是否发生了变化。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 → 证据采集 → 问题发现 → 优化调整 → 再次实践 → 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2.小结</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并不是对前期模型的否定。相反，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lastRenderedPageBreak/>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并不主要体现在增加了多少新概念，而在于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最终形成的模型既具有相对稳定的基本结构，也保留了面向不同学科、不同项目和不同学生群体进行适切调整的开放空间。它不要求教师机械复制一种固定流程，而是提供一套共同的专业判断框架：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不在于形成若干概念、图式和案例本身，而在于能否把一个原本较为抽象的育人命题，转化为教师能够实施、学生能够经历、学校能够持续改进的实践系统。因此，本研究在总结阶段没有把“成果”简单等同于论文、课例或数据，也没有把“成效”仅理解为前后测分数的变化，而是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（一）研究形成的主要成果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反思迁移”的“五环”学习模型。其价值不在于提供一套统一的课堂流程，而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而不是环节的固定顺序。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形成基于学习证据的“四步调节”教学模型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评估改进”的“四步调节”教学模型。这一模型并不是在“五环”之外再增加一套教学程序，而是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诊断发现强调从学生已有知识、初始表达、任务表现和学习困难中识别真实起点；干预设计强调依据差异选择任务、问题、资源和支架，而不是对所有学生</w:t>
      </w:r>
      <w:r>
        <w:rPr>
          <w:rFonts w:ascii="宋体" w:eastAsia="宋体" w:hAnsi="宋体" w:cs="宋体" w:hint="eastAsia"/>
          <w:sz w:val="24"/>
        </w:rPr>
        <w:lastRenderedPageBreak/>
        <w:t>实施相同支持；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形成学习模型与教学模型协同运行的高阶能力培育总模型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不是再增加新的环节，而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持续迭代优化”的完整系统。学习模型和教学模型本身没有为了“升级”而频繁更名，而是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形成学科教学与科创教育“两域转化”的实践路径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场域转化”。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lastRenderedPageBreak/>
        <w:t>竞赛活动中，二是把统一流程机械套用到所有课堂。通过日常课堂的持续积累与科创项目的综合实践，学校逐步形成了“课堂日常培育—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提炼五种高阶学习典型样态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不是“五环”的另一种表述，也不是给课堂贴标签，而是为“高阶学习到底长什么样”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 建构高阶能力评价与多源证据体系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是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lastRenderedPageBreak/>
        <w:t>自回答不同问题，并通过纵向比较、过程追踪和多元互证形成综合判断。尤其需要强调的是，本研究始终把AI课堂行为视为过程性证据，不把“发言多、讨论多、互动多”直接等同于高阶能力提高。</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 形成典型案例与校本研究资源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（二）学生层面：高阶能力与学习方式的积极变化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需要说明的是，学生问卷沿用原测量工具的“分析、评价、创造”三个高阶思维维度；模型2.0中进一步突出“迁移”作为学习结果与能力运用的重要指向，但成效统计仍严格按照原量表维度名称报告，不以模型术语替换既有测量口径。</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高阶思维总体呈现积极变化</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是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lastRenderedPageBreak/>
        <w:t>图1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注：高阶思维与高阶社会情感分别统计，均为1—5分题均分。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不过，这些维度间增幅的排序并未经过正式差异检验，因此不作“哪个维度提升最快”的因果性结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注：均值差为后测减前测；高阶思维与高阶社会情感分别统计，不合并为单一总分。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高阶社会情感发展较为明显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并不是附加于学习之外的品质，而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注：模型2.0强调“迁移”作为能力运用指向；本图严格沿用学生问卷原测量维度“创造”进行统计呈现。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不能直接证明学生能力提高，但至少说明学生获得了较多进</w:t>
      </w:r>
      <w:r>
        <w:rPr>
          <w:rFonts w:ascii="宋体" w:eastAsia="宋体" w:hAnsi="宋体" w:cs="宋体" w:hint="eastAsia"/>
          <w:sz w:val="24"/>
        </w:rPr>
        <w:lastRenderedPageBreak/>
        <w:t>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的并不是简单的“学生多活动”，而是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也提醒我们保持清醒：AI识别中的探究实践平均占比约0.91%、学生展示约0.25%，评价与创造类问题比例也仍然偏低。这说明“学生参与可见”已经较为充分，但“思维深度可见”和“能力生成可见”仍需继续加强。换言之，本研究呈现的是积极发展趋势，而不是已经完成的理想状态。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（三）教师层面：高阶能力培育专业实践的持续改进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高阶能力培育认识进一步深化</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并不是继续提高“价值认同分数”，而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lastRenderedPageBreak/>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课堂实践与教学自我效能呈现积极变化趋势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结果并不削弱研究价值，反而提示教师专业变化具有比学生短期学习表现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注：现实阻碍得分越低表示主观感知阻碍越少。基于现有129组匹配关系，结果作条件性解释；四个维度均未达到统计显著。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教学支持方式更加关注高阶学习发生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lastRenderedPageBreak/>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并不是为研究课打出一个高分，而是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注：10节研究课共46份有效评课表；各维度满分20分，达成度=维度均值÷20×100%。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教学方式逐步由经验推进转向循证调节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不再只以“课堂顺不顺”“学生热不热闹”评价一节课，而是逐步追问：学生在哪一步出现困难？哪种证据说明其认识发生了变化？反馈后是否出现新的表现？教学支架是否与当前学情匹配？这种问题意识使“五维评课—AI课堂数据—学生作品—课堂对话—教师反思”开始共同进入课例研讨。从这个意义上看，教师专业实践最有价值的变化，不是某个问卷维度显著提高，而是专业判断开始更多建立在学生真实学习证据之上，逐步形成“诊断发现—干预设计—实施推进—评估改进”的循证调节方式。</w:t>
      </w:r>
    </w:p>
    <w:p w14:paraId="1CAE45D5" w14:textId="77777777" w:rsidR="000B1CCE" w:rsidRDefault="00000000">
      <w:pPr>
        <w:keepNext/>
        <w:spacing w:before="100" w:after="60"/>
        <w:jc w:val="center"/>
      </w:pPr>
      <w:r>
        <w:rPr>
          <w:rFonts w:ascii="宋体" w:eastAsia="宋体" w:hAnsi="宋体"/>
          <w:b/>
          <w:sz w:val="20"/>
        </w:rPr>
        <w:lastRenderedPageBreak/>
        <w:t>图4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注：教师/学生行为、师生问答、学生讨论基于10节课；高阶认知问题占比基于6节具有完整提问认知层级记录的课例。AI行为指标用于描述课堂实施结构，不直接等同于学生高阶能力。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（四）学校层面：高阶能力培育学校实践体系逐步形成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不是一次性制度建设，而是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推动校本教研由经验判断走向证据支持</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lastRenderedPageBreak/>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不再是彼此割裂的两条线，而是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初步形成可持续使用的校本研究资源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不在于数量，而在于它们保留了“问题—实践—证据—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表4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（五）师—生—校多源证据下的综合实践成效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对本课题成效的最终判断，不应由某一项显著性检验或某一节示范课承担。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学生高阶能力及学习方式呈现积极变化</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两类证据相互补充：问卷不能替代真实课堂，课堂行为也不能直接等同于能力提升；只有二者相互参照，才能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教师专业实践逐步走向循证调节</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变化更</w:t>
      </w:r>
      <w:r>
        <w:rPr>
          <w:rFonts w:ascii="宋体" w:eastAsia="宋体" w:hAnsi="宋体" w:cs="宋体" w:hint="eastAsia"/>
          <w:sz w:val="24"/>
        </w:rPr>
        <w:lastRenderedPageBreak/>
        <w:t>适合表述为：专业实践正在由理念认同走向具体设计，由经验推进逐步走向循证调节。</w:t>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学校高阶能力培育支持体系逐步形成</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多源证据支持研究实践的适切性与积极成效</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不是建立在单一数据“证明模型有效”的逻辑上，而是建立在多源证据之间的交叉印证上。学生能力变化为结果层面提供支持，课堂和案例材料解释变化可能如何发生，教师与学校层面的变化则说明模型是否具备持续运行的专业与组织条件。</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因此，本研究更愿意把结论表述为：多源证据共同支持模型在学校真实情境中的可实施性、适切性和积极发展价值，而不是对教育效果作超出研究设计的因果推断。</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不只是学生某个维度提高了多少分，也不只是学校形成了一张更加完整的模型图，而是学校逐步建立了一套共同的专业判断方式：先明确希望学生发展什么，再看学生在真实任务中怎样学习；用学习证据判断教师支持是否有效，再依据证据决定下一步怎样改。当“看见学生在哪里、看见学习怎样发生、看见教师支持产生了什么影响”成为学校共同的研究语言，高阶能力培育才真正从课题研究走向学校育人的日常。</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b/>
          <w:color w:val="000000"/>
          <w:kern w:val="0"/>
          <w:sz w:val="24"/>
        </w:rPr>
        <w:t>参考文献</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黄忠敬, 王倩, 陈唤春, 高星原. (2021). 交往能力：中国青少年社会与情感能力测评分报告之五. 华东师范大学学报（教育科学版）, 39(9), 93–108. https://doi.org/10.16382/j.cnki.1000-5560.2021.09.006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 (2022). 义务教育课程方案（2022年版）. 北京师范大学出版社.</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教育部办公厅. (2023). 基础教育课程教学改革深化行动方案（教材厅函〔2023〕3号）. https://www.gov.cn/zhengce/zhengceku/202306/content_6884785.htm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教育部基础教育教学指导委员会. (2025). 中小学生成式人工智能使用指南（2025年版）. 转引自中国新闻网2025年5月12日报道. https://www.chinanews.com.cn/cj/2025/05-12/10414191.shtml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马淑风, 杨向东. (2022). 什么才是高阶思维？——以“新旧知识关系建立”为核心的高阶思维概念框架. 华东师范大学学报（教育科学版）, 40(11), 58–68. https://doi.org/10.16382/j.cnki.1000-5560.2022.11.005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(2019a). 上海市初中学业水平考试实施办法（沪教委规〔2019〕2号）.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(2019b). 上海市初中学生综合素质评价实施办法（沪教委规〔2019〕3号）.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(2021). 上海市普通高中课程实施方案.</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(2023). 关于实施项目化学习推动义务教育育人方式改革的指导意见（沪教委基〔2023〕24号）. https://edu.sh.gov.cn/xxgk2_zdgz_jcjy_01/20230901/d22c1043024d4d0e9d32b85fd3392186.html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杨振峰. (2025, 1月14日). 素养立意的课程建设与教学变革. 中国教育在线. https://www.eol.cn/news/xueshu/hui/202501/t20250114_2651182.shtml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袁振国, 黄忠敬, 王纮, 王翔宇, 张静. (2024). 中国青少年社会与情感能力发展水平报告——基于第二轮SSES测评数据. 华东师范大学学报（教育科学版）, 42(5), 1–32. https://doi.org/10.16382/j.cnki.1000-5560.2024.05.001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中共中央, 国务院. (2020). 深化新时代教育评价改革总体方案. https://www.gov.cn/zhengce/2020-10/13/content_5551032.htm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Abrami, P. C., Bernard, R. M., Borokhovski, E., Waddington, D. I., Wade, C. A., &amp; Persson, T. (2015). Strategies for teaching students to think critically: A meta-analysis. Review of Educational Research, 85(2), 275–314.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L., &amp; Rogers, L. (2015). Teaching the Theory of Knowledge course in IB World Schools. University of Wisconsin-La Crosse.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P.-J., &amp; Rivard, L. (2017). How to engage in pseudoscience with real data: A criticism of John Hattie's arguments in Visible Learning from the perspective of a statistician. McGill Journal of Education, 52(1), 237–246.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Biggs, J. (1999). What the student does: Teaching for enhanced learning. Higher Education Research &amp; Development, 18(1), 57–75. https://doi.org/10.1080/0729436990180105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Bouckaert, M. (2023). The assessment of students' creative and critical thinking skills in higher education across OECD countries: A review of policies and related practices (OECD Education Working Papers No. 293). OECD Publishing. https://doi.org/10.1787/35dbd439-en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Brown, C., &amp; Greany, T. (2018). The evidence-informed school system in England: Where should school leaders be focusing their efforts? Leadership and Policy in Schools, 17(1), 115–137. https://doi.org/10.1080/15700763.2016.1270330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CASEL. (2020). CASEL's SEL framework: What are the core competence areas and where are they promoted? Collaborative for Academic, Social, and Emotional Learning.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Chen, S., &amp; Cheung, A. C. K. (2025). Effect of generative artificial intelligence on university students learning outcomes: A systematic review and meta-analysis. Educational Research Review, 49, Article 100737. https://doi.org/10.1016/j.edurev.2025.100737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Cohen, L., Manion, L., &amp; Morrison, K. (2011). Research methods in education (7th ed.). Routledge.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Cole, D. R., Ullman, J., Gannon, S., &amp; Rooney, P. (2015). Critical thinking skills in the International Baccalaureate's 'Theory of Knowledge' subject: Findings from an Australian study. Australian Journal of Education, 59(3), 247–264.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Cowen, N., Cartwright, N., Virk, B., &amp; Mascarenhas-Keyes, S. (2015). Making the most of the evidence: Evidence-based policy in the classroom (CHESS Working Paper No. 2015-03). Durham University.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Creswell, J. W., &amp; Creswell, J. D. (2022). Research design: Qualitative, quantitative, and mixed methods approaches (6th ed.). SAGE.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De Jong, T., Lazonder, A. W., Chinn, C. A., Fischer, F., Gobert, J., Hmelo-Silver, C. E., Koedinger, K. R., Krajcik, J. S., Kyza, E. A., Linn, M. C., Pedaste, M., Scheiter, K., &amp; Zacharia, Z. C. (2023). Let's talk evidence – The case for combining inquiry-based and direct instruction. Educational Research Review, 39, Article 100536. https://doi.org/10.1016/j.edurev.2023.100536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 Y., &amp; Yuan, Y. (2026). Epistemic dependence in AI-mediated learning. AI &amp; Society. https://doi.org/10.1007/s00146-026-03294-1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Durlak, J. A., Weissberg, R. P., Dymnicki, A. B., Taylor, R. D., &amp; Schellinger, K. B. (2011). The impact of enhancing students' social and emotional learning: A meta-analysis of school-based universal interventions. Child Development, 82(1), 405–432.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Eacott, S. (2019). Ranting, raving and complaining: Reflections on working against orthodoxy. International Journal of Leadership in Education, 22(6), 774–782.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Edovald, T., &amp; Nevill, C. (2021). Working out what works: The case of the Education Endowment Foundation in England. ECNU Review of Education, 4(1), 46–64.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Fredens, K. (2015). Synlig læring og læringens anatomi [Anmeldelse af bogen af John Hattie og Gregory Yates]. Paideia, (9), 70–75.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Güngör, F., Altunbaşak, İ., Aydın, A. T., Kaya, M., &amp; Erdem, C. (2026). A second-order meta-analysis on the effects of cooperative learning on students' academic achievement, higher-order thinking, and affective behaviors. Current Psychology, 45, 552. https://doi.org/10.1007/s12144-025-08943-0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Guo, H., Zhou, Z., &amp; Ma, F. (2025). Effect of training programs on the creativity of university students: A multi-level meta-analysis. Thinking Skills and Creativity, 56, 101779. https://doi.org/10.1016/j.tsc.2025.101779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(2005). What is the nature of evidence that makes a difference to learning? In Using data to support learning: Proceedings of the ACER Research Conference 2005 (pp. 11–21). Australian Council for Educational Research.</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(2015). The applicability of Visible Learning to higher education. Scholarship of Teaching and Learning in Psychology, 1(1), 79–91.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Hughes, C. (2014). Theory of Knowledge aims, objectives and assessment criteria: An analysis of critical thinking descriptors. Journal of Research in International Education, 13(1), 30–45. https://doi.org/10.1177/1475240914528084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Jornitz, S., &amp; Klinge, D. (2022). "Bildung" as a forgotten aspect of algorithmic technologies. In M. Parreira do Amaral &amp; C. Thompson (Eds.), Geopolitical transformations in higher education (pp. 231–249). Springer.</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Kelly, P., Beck, A., &amp; Hofbauer, S. (2025). Comparing school leaders' experiences of research use in England, Scotland and Germany. Review of Education, 13(1), e70058. https://doi.org/10.1002/rev3.70058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Knudsen, H. (2017). John Hattie: I'm a statistician, I'm not a theoretician. Nordic Journal of Studies in Educational Policy, 3(3), 253–261.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Lei, H., Ding, Y., &amp; Chiu, M. M. (2026). The effect of graphic organizers on cultivating higher-order thinking: Evidence from a meta-analysis. Educational Research Review, 52, Article 100822. https://doi.org/10.1016/j.edurev.2026.100822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 C., Cui, H., &amp; Hagedorn, L. S. (2026). The cognitive impact of ChatGPT in higher education: A systematic review of critical and creative thinking outcomes. Computers and Education: Artificial Intelligence, 10, Article 100571. https://doi.org/10.1016/j.caeai.2026.100571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Liu, J., Mbowe, A. E., Tahri, D., &amp; Aziku, M. (2026). Meta-analysis on the influence of AI agents on K-12 student cognitive performance. Computers in Human Behavior Reports, 21, Article 100973. https://doi.org/10.1016/j.chbr.2026.100973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Nielsen, K., &amp; Klitmøller, J. (2021). Blind spots in visible learning: A critique of John Hattie as an educational theorist. Nordic Psychology.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OECD. (2021). Beyond academic learning: First results from the Survey of Social and Emotional Skills. OECD Publishing.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Park, J. H., Myszkowski, N., &amp; Niu, W. (2026). Exploring the intersection of creativity and critical thinking among students: A meta-analysis. Thinking Skills and Creativity, 60, 102119. https://doi.org/10.1016/j.tsc.2025.102119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Qvortrup, L. (2015). Baggrund for og diskussioner af Visible Learning med særligt henblik på lærings- og vidensbegrebet. Paideia, 9, 22–33.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Rickinson, M., Walsh, L., Gleeson, J., Cutler, B., Cirkony, C., &amp; Salisbury, M. (2022). Using research well in educational practice. In N. Révai (Ed.), Who cares about using education research in policy and practice?: Strengthening research engagement (pp. 182–199). OECD Publishing. https://doi.org/10.1787/d7ff793d-en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Runco, M. A., Mammadov, S., Sui, D., Kim, T., &amp; Neher, L. G. (2026). Second-order meta-analysis of the creativity research. Creativity Research Journal. https://doi.org/10.1080/10400419.2026.2644245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Snook, I., O'Neill, J., Clark, J., O'Neill, A. M., &amp; Openshaw, R. (2009). Invisible learnings? A commentary on John Hattie's book: Visible learning: A synthesis of over 800 meta-analyses relating to achievement. New Zealand Journal of Educational Studies, 44(1), 93–106.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Steiner-Khamsi, G., Martens, K., &amp; Ydesen, C. (2024). Governance by numbers 2.0: Policy brokerage as an instrument of global governance in the era of information overload. Comparative Education, 60(4), 537–554.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Terhart, E. (2011). Has John Hattie really found the holy grail of research on teaching? An extended review of Visible Learning. Journal of Curriculum Studies, 43(3), 425–438.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Ünal, E., Kaya, M., Uzun, A. M., &amp; Erdem, C. (2026). A second-order meta-analysis on the effects of artificial intelligence applications on student outcomes. Journal of Educational Computing Research, 64(5), 1360–1389. https://doi.org/10.1177/07356331261424767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Wecker, C., Vogel, F., &amp; Hetmanek, A. (2016). Visionär und imposant – aber auch belastbar? Eine Kritik der Methodik von Hatties Visible Learning. Zeitschrift für Erziehungswissenschaft, 20, 21–40. https://doi.org/10.1007/s11618-016-0696-0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Wu, J.-Y., Lee, Y.-H., Chai, C. S., &amp; Tsai, C.-C. (2025). Strengthening human epistemic agency in the symbiotic learning partnership with generative artificial intelligence. Educational Researcher, 54(6), 358–368. https://doi.org/10.3102/0013189X251333628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