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教育部，2022）。这一要求意味着，学生不仅要掌握分科知识，还要学会在复杂问题面前调动不同学科的知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2023）。《深化新时代教育评价改革总体方案》此前也提出改进结果评价、强化过程评价、探索增值评价、健全综合评价（中共中央、国务院，2020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2.上海基础教育改革为高阶能力培育提供了制度环境和实践要求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在推进新课程新教材实施方面起步较早。上海市教育委员会印发了普通高中和义务教育阶段的课程实施方案（上海市教育委员会，2021），研制新课程新教材实施研究与实践项目指南，通过项目招标推动各区和学校开展行动研究，并在市、区两级建立了520多个监测点；科创教育方面，已研发近40门小学、初中、高中贯通的科创课程，在200余所中小学实施（杨振峰，2025）。上海的课程改革已经从文件层面进入学校日常教学和持续研究的层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考试评价改革同样引导学校关注学生综合运用知识的能力。初中学业水平考试的综合测试包括物理试题、化学试题和满分15分的跨学科案例分析题（上海市教育委员会，2019a）；初中学生综合素质评价设有创新精神与实践能力板块，重点记录学生参加探究学习、科技活动等方面的过程和成果（上海市教育委员会，2019b）。对一所上海初高中学校而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3.人工智能的普及使独立思考和判断变得更加重要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Zhao et al., 2025）。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Chen &amp; Cheung, 2025）。技术越普及，学校越需要通过任务设计、追问引导和反馈，帮助学生在使用技术时保持独立判断（Li et al., 2026; Wu et al., 2025）。</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4.课堂中高阶学习是否真正发生难以仅凭活动和考试结果判断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重要性，课堂中也越来越重视问题设计、合作学习、探究活动和学生参与。然而，课堂上出现了活动，并不等于学生在进行高阶学习。学生参加讨论、完成任务，只能说明学习行为已经发生，不能直接说明学生在分析问题、比较观点、形成判断，或者与同伴共同建构了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Abrami et al., 2015）。合作学习之所以能够促进高阶思维，在于学生需要向同伴解释概念、回应质疑并整合不同意见（Güngör et al., 2026）；如果小组任务没有分工、不要求说明理由，也没有反思环节，讨论就容易沦为简单的信息交换，甚至只是少数学生发言、多数学生旁听。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Lei et al., 2026）。如果只看考试结果，可能会低估学生在学习过程中已经发生的变化，也难以判断教学究竟在哪个环节起了作用。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Hattie, 2015）。如何把这一主张转化为能够识别和支持高阶能力的具体课堂做法，是当前课堂教学改革需要解决的现实问题。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5.学校已有实践需要由零散探索走向系统推进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  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由于年度尚未结束，不能据此判断研究热度下降。</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1）高阶能力的内涵与结构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Anderson &amp; Krathwohl, 2001）。分析、评价和创造通常被视为较高层次的认知活动，构成高阶思维最常见的操作性含义。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Resnick, 1987, as cited in Ünal et al., 2026）。这一取向把高阶思维从静态的目标层级拓展为在劣构情境中展开的动态加工过程。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Facione, 1990, as cited in Hughes, 2014）。创造力被界定为在特定情境中生成兼具新颖性和适切性的观念、方案或产品的能力（Runco et al., 2026），针对大学生的多层元分析表明，创造力能够通过系统训练得到显著提升（Guo et al., 2025）。国内研究进一步指出，高阶思维的核心在于新旧知识关系的建立，其概念框架包括问题情境分析、新旧知识关系建立、多维信息综合、创新性知识生成以及对思维过程的监控与调节五个成分（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Park et al., 2026）。这一发现提示，高阶思维的各个成分在真实任务中往往同时被调用，将分析、评价和创造置于同一学习过程中加以培养，比孤立训练某一成分更符合高阶思维的实际运作方式。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SSES）从任务能力、情绪调节、协作能力、开放能力和交往能力五个领域考察青少年的社会情感发展（OECD, 2021）；学术、社会与情感学习协作组织（Collaborative for Academic, Social, and Emotional Learning, CASEL）提出自我意识、自我管理、社会意识、人际关系技能和负责任决策五个领域（CASEL, 2020）。元分析表明，系统实施的校本社会情感学习能够改善学生的社会情感技能、日常行为和学业成绩（Durlak et al.,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袁振国等，2024）。基于苏州市数据的研究发现，交往能力与其他社会与情感能力之间存在中等程度的相关，并受同伴关系、家庭背景、教师和学校因素的影响（黄忠敬等，2021）。上述结果表明，社会情感能力在中学阶段并不随年龄增长自然提高，学校层面的有意识培养具有必要性。也有研究提醒，将深受文化影响的共情、情绪等品质转化为统一分数进行跨情境比较，存在标准化和简化的风险（Steiner-Khamsi et al., 2024）。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2）高阶能力的发展条件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现有证据较为一致地表明，高阶能力不会随知识难度的提高而自然形成，其发展依赖特定的教学条件。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Abrami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Güngör et al., 2026）。图形组织器对高阶思维同样具有显著的促进作用，其中思维导图的效果最强，概念图由于结构复杂、绘制负担较重，效果相对较弱（Lei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De Jong et al., 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指导的设计还需要避免过载。同时向学习者提供多种相互重叠的外部支架，并不会产生叠加效应，反而可能分散注意力、增加无关认知负荷而相互抵消（De Jong et al., 2023）。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3）高阶能力的学科依存性与情境性</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Hughes, 2014）。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Cole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2023）。对本课题而言，高阶能力培育既需要跨学科共享的能力目标，又需要在语文、数学、物理、英语等学科以及科创项目中形成各自的实践方式，不宜以统一流程机械套用于所有课堂。</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4）高阶能力的评价</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Zemplén, 2007）。第二个难题是教师缺乏判断依据，对国际文凭学校教师的调查显示，评估学生批判性思维的进步是教师认为最困难的工作，探究性思维缺乏标准答案，而学生又习惯于索要确定的分数（Bergeron &amp; Rogers,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形成性评价为应对上述难题提供了思路。过早给出终结性分数会促使学生追求唯一正确答案而回避智识风险，低利害的多轮练习与修订以及描述性反馈，更有利于学生提出新颖假设并审慎修正论证（Bouckaert, 2023）。学习结果结构分类（Structure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Cole et al., 2015）。这意味着，高阶能力评价既要关注技能表现，也要关注思维倾向，并把测评结果放回具体的教学情境中理解。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评价还需警惕单一证据的局限。元分析显示，创造力与批判性思维均采用自陈量表测量时，二者的相关明显高于均采用任务表现测量时，表明共享测量方法会放大构念之间的观察相关（Park et al., 2026）。学习分析技术扩大了可观察的范围，但仪表盘以颜色、进度条等形式给出的直观判断，可能先于并替代教师对学生学习的专业解释（Jornitz &amp; Klinge, 2022）。因此，高阶能力评价需要综合问卷、作品、课堂表现和教师判断等多种证据，并明确每类证据所能支持的推断范围。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5）数智技术对高阶能力发展的影响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研究者认为这与模型倾向于输出常规答案、学生直接采用后难以产生新颖构想有关；干预周期呈倒U型，8至16周效果最佳，周期过短学生尚处适应阶段，周期过长则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Li et al., 2026）。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Liu et al., 2026）。反馈研究建议，要求学生将人工智能生成的反馈与同伴意见、教师指导和优秀范例进行比较，并说明采纳或拒绝每条建议的理由，可以使技术反馈成为学生判断的素材而非替代（Du &amp; Yuan, 2026）。数智技术并未降低高阶能力的重要性，反而对学习设计以及判断学生是否真正进行思考提出了更高要求。</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过程中，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  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1）可见的学习的基本主张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Hattie基于大规模教育证据综合提出的理论框架。其统计基础可以追溯到1992年对134项元分析、两万余个效应量的综合，该综合确立了约0.40个标准差的平均效应作为比较不同教育干预相对效果的参照（Higgins, 2016）。由于几乎所有教学干预都能带来一定进步，这一框架主张判断一项干预是否值得推广，应看其能否带来高于平均水平的增益，而不是简单判断其是否有效。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asTTle）以课程锚定的诊断性测评为教师提供学生所处进阶位置的信息，使评价结果能够及时转化为调整教学的依据（Hattie, 2005）。可见的学习的核心含义正在于此，即教师能够看见自身教学对学生学习的影响，学生能够看见自己的学习进展并逐步成为自身学习的主导者。</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2）可见的学习的运行机制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Hattie, 2005, pp. 14–17）。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McDonnell &amp; Weatherford, 2013）。这一发现提示，学校自行构建的能力进阶描述同样需要在教学实践中检验和修订。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反馈围绕学习要到达哪里、当前处于什么位置、下一步如何推进三个问题展开，把目标、当前表现和后续行动连接起来，并可指向任务、过程和自我调节等不同层面（Hattie &amp; Timperley, 2007）。反馈具有双向性，学生的作业、提问和错误同样是教师判断教学效果的信息来源，有研究者进一步主张将学校建设为持续追问下一步方向的反馈文化（Fredens, 2015）。课堂观察研究发现，教师往往难以觉察课堂中正在发生的大部分事情，教师自认为讲授仅占课堂时间的二至三成，实际测量却达到七至八成（Knudsen, 2017），这说明教师需要借助证据而非仅凭感觉了解课堂。反馈的效果还取决于学习者的反馈素养，即理解反馈、判断其合理性、调节面对批评时的情绪并将建议转化为改进行动的能力（Carless &amp; Boud, 2018, as cited in Du &amp; Yuan, 2026）。</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3）可见的学习对教师和学校的要求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关键与其说在于教师采用了何种方法，不如说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教师的专业判断需要学校组织的支持。斯堪的纳维亚的研究者将可见的学习重新诠释为校本改进的路径，强调通过教师协作研讨、同伴观课和跨年级共享进阶标准开展集体能力建设（Nordahl, 2015）。有效的专业学习共同体通常具有聚焦学生学习的共同愿景、对学生学业成效的集体责任、反思性的专业探究以及超越一般互助的深度协作等特征（Brown &amp; Greany, 2018）。关于教育证据使用的研究也发现，学校在日常排课中为教师保留专门的研讨时间，教师才能在互信的氛围中提出疑问、研读研究并结合班级学情设计教学尝试，研究证据也更可能真正进入课堂（Rickinson et al., 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Edovald &amp; Nevill, 2021）。另一方面，把课例研究作为教师共同检验教学方案的正式机制，有助于将教师自身的探究与外部研究证据结合起来（Brown &amp; Greany, 2018）。教研活动的关键在于是否聚焦学生真实的学习表现，并在多轮实践中检验改进是否有效。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4）关于可见的学习的学术争议与本研究的使用立场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可见的学习在国际上影响广泛，同时也受到持续的学术批评。厘清这些批评，有助于明确本研究应在何种意义上使用该理论。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第一类批评针对以效应量对教学因素进行排序的做法。0.40的关节点缺乏充分依据，对不同研究结果的简单平均会掩盖重要差异，例如家庭作业对小学生几乎没有效果，对中学生的效果却较为明显（Snook et al., 2009）。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ecker et al., 2016）。数值示例还表明，同一组数据采用不同公式计算效应量，可能得出完全相反的排序（Bergeron &amp; Rivard, 2017）；大量元分析的层层汇总也会导致原始研究中的具体信息丢失或被扭曲（Terhart,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Nielsen &amp; Klitmøller, 2021）。元分析所依据的多为标准化考试成绩，偏重表层知识，对深层理解和批判性思维的反映有限（Qvortrup, 2015）。这些批评表明，反馈发挥作用需要具体指向任务和改进方法，并被学生理解和使用。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第三类批评针对理论在实践中的使用方式和适用范围。若行政部门把可见的学习转化为以高效应量方法清单考核教师的工具，会削弱教师依据具体情境作出专业判断的能力（Eacott, 2019）。原始元分析主要来自英语国家的研究，直接迁移到非英语国家和不同社会文化环境时存在适应性问题（Golovchin, 2019）。对英格兰、苏格兰和德国学校的比较研究发现，苏格兰校长面对此类流行理念时并不直接照搬，而是组织教师在本校课堂中开展实践者探究，检验其对本校学生的适切性，德国部分学校则将相关著作作为教师小组研读和讨论的参考（Kelly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可见的学习与高阶能力培育的结合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而非照搬固定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Rickinson et al., 2022）。以实践者探究方式检验外部理念的经验也表明，学校对外部理论的吸收需要经过本校课堂证据的检验和校准（Kelly et al., 2025）。这为本课题以行动研究推动模型在学校中的生成和修正提供了依据。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已有研究在高阶能力和可见的学习两方面都形成了较为丰富的理论与实证基础，但就本课题关注的问题而言，仍存在三个方面的不足。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第三，在研究情境上，关于高阶思维与数智技术的实证研究大多以大学生为对象，基础教育阶段的证据较少且结果不稳定（Chen &amp; Cheung, 2025; Liu et al., 2026），一所学校在多个学科和多种学习场域中持续开展、多轮改进的研究也较为缺乏。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1.理论意义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2.实践意义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存在争议的效应量排名，而是把其中关于学习意图与成功标准、反馈三问以及教师诊断、干预和评估的主张，转化为学生“目标引领—任务驱动—探究展学—反馈迭代—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3.方法意义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核心概念界定</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1.中学生高阶能力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（1）高阶思维能力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w:t>
      </w:r>
      <w:r>
        <w:rPr>
          <w:rFonts w:ascii="宋体" w:eastAsia="宋体" w:hAnsi="宋体" w:cs="宋体" w:hint="eastAsia"/>
          <w:kern w:val="0"/>
          <w:sz w:val="24"/>
        </w:rPr>
        <w:t>，指学生能够分解复杂问题，辨别不同信息、条件和变量之间的关系，抓住问题的关键要素及其内在联系。</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w:t>
      </w:r>
      <w:r>
        <w:rPr>
          <w:rFonts w:ascii="宋体" w:eastAsia="宋体" w:hAnsi="宋体" w:cs="宋体" w:hint="eastAsia"/>
          <w:kern w:val="0"/>
          <w:sz w:val="24"/>
        </w:rPr>
        <w:t>，指学生能够依据事实、证据或一定标准，对观点、方法、过程和结果进行比较、判断、质疑和反思。</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w:t>
      </w:r>
      <w:r>
        <w:rPr>
          <w:rFonts w:ascii="宋体" w:eastAsia="宋体" w:hAnsi="宋体" w:cs="宋体" w:hint="eastAsia"/>
          <w:kern w:val="0"/>
          <w:sz w:val="24"/>
        </w:rPr>
        <w:t>，指学生能够综合已有知识和经验，形成新的观点、方案、解释或作品，并把已有知识和方法迁移到新的问题情境中。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解决、迁移和元认知在本研究中不另设维度，而是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（2）高阶社会情感能力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，指学生能够明确任务目标和个人职责，主动投入并坚持完成任务，对个人学习和团队成果负责。</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，指学生面对困难、压力、失败和观点冲突时，能够调节自己的情绪和行为，保持相对稳定的学习状态并继续行动。</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包容创新</w:t>
      </w:r>
      <w:r>
        <w:rPr>
          <w:rFonts w:ascii="宋体" w:eastAsia="宋体" w:hAnsi="宋体" w:cs="宋体" w:hint="eastAsia"/>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里的“高阶”，并不是说社会情感能力已经存在国际公认的高低等级，而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需要特别说明的是，本研究中的可见并不等同于课堂行为能够被看到。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3.学习证据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理论框架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养什么，可见的学习回答怎样使其发生并被判断，学习证据则把二者连接起来。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反馈调节”的工作链条。在这一链条中，学生和教师各有一条主线。学生沿着“目标引领—任务驱动—探究展学—反馈迭代—反思迁移”的五环经历高阶学习；教师沿着“诊断发现—干预—实施—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学习证据按五个层面组织，即后文模型中的五见，包括目标可见、思维可见、证据可见、进步可见和能力可见。表2-1说明了每个层面对应的可见的学习要素、主要学习证据和证据用途。</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五见与可见的学习要素及学习证据的对应关系</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研究问题与研究目标</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本研究围绕以下四个问题展开。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（1）本校中学生高阶思维与高阶社会情感的起点状况如何？教师开展高阶能力培育的认识、实践、困难和需求是什么？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（2）以“可见的学习”为连接机制，中学生高阶能力培育的学习模型与教学模型应包含哪些要素？各要素之间如何关联？</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（3）模型在学科课堂与科创项目中如何转化实施？多轮实践中作出了哪些调整，依据是什么？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（4）实施期间，学生高阶能力、课堂学习条件和教师实践发生了哪些变化？不同来源的证据在多大程度上相互一致？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研究内容</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1.“可见的学习”视域下中学生高阶能力培育的理论研究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2.中学生高阶能力发展及培育现状的调查研究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3.中学生高阶能力培育学习模型与教学模型的建构研究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评估组织教师循证调节，以五见贯穿学习证据的获取与使用，形成学习模型与教学模型协同运行的培育框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4.中学生高阶能力培育模式的多场域实践研究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5.中学生高阶能力培育成效的评价与优化研究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研究设计与方法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1.总体设计</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本研究立足学校真实教育教学情境，按照“理论研究—现状诊断—模型建构—多场域实践—成效评价—持续优化”的思路展开。整体上采用设计型研究（Design-Based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（1）文献研究法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（2）问卷调查法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（3）访谈法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（4）行动研究法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行动研究是本课题开展实践探索和持续改进的主要方法。研究以典型研究课和科创项目为实践单元，按照“实践—证据采集—问题诊断—方案改进—再次实践—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2015）。研究不以单次课堂或单个项目的结果判断模式是否有效，而是通过多轮实践、比较和修正，逐步提炼高阶能力培育的关键环节与实施策略。</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（5）课堂观察法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（6）案例研究法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3.数据处理与证据整合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4.研究效度与推论边界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是将其与学生作品、课堂观察和教师判断相互印证。综合上述设计，本研究的结论表述为多种证据在多大程度上一致支持模型在本校情境中的可实施性和积极变化，不作模型产生确定因果效果的推断。</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研究步骤</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遵循“理论研究—现状诊断—模型建构—多场域实践—成效评价—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1.准备阶段（2023年11月—2024年3月）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2.实施阶段（2024年4月—2026年6月）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3.总结阶段（2026年7月—2026年10月）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六）节呈现模型在学科课堂和科创教育中的实践与迭代，回应第三个研究问题；第（七）、（八）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高阶思维的测评需要明确认知过程及其在学习任务中的表现。布卢姆教育目标分类修订版将认知过程划分为记忆、理解、应用、分析、评价和创造六个层次，为区分学习任务的认知要求提供了理论依据（Anderson &amp; Krathwohl, 2001）。高阶思维还体现为学生面对新材料和非程序化问题时的迁移、批判性思考与问题解决，其核心在于建立新旧知识之间的联系（马淑风，杨向东，2022）。</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OECD, 2021）。</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参照国内基于社会与情感能力调查开展的测评框架（黄忠敬等，2021；袁振国等，2024），围绕中学生高阶能力培育的需要，选取与责任承担、自我调节、合作协商和开放探索相关的内容，依据其内涵联系进行归并，形成责任担当、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。调查内容包括分析、评价、创造三个高阶思维维度，以及责任担当、情绪调节、合作共情、包容创新四个高阶社会情感维度，共32道评分题。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八年级各有12个班，九年级有13个班级，高中十至十二年级各有4个班。课题组在初中六至八各年级随机抽取5个班、九年级抽取6个班，高中各年级随机抽取2个班，共抽取27个班，采用问卷星组织入选班级学生在学校计算机房集中填写问卷，共回收有效问卷1346份。其中，男生671人、女生675人，分别占49.85%和50.15%。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包容创新七个理论维度。本研究依据问卷星对1346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前两个成分的特征值大于1，第三个成分的特征值低于1，结果见表2。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学生高阶能力问卷内部一致性信度检验结果（N＝1346）</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呈现各题五级选项的分布，与表9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表9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表10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包容创新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表11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表12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表13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表14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表15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表16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表17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17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表18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表19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Bergeron &amp; Rogers, 2015）。本研究以此解释教师对高阶能力培育的实施把握，重点考察其能否设计适合学生的任务、通过提问与点拨推动思考，以及识别学生的高阶表现。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课题组通过问卷星编制问卷向学校全体教师发放问卷，共收回问卷163份。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研究首先采用KMO取样适切性检验和Bartlett球形度检验，判断题项相关矩阵是否适合进行因子分析，结果见表1。</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前四个成分的特征值均大于1，第五个成分的特征值低于1，结果见表2。</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α系数。四组内容的测量指向不同，现实阻碍的高分表示困难较强，因此不合并计算教师问卷总分。检验结果见表4。</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本研究依托问卷星组织本校教师在线填写问卷，共收集163份教师问卷。样本涵盖不同教龄、职称、任教学段及相关培训经历，具体构成见图1。</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w:t>
      </w:r>
      <w:r>
        <w:rPr>
          <w:color w:val="3C464C"/>
          <w:sz w:val="18"/>
        </w:rPr>
        <w:t xml:space="preserve">1 </w:t>
      </w:r>
      <w:r>
        <w:rPr>
          <w:color w:val="3C464C"/>
          <w:sz w:val="18"/>
        </w:rPr>
        <w:t>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表5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w:t>
      </w:r>
      <w:r>
        <w:t xml:space="preserve">2 </w:t>
      </w:r>
      <w:r>
        <w:t>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lastRenderedPageBreak/>
        <w:t>据完整选项频数补做固定边际精确检验，结果见表7。</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w:t>
      </w:r>
      <w:r>
        <w:rPr>
          <w:color w:val="3C464C"/>
          <w:sz w:val="18"/>
        </w:rPr>
        <w:t xml:space="preserve">3 </w:t>
      </w:r>
      <w:r>
        <w:rPr>
          <w:color w:val="3C464C"/>
          <w:sz w:val="18"/>
        </w:rPr>
        <w:t>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（四）可见的学习视域下中学生高阶能力培育模型建构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Hattie &amp; Timperley, 2007），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能力进阶尺度同样以高阶能力理论为依据。高阶思维是非算法性的、需要在不确定条件下作出判断的加工过程（Ünal et al., 2026），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SOLO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Guo et al., 2025），这为反思迁移环节中的策略提炼和迁移练习提供了依据。</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模型的运行依赖教师的专业判断。同一种教学方法在不同学生和任务中的效果差异明显，教师需要依据学生的即时表现决定何时提供支架、何时撤除支架，而不是按固定程序执行。模型在不同学科中的转化还涉及忠实执行与本地适应之间的平衡，本研究因此要求教师在每轮实践中说明对模型作了哪些调整及其理由，以区分核心要素的保留与形式上的变通（Cowen et al., 2015）。</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69D0D44A" w14:textId="77777777" w:rsidR="000B1CCE" w:rsidRDefault="00000000">
      <w:pPr>
        <w:adjustRightInd w:val="0"/>
        <w:snapToGrid w:val="0"/>
        <w:spacing w:line="360" w:lineRule="auto"/>
        <w:ind w:firstLineChars="200" w:firstLine="480"/>
        <w:rPr>
          <w:rFonts w:ascii="宋体" w:eastAsia="宋体" w:hAnsi="宋体" w:cs="宋体"/>
          <w:color w:val="0000FF"/>
          <w:sz w:val="24"/>
        </w:rPr>
      </w:pPr>
      <w:r>
        <w:rPr>
          <w:rFonts w:ascii="宋体" w:eastAsia="宋体" w:hAnsi="宋体" w:cs="宋体"/>
          <w:color w:val="0000FF"/>
          <w:sz w:val="24"/>
        </w:rPr>
        <w:t>（</w:t>
      </w:r>
      <w:r>
        <w:rPr>
          <w:rFonts w:ascii="宋体" w:eastAsia="宋体" w:hAnsi="宋体" w:cs="宋体" w:hint="eastAsia"/>
          <w:color w:val="0000FF"/>
          <w:sz w:val="24"/>
        </w:rPr>
        <w:t>五</w:t>
      </w:r>
      <w:r>
        <w:rPr>
          <w:rFonts w:ascii="宋体" w:eastAsia="宋体" w:hAnsi="宋体" w:cs="宋体"/>
          <w:color w:val="0000FF"/>
          <w:sz w:val="24"/>
        </w:rPr>
        <w:t>）五环引领下模型的实践与迭代</w:t>
      </w:r>
    </w:p>
    <w:p w14:paraId="0B6D1B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五环引领下的模型实践框架</w:t>
      </w:r>
      <w:r>
        <w:rPr>
          <w:rFonts w:ascii="宋体" w:eastAsia="宋体" w:hAnsi="宋体" w:cs="宋体" w:hint="eastAsia"/>
          <w:sz w:val="24"/>
        </w:rPr>
        <w:t>和逻辑</w:t>
      </w:r>
    </w:p>
    <w:p w14:paraId="73C62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（1）模型的实践框架</w:t>
      </w:r>
    </w:p>
    <w:p w14:paraId="148E8A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前期研究完成了对学生高阶能力基础、课堂学习状态和教师教学实践的诊断，也据此提出了“目标引领—任务驱动—探究展学—反馈迭代—反思迁移”的五环模型。</w:t>
      </w:r>
    </w:p>
    <w:p w14:paraId="3B63D4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38C2C89E" wp14:editId="23971D55">
            <wp:extent cx="4328795" cy="3246755"/>
            <wp:effectExtent l="0" t="0" r="5080" b="1270"/>
            <wp:docPr id="23" name="图片 23" descr="415f2c75-f988-49f6-85ea-b71b14473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5f2c75-f988-49f6-85ea-b71b1447376e"/>
                    <pic:cNvPicPr>
                      <a:picLocks noChangeAspect="1"/>
                    </pic:cNvPicPr>
                  </pic:nvPicPr>
                  <pic:blipFill>
                    <a:blip r:embed="rId18"/>
                    <a:stretch>
                      <a:fillRect/>
                    </a:stretch>
                  </pic:blipFill>
                  <pic:spPr>
                    <a:xfrm>
                      <a:off x="0" y="0"/>
                      <a:ext cx="4328795" cy="3246755"/>
                    </a:xfrm>
                    <a:prstGeom prst="rect">
                      <a:avLst/>
                    </a:prstGeom>
                  </pic:spPr>
                </pic:pic>
              </a:graphicData>
            </a:graphic>
          </wp:inline>
        </w:drawing>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进入实践阶段后，我们关注的重点不再是模型是否完整，而是它能否进入真实课堂，能否解释并改善学生的学习，能否留下可以判断学习发生与否的证据。</w:t>
      </w:r>
      <w:r>
        <w:rPr>
          <w:rFonts w:ascii="宋体" w:eastAsia="宋体" w:hAnsi="宋体" w:cs="宋体" w:hint="eastAsia"/>
          <w:sz w:val="24"/>
        </w:rPr>
        <w:t>基于这一考虑，学校没有把五环作为一套固定教学程序去推广，而是把它作为高阶能力培育的基本实践路径，在不同学科、不同项目中反复使用、观察、修正。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30E22B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（2）模型的实践逻辑</w:t>
      </w:r>
    </w:p>
    <w:p w14:paraId="6FB35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1）以高阶能力培育统领五环实践为目标</w:t>
      </w:r>
    </w:p>
    <w:p w14:paraId="4F40F4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并不以课堂活动丰富、学生参与热烈作为最终成效，而是持续追问，学生是否能够分析复杂信息，是否能够比较不同方案并作出有依据的判断，是否能够在观点冲突中运用证据进行论证，是否能够在合作中形成超越个体原有认识的共同建构，是否能够把学到的方法迁移到新的情境并产生新的解决方案。也就是说，可见的学习解决的是如何看见并促进学习发生，“高阶能力培育”解决的是学习最终应当走向哪里。</w:t>
      </w:r>
    </w:p>
    <w:p w14:paraId="0A036C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2）以五环实践促进高阶能力发展为路径</w:t>
      </w:r>
    </w:p>
    <w:p w14:paraId="407379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样的逻辑下，五环形成了一条由目标到能力、由学习到证据的连续路径，目标引领使学习方向和评价标准可见；任务驱动把能力目标转化为学生必须面对的真实认知挑战；探究展学把原本隐性的思考、判断和合作过程外显出来；反馈迭代依据学习证据缩短学生当前表现与目标之间的距离；反思迁移则促使学生从完成一次任务走向提炼方法、迁移能力。五环之间并非线性割裂，每一环都可能回到前一环重新调整，但其总体方向始终指向学生学习质量的提升。</w:t>
      </w:r>
    </w:p>
    <w:p w14:paraId="290DE3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3）以学科课堂与科创教育为实践域场</w:t>
      </w:r>
    </w:p>
    <w:p w14:paraId="14D190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将这一模型放入两个主要实践场域。其一是学科课堂域，这是高阶能力日常发生、持续积累的基本场域；其二是科创教育域，这是学生面对真实问题、综合运用知识并持续改进方案的重要场域。两个场域使用的是同一五环，但学习材料、问题性质和成果形态不同。学科课堂更强调基于学科核心知识的分析、</w:t>
      </w:r>
      <w:r>
        <w:rPr>
          <w:rFonts w:ascii="宋体" w:eastAsia="宋体" w:hAnsi="宋体" w:cs="宋体" w:hint="eastAsia"/>
          <w:sz w:val="24"/>
        </w:rPr>
        <w:lastRenderedPageBreak/>
        <w:t>比较、解释与论证，科创教育更强调基于真实问题的设计、实验、测试与改进。正因为场域不同，同一模型才能在多样实践中接受检验，避免成为只适用于某一课型的教学流程。</w:t>
      </w:r>
    </w:p>
    <w:p w14:paraId="469377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以两域实践提炼高阶能力培育的典型样态</w:t>
      </w:r>
    </w:p>
    <w:p w14:paraId="225DC7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两域持续实践中，我们没有预先规定学生必须呈现某一种“标准化”的高阶学习形态，而是依据课堂观察、学习单、学生作品、项目记录、AI课堂数据和访谈资料，对反复出现的学习行为进行比较与归纳。由此逐步提炼出五种较为稳定的高阶学习样态，真实情境的任务性实践、方案比较的验证性实践、证据支撑的论证性实践、协同探究的建构性实践和综合迁移的创新性实践。五种样态不是五环的另一个版本，也不是五个教学步骤，而是学生高阶学习在不同场域中的典型表现。</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高阶能力培育为目标，以五环为运行路径，以学科课堂和科创教育为实践场域，在实践中观察并提炼高阶学习样态，再依据多源证据反观模型、修正模型。其核心不是不断增加新的概念，而是让“目标—学习—证据—改进”之间建立起稳定联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创造、包容创新、责任担当</w:t>
            </w:r>
          </w:p>
        </w:tc>
      </w:tr>
    </w:tbl>
    <w:p w14:paraId="15A3FADB" w14:textId="77777777" w:rsidR="000B1CCE" w:rsidRDefault="000B1CCE">
      <w:pPr>
        <w:adjustRightInd w:val="0"/>
        <w:snapToGrid w:val="0"/>
        <w:spacing w:line="360" w:lineRule="auto"/>
        <w:ind w:firstLineChars="200" w:firstLine="480"/>
        <w:rPr>
          <w:rFonts w:ascii="宋体" w:eastAsia="宋体" w:hAnsi="宋体" w:cs="宋体"/>
          <w:sz w:val="24"/>
        </w:rPr>
      </w:pP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（六）学习模型与教学模型协同下的实践与迭代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lastRenderedPageBreak/>
        <w:t>点，使能力目标能够真正落到学习任务和学习表现上。</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表X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Kuhn et al., 2000）。论证性实践要求学生说明依据、回应质疑并修正判断，为学生认识论理解的发展提供了课堂条件。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0EA233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基于实践证据的模型迭代与优化</w:t>
      </w:r>
    </w:p>
    <w:p w14:paraId="7FA3BD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进入实践以后，真正需要回答的不是“有没有按照五环上课”，而是学习模型与教学模型的协同运行是否真正改善了学生的学习。为此，我们把迭代建立在证据基础上。学生学习表现、教师五维评课、课堂行为智能评价以及案例中已经形成的学习单、学生作品、项目记录等，不是为了给研究增加材料，而是用来判断模型在哪些环节有效、在哪些环节仍然存在断点。</w:t>
      </w:r>
    </w:p>
    <w:p w14:paraId="47BABC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迭代首先关注五环之间是否真正连起来。目标是否只是教师宣布而没有转化为学生可用的标准；任务是否只是形式丰富而缺乏认知挑战；探究是否出现了学生真实思考，还是停留在热闹交流；反馈是否带来二次修改，还是只停留在教师点评；迁移是否进入新情境，还是只是重复练习。只有把这些问题落实到具体证据上，模型调整才不是经验性的。</w:t>
      </w:r>
    </w:p>
    <w:p w14:paraId="61E0BD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次，迭代还关注教师循证调节是否真正发生。学生出现困难时，教师是否能够识别问题所在；支架是否与学生当前状态匹配；追问和反馈是否推动了学生重新思考；评估是否真正进入下一轮教学设计。也就是说，模型优化既要看学生学习模型是否运转，也要看教师教学模型是否能够依据学习证据作出及时、适切的调整。</w:t>
      </w:r>
    </w:p>
    <w:p w14:paraId="05D0B6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再次，五种高阶学习典型样态为我们重新审视实践质量提供了中层参照。某些课堂可能较容易出现论证性学习，却缺少真正的方案比较；某些科创项目可能有丰富的实践活动，却缺少对证据和方法的反思。样态不是评价等级，而是帮助课题组判断不同实践中高阶学习究竟以何种方式发生、哪些方式仍然不足。</w:t>
      </w:r>
    </w:p>
    <w:p w14:paraId="32E8B3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迭代必须保留调整前—调整依据—调整后的完整链条。例如，前期课堂观察发现学生讨论较充分，但讨论结束后往往由教师直接总结，学生缺少依据标准进行自我修订的机会；研究团队据此在后续实践中增加“成功标准回看—同伴反馈—二次表达”的操作要求，再比较两轮课堂中学习单和课堂对话的变化。只有这样的证据链，才能说明模型为什么改、改了什么、改后是否更有效。</w:t>
      </w:r>
    </w:p>
    <w:p w14:paraId="24421F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经过这一过程，模型不再是一张静态结构图，而成为学校持续改进课堂和项目学习的工作框架。它的稳定之处在于，始终以高阶能力发展为目标，以可见学习证据为依据，以五环组织学生学习，以循证调节支持教师教学；它的开放之处在于，允许不同学科、不同项目根据自身内容特点调整任务、支架和评价方</w:t>
      </w:r>
      <w:r>
        <w:rPr>
          <w:rFonts w:ascii="宋体" w:eastAsia="宋体" w:hAnsi="宋体" w:cs="宋体"/>
          <w:sz w:val="24"/>
        </w:rPr>
        <w:lastRenderedPageBreak/>
        <w:t>式。</w:t>
      </w:r>
    </w:p>
    <w:p w14:paraId="17B6FD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看见学生在哪里，看见学习怎样发生，看见教师支持产生了什么影响，再依据证据决定下一步怎样改。</w:t>
      </w:r>
    </w:p>
    <w:p w14:paraId="62326E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这也是本研究所理解的可见的学习真正进入高阶能力培育实践的意义。</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（七）高阶能力培育评价体系与多源证据构建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评价体系的设计还考虑了高阶能力评价的两类风险。其一是以术语代替思维，当评价标准只关注学生是否使用了特定的分析术语时，学生可能通过套用术语获得较高评价（Zemplén, 2007），因此本研究的评价指标描述的是学生的具体表现，例如能否说明判断依据、比较不同方案、依据反馈修订观点。其二是过早评分抑制探索，低利害的多轮修订和描述性反馈更有利于批判性思维和创造力的发展（Bouckaert, 2023），因此课堂中的评价以形成性反馈为主，分数主要用于研究层面的前后比较。在思维层次判断上，评价指标与研究设计中的表2-1相衔接，以布卢姆分类界定任务要求，以SOLO分类判断学生回答和作品的结构水平。</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表X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（八）高阶能力培育模型实施成效的结果分析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表10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（5）高阶思维能力各维度的发展成效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表11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表12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表13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表14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表15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表16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表17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（2）教师学科分布与维度计分方法</w:t>
      </w:r>
    </w:p>
    <w:p w14:paraId="18C87878" w14:textId="77777777" w:rsidR="000B1CCE" w:rsidRDefault="00000000">
      <w:pPr>
        <w:keepNext/>
        <w:snapToGrid w:val="0"/>
      </w:pPr>
      <w:r>
        <w:lastRenderedPageBreak/>
        <w:t>表</w:t>
      </w:r>
      <w:r>
        <w:t xml:space="preserve">2  </w:t>
      </w:r>
      <w:r>
        <w:t>纳入匹配表的教师学科分布（</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w:t>
      </w:r>
      <w:r>
        <w:t xml:space="preserve">3  </w:t>
      </w:r>
      <w:r>
        <w:t>教师认知与价值认同前后测配对分析（</w:t>
      </w:r>
      <w:r>
        <w:t>n</w:t>
      </w:r>
      <w:r>
        <w:t>＝</w:t>
      </w:r>
      <w:r>
        <w:t>129</w:t>
      </w:r>
      <w:r>
        <w:t>）</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表4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w:t>
      </w:r>
      <w:r>
        <w:t xml:space="preserve">5  </w:t>
      </w:r>
      <w:r>
        <w:t>教师教学自我效能前后测配对分析（</w:t>
      </w:r>
      <w:r>
        <w:t>n</w:t>
      </w:r>
      <w:r>
        <w:t>＝</w:t>
      </w:r>
      <w:r>
        <w:t>129</w:t>
      </w:r>
      <w:r>
        <w:t>）</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w:t>
      </w:r>
      <w:r>
        <w:t xml:space="preserve">6  </w:t>
      </w:r>
      <w:r>
        <w:t>教师现实阻碍前后测配对分析（</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4.教师五维评课结果分析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表10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表11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表12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表13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表14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5.基于希沃AI评课的课堂实施分析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AI行为数据的价值还在于弥补教师主观感受的局限。课堂观察研究发现，教师往往难以准确估计自己讲授所占的时间，自认为只占二至三成的讲授实际可能达到七至八成（Knudsen, 2017）。希沃数据为教师提供了不依赖自我感觉的课堂结构信息，但这些信息只描述行为发生的时间和频次，教师仍需结合学习目标和学生表现解释其意义。</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2.0版把迁移列为高阶思维的核心目标之一，强调能力在新情境中的运用；学生问卷沿用研究设计阶段确定的创造维度进行测量，因此本报告的统计结果仍以创造呈现。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图X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需要指出的是，三层六阶和两境四维属于本研究在实践中形成的进阶假设。学业进阶研究表明，初高中阶段的进阶序列多依据学科逻辑推演而来，需要一线教师对照课堂实际进行检验和校准（McDonnell &amp; Weatherford, 2013）。本研究在多轮课例研讨中依据学生作品和课堂表现修订进阶描述，正是这种校准过程的体现，后续仍需积累更多学科的表现样例。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lastRenderedPageBreak/>
        <w:t>图1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　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　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　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　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　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lastRenderedPageBreak/>
        <w:t>图4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　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这种变化与可见的学习关于反馈文化的主张一致，即学校持续追问学生下一步应走向哪里，使反馈从个别教师的教学技术转变为学校的工作方式（Fredens, 2015）。</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表4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课堂评价、AI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Creswell &amp; Creswell, 2022）。</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b/>
          <w:color w:val="000000"/>
          <w:kern w:val="0"/>
          <w:sz w:val="24"/>
        </w:rPr>
        <w:t>参考文献</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 (2022). 义务教育课程方案（2022年版）. 北京师范大学出版社.</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教育部办公厅. (2023). 基础教育课程教学改革深化行动方案（教材厅函〔2023〕3号）. https://www.gov.cn/zhengce/zhengceku/202306/content_6884785.htm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(2019a). 上海市初中学业水平考试实施办法（沪教委规〔2019〕2号）.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(2019b). 上海市初中学生综合素质评价实施办法（沪教委规〔2019〕3号）.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(2021). 上海市普通高中课程实施方案.</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杨振峰. (2025, 1月14日). 素养立意的课程建设与教学变革. 中国教育在线. https://www.eol.cn/news/xueshu/hui/202501/t20250114_2651182.shtml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中共中央, 国务院. (2020). 深化新时代教育评价改革总体方案. https://www.gov.cn/zhengce/2020-10/13/content_5551032.htm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Anderson, L. W., &amp; Krathwohl, D. R. (Eds.). (2001). A taxonomy for learning, teaching, and assessing: A revision of Bloom's taxonomy of educational objectives. Longman.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L., &amp; Rogers, L. (2015). Teaching the Theory of Knowledge course in IB World Schools. University of Wisconsin-La Crosse.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Biggs, J. (1999). What the student does: Teaching for enhanced learning. Higher Education Research &amp; Development, 18(1), 57–75. https://doi.org/10.1080/0729436990180105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CASEL. (2020). CASEL's SEL framework: What are the core competence areas and where are they promoted? Collaborative for Academic, Social, and Emotional Learning.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Cohen, L., Manion, L., &amp; Morrison, K. (2011). Research methods in education (7th ed.). Routledge.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Cowen, N., Cartwright, N., Virk, B., &amp; Mascarenhas-Keyes, S. (2015). Making the most of the evidence: Evidence-based policy in the classroom (CHESS Working Paper No. 2015-03). Durham University.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Creswell, J. W., &amp; Creswell, J. D. (2022). Research design: Qualitative, quantitative, and mixed methods approaches (6th ed.). SAGE.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 Y., &amp; Yuan, Y. (2026). Epistemic dependence in AI-mediated learning. AI &amp; Society. https://doi.org/10.1007/s00146-026-03294-1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Eacott, S. (2019). Ranting, raving and complaining: Reflections on working against orthodoxy. International Journal of Leadership in Education, 22(6), 774–782.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Edovald, T., &amp; Nevill, C. (2021). Working out what works: The case of the Education Endowment Foundation in England. ECNU Review of Education, 4(1), 46–64.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Fredens, K. (2015). Synlig læring og læringens anatomi [Anmeldelse af bogen af John Hattie og Gregory Yates]. Paideia, (9), 70–75.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Golovchin, M. A. (2019). What kind of teacher does the 'school of the future' need? Possibility of using John Hattie's approach in Russian education. Economic and Social Changes: Facts, Trends, Forecast, 12(5), 229–242.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(2015). The applicability of Visible Learning to higher education. Scholarship of Teaching and Learning in Psychology, 1(1), 79–91.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&amp; Timperley, H. (2007). The power of feedback. Review of Educational Research, 77(1), 81–112.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Higgins, S. (2016). Meta-synthesis and comparative meta-analysis of education research findings: Some risks and benefits. Review of Education, 4(1), 31–53.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Kelly, P., Beck, A., &amp; Hofbauer, S. (2025). Comparing school leaders' experiences of research use in England, Scotland and Germany. Review of Education, 13(1), e70058. https://doi.org/10.1002/rev3.70058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Knudsen, H. (2017). John Hattie: I'm a statistician, I'm not a theoretician. Nordic Journal of Studies in Educational Policy, 3(3), 253–261.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Kuhn, D., Cheney, R., &amp; Weinstock, M. (2000). The development of epistemological understanding. Cognitive Development, 15(3), 309–328.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McDonnell, L. M., &amp; Weatherford, M. S. (2013). Evidence use and the Common Core State Standards movement: From problem definition to policy adoption. American Journal of Education, 120(1), 1–25. https://doi.org/10.1086/673163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Nielsen, K., &amp; Klitmøller, J. (2021). Blind spots in visible learning: A critique of John Hattie as an educational theorist. Nordic Psychology.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Nordahl, T. (2015). Visible Learning som grunnlag for evidens og forbedringsarbeid i utdanningssystemet. Paideia, 9, 61–69.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OECD. (2021). Beyond academic learning: First results from the Survey of Social and Emotional Skills. OECD Publishing.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Qvortrup, L. (2015). Baggrund for og diskussioner af Visible Learning med særligt henblik på lærings- og vidensbegrebet. Paideia, 9, 22–33.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Runco, M. A., Mammadov, S., Sui, D., Kim, T., &amp; Neher, L. G. (2026). Second-order meta-analysis of the creativity research. Creativity Research Journal. https://doi.org/10.1080/10400419.2026.2644245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Terhart, E. (2011). Has John Hattie really found the holy grail of research on teaching? An extended review of Visible Learning. Journal of Curriculum Studies, 43(3), 425–438.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Zemplén, G. Á. (2007). Conflicting agendas: Critical thinking versus science education in the International Baccalaureate Theory of Knowledge course. Science &amp; Education, 16, 167–196.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