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较早从教学论角度解读这一理论。彭正梅（2015）认为，可见的学习具有普通教学论的性质，其价值在于把教师、学生、内容和环境组织为相互联系的整体，因素排名并不能直接决定家庭作业、混龄编班等具体制度的取舍，教师如何组合教学条件并把握教学时机同样重要。施芳婷（2025）沿用教学三角的解释框架，把教学置于学生、教师和课程之间，将家庭、学校和班级视为外部条件，并强调教师应着力改善那些能够被教学改变的学习条件。伍绍杨等（2023）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该理论自身也在不断发展。彭正梅和伍绍杨（2025）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对教学的解释建立在学习科学的基础之上。张诗琪（2025）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2025）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在引介反馈模型的基础上作了扩展和本土诊断。伍绍杨和彭正梅（2021）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2022）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2025）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的最终指向是学生能够评价和调整自己的学习。陈丽莎等（2023）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2025）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对教师心智框架的讨论更多结合中国教育传统展开。Hattie和Zierer后来将教师思维框架扩展为十个心智框架，彭正梅等（2022）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2025）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过程层面，Hattie及其合作者提出的DIIE模式把教学组织为诊断与发现、干预、实施和评估四个阶段。高妍等（2025）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领导者在其中承担组织证据使用的责任。陈添（2025）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2025）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国内研究开始把可见的学习转化为学科教学和项目化学习的具体设计。石修银（2021）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2024）结合初中化学课程标准，构建了由目标、知识、实践和评价四个要素组成的学习分析框架，并以酸性土壤改良为例，通过方案设计、实验操作、定量分析和评价量表收集学习证据，诊断知识理解与实际表现之间的差距。马梓越等（2025）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项目化学习是另一类重要的应用场域。何光友等（2025）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沈勍，2025）。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对这一理论同样保持了审慎态度。伍绍杨（2015）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2015）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的研究进一步把视角转向理论的跨国传播。伍绍杨和彭正梅（2026）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2025）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已有研究直接从可见的学习视角讨论高阶能力的培养。彭正梅等（2019）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2025）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（五）学科课堂中的高阶能力培育实践案例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模型建构完成后，课题组在语文、英语、物理等学科开展了多轮研究课实践。为呈现模型怎样转化为具体的课堂教学，本节选取四个学科案例进行分析。案例选择兼顾学科、学段和学习样态的差异，物理《光的折射》侧重实验探究与模型建构，英语写作侧重论证思维的进阶，语文状物写作侧重真实任务中的观察与表达，语文《秋天的怀念》侧重协同探究中的文本理解与生命感悟。四个案例均以五环学习模型组织学生学习，以诊断发现、干预设计、实施推进和评估改进组织教师调节，并以五见为线索收集学习证据。</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参照学科实践学习分析框架的写法（邱惠芬，2024），每个案例从学情诊断与目标确立、五环实施过程、学习证据与反思三个方面展开，重点回答三个问题，一是七维高阶能力目标怎样转化为本课可观察的学习表现，二是学生的思维过程和社会情感表现怎样在课堂中外显，三是教师怎样依据这些证据调整教学。四个案例的基本情况见表3-31。</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表3-31  四个学科案例的基本情况</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709"/>
        <w:gridCol w:w="1597"/>
        <w:gridCol w:w="709"/>
        <w:gridCol w:w="887"/>
        <w:gridCol w:w="2307"/>
        <w:gridCol w:w="2307"/>
      </w:tblGrid>
      <w:tr w:rsidR="000B1CCE" w14:paraId="7531D65E" w14:textId="77777777">
        <w:trPr>
          <w:tblHeader/>
          <w:jc w:val="center"/>
        </w:trPr>
        <w:tc>
          <w:tcPr>
            <w:tcW w:w="709"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案例</w:t>
            </w:r>
          </w:p>
        </w:tc>
        <w:tc>
          <w:tcPr>
            <w:tcW w:w="159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学科与课题</w:t>
            </w:r>
          </w:p>
        </w:tc>
        <w:tc>
          <w:tcPr>
            <w:tcW w:w="7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执教教师</w:t>
            </w:r>
          </w:p>
        </w:tc>
        <w:tc>
          <w:tcPr>
            <w:tcW w:w="88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主样态</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能力重点</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关键证据</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案例一</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物理《光的折射》第一课时</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姜惠轶</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分析、评价、创造；合作共情、情绪调节</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前测、课堂实录、实验报告、光路图、课堂智能反馈报告、分层作业</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案例二</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英语中考写作（九年级）</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李静</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证据支撑的论证性实践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草稿至终稿、教师批注、同伴互评量表、自我评估清单</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案例三</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语文状物描写写作</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王尤迪</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真实情境的任务性实践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AI图像对比、1.0至4.0版本链、迁移习作、互评表</w:t>
            </w:r>
          </w:p>
        </w:tc>
      </w:tr>
      <w:tr w:rsidR="000B1CCE" w14:paraId="3AC77B2B" w14:textId="77777777">
        <w:trPr>
          <w:jc w:val="center"/>
        </w:trPr>
        <w:tc>
          <w:tcPr>
            <w:tcW w:w="709"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案例四</w:t>
            </w:r>
          </w:p>
        </w:tc>
        <w:tc>
          <w:tcPr>
            <w:tcW w:w="159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语文《秋天的怀念》第二课时（七年级）</w:t>
            </w:r>
          </w:p>
        </w:tc>
        <w:tc>
          <w:tcPr>
            <w:tcW w:w="7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董丹</w:t>
            </w:r>
          </w:p>
        </w:tc>
        <w:tc>
          <w:tcPr>
            <w:tcW w:w="88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分析、评价、创造；情绪调节、合作共情、责任担当、包容创新</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学案、短笺迭代记录单、答辩记录表、跨文本迁移阅读记录卡</w:t>
            </w:r>
          </w:p>
        </w:tc>
      </w:tr>
    </w:tbl>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1.物理《光的折射》，在实验与仿真中建构光路模型</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课前，姜惠轶老师通过预习案和前测诊断学生起点。35名学生不知道叉鱼时应瞄准什么位置，占83.3%；28名学生认为折射角可能等于入射角。课堂智能反馈报告对学生回答的结构分类显示，83%的回答属于单点结构，4%达到关联结构，尚无回答达到拓展抽象结构。这说明学生学习光的反射之后能够完成基础操作，但思维多停留在记忆、理解和应用层面，类比分析、循证归纳与模型建构的能力尚未形成。</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分为基础与高阶两级（表3-32）。基础目标对应三层六阶中的学习理解层，要求学生识别光的折射中的各个要素、规范操作并类比反射定律写出初步结论；高阶目标对应应用实践与迁移创新层，要求学生依据数据验证或修正猜想，运用光路可逆模型绘制叉鱼光路图，并把折射规律迁移到潭清疑水浅、繁星闪烁等新情境。高阶目标同时包含社会情感要求，即在模型建构和科普解释中包容不同观点，把物理知识转化为服务他人的行动。每一项目标都对应可见的评价依据，师生在课前就能明确学习要去哪里、做到什么程度。</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表3-32  《光的折射》教学目标与评价依据</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946"/>
        <w:gridCol w:w="3076"/>
        <w:gridCol w:w="3076"/>
        <w:gridCol w:w="1419"/>
      </w:tblGrid>
      <w:tr w:rsidR="000B1CCE" w14:paraId="7531D65E" w14:textId="77777777">
        <w:trPr>
          <w:tblHeader/>
          <w:jc w:val="center"/>
        </w:trPr>
        <w:tc>
          <w:tcPr>
            <w:tcW w:w="946"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目标层级</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可观测的学习目标</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评价依据</w:t>
            </w:r>
          </w:p>
        </w:tc>
        <w:tc>
          <w:tcPr>
            <w:tcW w:w="141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能力指向</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基础目标</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说出光的折射定义并识别相关光线与角，规范操作光具盘并如实记录多组数据，类比反射定律写出至少三条初步结论</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光路图描画正确，数据记录完整，类比推理栏写出三线共面、两线分居等结论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理解、应用</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高阶目标一</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基于反射定律提出折射规律的猜想，在多组数据中寻找证据验证或修正猜想，并解释异常数据</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猜想与假设栏有类比推理，结论至少三条且包含一条拓展结论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高阶目标二</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运用光路可逆模型绘制叉鱼光路图，标出虚像位置并解释瞄准下方的原因</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虚像位置标注正确，能口头解释人眼逆着折射光看到的像在反向延长线上</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分析、创造</w:t>
            </w:r>
          </w:p>
        </w:tc>
      </w:tr>
      <w:tr w:rsidR="000B1CCE" w14:paraId="3AC77B2B" w14:textId="77777777">
        <w:trPr>
          <w:jc w:val="center"/>
        </w:trPr>
        <w:tc>
          <w:tcPr>
            <w:tcW w:w="946"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高阶目标三</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把折射规律迁移到新情境，在科普解释中包容不同观点并提出服务他人的建议</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科普解释准确运用折射原理，提出不凭肉眼判断水深等具体建议</w:t>
            </w:r>
          </w:p>
        </w:tc>
        <w:tc>
          <w:tcPr>
            <w:tcW w:w="141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创造、合作共情、责任担当</w:t>
            </w:r>
          </w:p>
        </w:tc>
      </w:tr>
    </w:tbl>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以叉鱼游戏开场。学生借助吸管瞄准鱼缸中的鱼，再用木条模拟鱼叉，结果明明瞄准了却没有叉到。预期与结果的冲突使学生开始怀疑眼睛看到的位置是否等于物体的真实位置，学习问题由此从学生自己的困惑中生成。教师随后引导学生观察浸入水中的木条，并连续追问木条是否真的折断、怎样证明它没有折断、为什么看起来折断、光在什么情况下会改变传播方向。四个追问依次推动学生区分现象与本质、设计验证方法、作出因果解释并归纳条件。学生提出抽出来看、从侧面看等验证办法，表明其已经具备用证据支撑判断的意识。</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教师继续追问光垂直射入水面是否偏折、两个方向的偏折是否相同。学生的回答呈现出明显分层，有的学生表示不确定，有的学生以侧面看木条仍是直的为证据，推断垂直入射时不偏折，还有学生由反射中的光路可逆类比提出折射也可能可逆。教师把不确定和没观察过的回答转化为探究任务，把证据迁移和类比推理的回答作为全班讨论的范例，由此形成本课的三个核心问题，即光在什么条件下偏折、偏折方向与介质有什么关系、光路是否可逆。这一过程对应教学模型中的诊断发现，教师通过学生的回答看见其认知起点和思维层次，并据此设计后续的分层探究任务。课堂智能反馈报告显示，该环节学生抬头率在85%以上，参与度约为70%。</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采用实体实验与仿真实验相结合的方式（图3-11）。学生分组用光具盘探究空气射入水或玻璃、水或玻璃射入空气四种路径。实验报告中的入射角经过多轮修订，0°用于检验垂直入射，15°、50°和75°用于比较角度变化的规律，水射入空气的46°和玻璃射入空气的40°接近全反射临界角，空气射入水的折射角与水射入空气的入射角相互对应，可为光路可逆的猜想提供定量证据。由于光具盘分度值为5°，水面晃动等因素也影响读数，全反射现象和水与玻璃的折射差异在实体实验中难以看清。教师因此引入PhET仿真，放大光在不同介质间传播时的角度差异，并用光强探测功能呈现折射光消失、反射光强等于入射光强的过程，学生据此建立全反射概念。仿真实验补足了实体实验的证据缺口，教学模型中的干预设计在这里表现为针对证据不足的环节及时提供技术支架。</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269521"/>
            <wp:docPr id="45" name="Picture 45"/>
            <wp:cNvGraphicFramePr>
              <a:graphicFrameLocks noChangeAspect="1"/>
            </wp:cNvGraphicFramePr>
            <a:graphic>
              <a:graphicData uri="http://schemas.openxmlformats.org/drawingml/2006/picture">
                <pic:pic>
                  <pic:nvPicPr>
                    <pic:cNvPr id="0" name="jhy_exp.jpg"/>
                    <pic:cNvPicPr/>
                  </pic:nvPicPr>
                  <pic:blipFill>
                    <a:blip r:embed="rId26"/>
                    <a:stretch>
                      <a:fillRect/>
                    </a:stretch>
                  </pic:blipFill>
                  <pic:spPr>
                    <a:xfrm>
                      <a:off x="0" y="0"/>
                      <a:ext cx="5040000" cy="126952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图3-11  学生分组实验中的光具盘（左）与PhET仿真实验中的全反射探测（右）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展学的核心任务是光路图投屏答辩。学生调用实验数据画出人眼看到鱼的光路图，确定虚像的位置，先讲作图思路再讲结论，其他小组质疑和互评（图3-12）。有的学生画出正确光路，并说明人眼逆着折射光看，虚像在实物上方；有的学生把光的传播方向画反，经同伴指出光应从鱼发出到达人眼后改正；还有学生没有画法线，同伴追问所标的角以何为参照后，学生补画法线并重新标角。教师在这一环节退居组织者和证据捕捉者的位置，把纠错交给同伴互评，同时记录学生在互评中的措辞和被质疑时的回应。课后访谈中，一名作图出错的学生表示开始有点不好意思，后来觉得同学说得对，改完就清楚了，这为合作共情与情绪调节的发展提供了过程证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240000" cy="2138507"/>
            <wp:docPr id="46" name="Picture 46"/>
            <wp:cNvGraphicFramePr>
              <a:graphicFrameLocks noChangeAspect="1"/>
            </wp:cNvGraphicFramePr>
            <a:graphic>
              <a:graphicData uri="http://schemas.openxmlformats.org/drawingml/2006/picture">
                <pic:pic>
                  <pic:nvPicPr>
                    <pic:cNvPr id="0" name="jhy_lightpath.jpg"/>
                    <pic:cNvPicPr/>
                  </pic:nvPicPr>
                  <pic:blipFill>
                    <a:blip r:embed="rId27"/>
                    <a:stretch>
                      <a:fillRect/>
                    </a:stretch>
                  </pic:blipFill>
                  <pic:spPr>
                    <a:xfrm>
                      <a:off x="0" y="0"/>
                      <a:ext cx="3240000" cy="213850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图3-12  学生构建的叉鱼光路图</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与反思迁移主要通过分层作业完成。课堂智能反馈报告提示本课缺少创造性问题，教师据此借助DeepSeek生成分层作业初稿，经审核修改后形成《星光与池水的奥秘》，题目按单点、多点、关联和拓展抽象结构分层设计。教师通过批注把典型错误转化为诊断性反馈，例如有学生认为传播速度快的介质中的角一定更大，教师批注垂直入射时是否还成立，学生据此修正结论；有学生设计在泳池底部安装红外传感器，教师追问传感器如何传递信息、救生员观察哪里，引导其由堆砌技术转向建立物理模型。在拓展迁移题中，有学生提出在泳池壁安装激光笔，利用光路可逆从岸上逆着折射光定位溺水者（图3-13）；优秀学生还能指出泳池中水与空气的界面是单次偏折，大气层是连续偏折，从介质是否均匀的角度解释繁星闪烁与池水变浅的区别。</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354337"/>
            <wp:docPr id="47" name="Picture 47"/>
            <wp:cNvGraphicFramePr>
              <a:graphicFrameLocks noChangeAspect="1"/>
            </wp:cNvGraphicFramePr>
            <a:graphic>
              <a:graphicData uri="http://schemas.openxmlformats.org/drawingml/2006/picture">
                <pic:pic>
                  <pic:nvPicPr>
                    <pic:cNvPr id="0" name="jhy_hw.jpg"/>
                    <pic:cNvPicPr/>
                  </pic:nvPicPr>
                  <pic:blipFill>
                    <a:blip r:embed="rId28"/>
                    <a:stretch>
                      <a:fillRect/>
                    </a:stretch>
                  </pic:blipFill>
                  <pic:spPr>
                    <a:xfrm>
                      <a:off x="0" y="0"/>
                      <a:ext cx="5220000" cy="135433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图3-13  学生分层作业中拓展迁移部分的作答</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链由前测、课堂实录、实验报告、光路图修订、课堂智能反馈报告和分层作业构成，覆盖目标可见、思维可见、证据可见、进步可见和能力可见五个方面。学生从叉鱼失败的困惑出发，经历提出问题、分析原因、设计验证、提出假设和类比推理，最终能够在新情境中调用光路可逆模型，体现了由学习理解到迁移创新的进阶。证据同时揭示了不足。课堂智能反馈报告显示迁移应用环节用时为0秒，评价型和创造型提问的比例较低，平均举手率仅为13%，理答方式中肯定和激励各占10%。教师据此提出，后续需要在课内预留迁移时间，增加分析型和评价型问题，设置轮值发言人和匿名投票，并在小组探究中加入过程性评价，使更多学生的思维过程能够被看见。</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2.英语写作，以三级反馈推动论证思维进阶</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（1）任务分析与目标确立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以2026年上海中考英语作文为载体。题目设定的情境是，英国朋友Jim制定了每月读5本中文小说的计划，一个月后感到难以执行，来信询问自己是否足够好、是否应当放弃。学生需要回复邮件，回应这两个问题，并提出两条合理的建议及理由。任务没有唯一答案，学生需要先共情，再辩证分析Jim的计划，提出个性化建议并论证其合理性，写作过程同时涉及分析、评价和创造。李静老师在前期教学中发现，学生习惯背诵范文和套用句式，作文能写得有条理，但论证常常断裂，观点也缺乏新意。由于思维过程隐藏在成稿之后，教师很难判断问题出在观点生成、论据选择还是论证逻辑上。</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设定为由有条理到有新意的思维进阶，并在动笔前公开英语写作高阶思维分层评价量表（表3-33）。量表从内容和语言两个方面设置优秀、良好、中等和待提高四个等级，内容维度依次对应构建独特观点、提出较有新意的观点、提出基本观点和无法提出明确观点。每个等级都配有本题情境下的建议示例，学生在写作前就能看到什么样的思维才算优秀，这对应五环中的目标引领和五见中的目标可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表3-33  英语写作高阶思维分层评价量表（节选）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821"/>
        <w:gridCol w:w="2668"/>
        <w:gridCol w:w="2155"/>
        <w:gridCol w:w="1436"/>
        <w:gridCol w:w="1436"/>
      </w:tblGrid>
      <w:tr w:rsidR="000B1CCE" w14:paraId="7531D65E" w14:textId="77777777">
        <w:trPr>
          <w:tblHeader/>
          <w:jc w:val="center"/>
        </w:trPr>
        <w:tc>
          <w:tcPr>
            <w:tcW w:w="821"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维度</w:t>
            </w:r>
          </w:p>
        </w:tc>
        <w:tc>
          <w:tcPr>
            <w:tcW w:w="266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优秀</w:t>
            </w:r>
          </w:p>
        </w:tc>
        <w:tc>
          <w:tcPr>
            <w:tcW w:w="21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良好</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中等</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待提高</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内容观点</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结合写作语境构建独特观点</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提出较有新意的观点</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提出基本观点但缺乏新意</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无法提出明确观点</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语言适切性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不符合语境</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语言准确性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语法正确</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错误较少</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错误较多</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错误频发</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语言丰富性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表达新颖</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表达较流畅</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表达较生硬</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表达混乱</w:t>
            </w:r>
          </w:p>
        </w:tc>
      </w:tr>
      <w:tr w:rsidR="000B1CCE" w14:paraId="3AC77B2B" w14:textId="77777777">
        <w:trPr>
          <w:jc w:val="center"/>
        </w:trPr>
        <w:tc>
          <w:tcPr>
            <w:tcW w:w="821"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建议示例</w:t>
            </w:r>
          </w:p>
        </w:tc>
        <w:tc>
          <w:tcPr>
            <w:tcW w:w="266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每周确定一个中国文化主题，围绕同一主题听一首歌、读一篇短文、看一段视频</w:t>
            </w:r>
          </w:p>
        </w:tc>
        <w:tc>
          <w:tcPr>
            <w:tcW w:w="21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先看影视改编再读原著，借助已知情节猜测生词</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把每月5本减少为1至3本短篇</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熬夜硬读，或惩罚自己完成阅读</w:t>
            </w:r>
          </w:p>
        </w:tc>
      </w:tr>
    </w:tbl>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（2）过程性作品与三级反馈</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改变一稿定分的做法，系统收集学生的草稿、一稿、二稿、三稿和终稿，建立思维过程档案。以一名学生的草稿为例，其核心观点是不应放弃，并给出两条建议，一是把大任务分解为小目标，二是用新计划替代旧计划。教师从草稿中看到，第二条建议与第一条实质重复，只是表达方式不同，两条建议也都缺少说明其合理性的理由。教师在草稿上标注两个论证属于同一维度，并提示该生的核心观点缺少论证（图3-14）。这一诊断对应教学模型中的诊断发现，教师依据过程作品定位学生论证链断裂的具体位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914425"/>
            <wp:docPr id="48" name="Picture 48"/>
            <wp:cNvGraphicFramePr>
              <a:graphicFrameLocks noChangeAspect="1"/>
            </wp:cNvGraphicFramePr>
            <a:graphic>
              <a:graphicData uri="http://schemas.openxmlformats.org/drawingml/2006/picture">
                <pic:pic>
                  <pic:nvPicPr>
                    <pic:cNvPr id="0" name="lj_draft.jpg"/>
                    <pic:cNvPicPr/>
                  </pic:nvPicPr>
                  <pic:blipFill>
                    <a:blip r:embed="rId29"/>
                    <a:stretch>
                      <a:fillRect/>
                    </a:stretch>
                  </pic:blipFill>
                  <pic:spPr>
                    <a:xfrm>
                      <a:off x="0" y="0"/>
                      <a:ext cx="5220000" cy="1914425"/>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图3-14  学生写作草稿（左）与一稿（右）中的教师批注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教师实施教师、同伴和自我三级反馈。第一级为教师反馈，聚焦一稿，批注与评价量表的维度直接对应，重点提示补充支持论点的依据、从具体做法中提炼上位原则、找出论证链中断的位置。该生一稿中的第二条建议较有新意，但只有具体做法而缺少概括性的建议，教师据此提示其补全论证。第二级为同伴互评，聚焦二稿。同伴依据结构化互评量表逐项判断对方的核心观点是否明确、论据是否充分、是否以建议加理由的结构展开论证、语言是否正确、表达是否连贯，并以勾画和标注呈现对方的思维结构（图3-15）。审视他人论证的过程，也促使互评双方反思自己的论证策略。第三级为自我评估，聚焦三稿。学生对照分层量表判断自己所处的层级，书面写下存在的问题和改进办法，学习者由被动接受反馈转向主动优化自己的思维。</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680000" cy="1750129"/>
            <wp:docPr id="49" name="Picture 49"/>
            <wp:cNvGraphicFramePr>
              <a:graphicFrameLocks noChangeAspect="1"/>
            </wp:cNvGraphicFramePr>
            <a:graphic>
              <a:graphicData uri="http://schemas.openxmlformats.org/drawingml/2006/picture">
                <pic:pic>
                  <pic:nvPicPr>
                    <pic:cNvPr id="0" name="lj_peer.jpg"/>
                    <pic:cNvPicPr/>
                  </pic:nvPicPr>
                  <pic:blipFill>
                    <a:blip r:embed="rId30"/>
                    <a:stretch>
                      <a:fillRect/>
                    </a:stretch>
                  </pic:blipFill>
                  <pic:spPr>
                    <a:xfrm>
                      <a:off x="0" y="0"/>
                      <a:ext cx="4680000" cy="175012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图3-15  英语写作同伴互评量表</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（3）思维进阶的证据与反思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对比一稿、二稿、三稿和终稿的变化可以看到，绝大多数学生能够构建观点、论据和理由完整的论证链；在批判性思维方面，学生能够辩证回应Jim是否应当放弃计划这一开放问题，立场有据；在创造性思维方面，部分学生跳出常规思路，结合对文化理解、学习方法或自我管理的认识，提出情境化、可操作并具有个人意义的建议。终稿完成后，学生再次自评，判断自己是否实现了进阶，并思考这种思维能力还可以迁移到哪些题型（图3-16）。</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520881"/>
            <wp:docPr id="50" name="Picture 50"/>
            <wp:cNvGraphicFramePr>
              <a:graphicFrameLocks noChangeAspect="1"/>
            </wp:cNvGraphicFramePr>
            <a:graphic>
              <a:graphicData uri="http://schemas.openxmlformats.org/drawingml/2006/picture">
                <pic:pic>
                  <pic:nvPicPr>
                    <pic:cNvPr id="0" name="lj_self.jpg"/>
                    <pic:cNvPicPr/>
                  </pic:nvPicPr>
                  <pic:blipFill>
                    <a:blip r:embed="rId31"/>
                    <a:stretch>
                      <a:fillRect/>
                    </a:stretch>
                  </pic:blipFill>
                  <pic:spPr>
                    <a:xfrm>
                      <a:off x="0" y="0"/>
                      <a:ext cx="5220000" cy="152088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图3-16  学生自我评估清单（左）与终稿（右）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评价标准前置对应目标引领与目标可见，过程作品档案对应探究展学与思维可见，三级反馈对应反馈迭代与进步可见，终稿自评与迁移思考对应反思迁移与能力可见；教师则在草稿诊断、批注干预、组织互评和评估终稿中完成四步调节。本案例的不足在于，进阶描述主要来自教师对作品的整体判断，尚缺少按量表等级统计的全班分布，后续需要系统记录各稿次的等级变化。</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3.语文状物写作，借AI图像让描写思维可见</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状物描写是初中写作的常见难点。王尤迪老师通过前测草稿发现，学生的问题集中在四个方面，一是描写笼统，难以用文字构建具体画面；二是物与事、情割裂，只能静态描摹外形；三是回避物件的磨损痕迹，认识较为片面；四是缺少取舍意识，容易堆砌与主旨无关的细节。与此同时，学生还表现出固守个人视角、抵触修改草稿、照搬AI生成内容等社会情感方面的困难。教师据此把本课定位为真实情境的任务性实践，同时兼具证据支撑的论证性实践和综合迁移的创新性实践特征，能力重点为分析、评价、创造以及合作共情和责任担当，情绪调节和包容创新作为伴随维度加以观察。基础目标是理解准确、生动、真实、取舍四项状物原则，完成物件描写由1.0到2.0的迭代；高阶目标是建立物件、故事与情感之间的联系，完成多稿迭代和自选物件的迁移写作，并借助互评量表开展同伴评价。</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环节，学生阅读本课目标后先写下对凳子的最初描述，多数学生只写了凳子这一名词，教师保留这份草稿作为前测证据。任务驱动环节，教师出示一只蓝色塑料高脚方凳，组织三轮AI图像生成（图3-17）。第一轮，教师把学生的回答输入豆包，生成的是一只木面铁脚的吧台凳，与实物明显不符。教师追问，同样一个词，AI画出的和眼前的实物为什么不一样，我们缺少了哪些信息。学生补充蓝色、方形、塑料等颜色、形状和材质信息，第二轮生成的是一只蓝色矮圆凳，仍有偏差。有学生注意到实物是高脚凳，补充后第三轮生成的图像与实物基本一致。学生由此自主得出，描写物件要具体到颜色、材质、形状、光泽和高矮等方面，作品也由1.0版本的一个凳子，发展为2.0版本的一个蓝色塑料高脚凳。AI图像在这里充当即时反馈证据，把描写准确这一抽象要求转化为看得见的图文差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165699"/>
            <wp:docPr id="51" name="Picture 51"/>
            <wp:cNvGraphicFramePr>
              <a:graphicFrameLocks noChangeAspect="1"/>
            </wp:cNvGraphicFramePr>
            <a:graphic>
              <a:graphicData uri="http://schemas.openxmlformats.org/drawingml/2006/picture">
                <pic:pic>
                  <pic:nvPicPr>
                    <pic:cNvPr id="0" name="wyd_ai.jpg"/>
                    <pic:cNvPicPr/>
                  </pic:nvPicPr>
                  <pic:blipFill>
                    <a:blip r:embed="rId32"/>
                    <a:stretch>
                      <a:fillRect/>
                    </a:stretch>
                  </pic:blipFill>
                  <pic:spPr>
                    <a:xfrm>
                      <a:off x="0" y="0"/>
                      <a:ext cx="5220000" cy="116569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图3-17  实物凳子（左一）与三轮AI生成图像（左二至右一）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随后，教师围绕同一只凳子继续追问。凳子适用于哪些场景，学生联系教师听课、面批作业和运动会观赛等校园经验，归纳出凳子轻便、成本低等特点，认识到物件的价值体现在被人使用的过程中，由此提炼出生动原则。家里的凳子和商店里的凳子有何区别，学生认为家里的凳子有使用痕迹，更有生活气息，主张把这些不完美写进作文，由此形成真实原则。另一名学生随即反驳，认为并非所有缺点都要写，应挑选与主旨相关、具有特殊意义的痕迹，否则就是赘笔，取舍原则由此形成。四项原则都在学生依托证据的对话中生成，教师的作用是持续追问，并把学生的观点联结为可迁移的写作思维模型，即物件本体、客观特征、场景故事、岁月痕迹和主旨取舍。</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教师出示由凳子到老藤椅的1.0至4.0示范文本，逐版拆解每一轮新增的细节、场景和情感，并巡视学生草稿，依据涂改痕迹开展个别对话。对只会写外形的学生，教师提示这件物件发生过一件什么小事；对堆砌细节的学生，教师提示哪些细节最能表达想讲的情感。学生作品显示，一名学生以藤椅为对象，2.0版本写出棕色的靠背、金色的椅脚和弯曲的椅背，3.0版本补充椅背上的镂空让夏天坐着很凉快，4.0版本写到小时候喜欢把藤椅搬到床上，家人觉得多此一举，自己却从中获得安全和舒适的感觉（图3-18）。版本链使写作由描摹外形逐步走向书写个人记忆。</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3718552"/>
            <wp:docPr id="52" name="Picture 52"/>
            <wp:cNvGraphicFramePr>
              <a:graphicFrameLocks noChangeAspect="1"/>
            </wp:cNvGraphicFramePr>
            <a:graphic>
              <a:graphicData uri="http://schemas.openxmlformats.org/drawingml/2006/picture">
                <pic:pic>
                  <pic:nvPicPr>
                    <pic:cNvPr id="0" name="wyd_versions.jpg"/>
                    <pic:cNvPicPr/>
                  </pic:nvPicPr>
                  <pic:blipFill>
                    <a:blip r:embed="rId33"/>
                    <a:stretch>
                      <a:fillRect/>
                    </a:stretch>
                  </pic:blipFill>
                  <pic:spPr>
                    <a:xfrm>
                      <a:off x="0" y="0"/>
                      <a:ext cx="3060000" cy="3718552"/>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图3-18  学生藤椅描写的2.0至4.0版本</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按典型问题给出诊断性反馈并布置分层任务（表3-34）。学生接收反馈后亲笔写下修改点与修改原因，形成完整的版本链证据。反思迁移环节，教师布置同构异境的迁移任务，学生脱离范例凳子，自选毛衣、瓷碗、旧木椅等生活物件，沿用1.0至4.0的路径完成新习作，再把习作与AI生成的场景图结合，开展画廊漫步式展学，并使用互评表评价同伴作品（图3-19、图3-20）。迁移任务通过更换写作对象，检验学生能否复用写作思维方法。展学作品被分为童年童趣、私人生活、借物升华和个性创意四类，前两类多达到3.0水平，借物升华类达到4.0水平，个性创意类则体现了选材的新颖与多元。</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表3-34  状物写作的典型问题、诊断反馈与分层迭代任务</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877"/>
        <w:gridCol w:w="3609"/>
        <w:gridCol w:w="3032"/>
      </w:tblGrid>
      <w:tr w:rsidR="000B1CCE" w14:paraId="7531D65E" w14:textId="77777777">
        <w:trPr>
          <w:tblHeader/>
          <w:jc w:val="center"/>
        </w:trPr>
        <w:tc>
          <w:tcPr>
            <w:tcW w:w="1877"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36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基于证据的诊断反馈</w:t>
            </w:r>
          </w:p>
        </w:tc>
        <w:tc>
          <w:tcPr>
            <w:tcW w:w="3032"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分层迭代任务</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描写笼统，缺少外形细节</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对照实物，补充颜色、材质等信息，让读者能看见它</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基础层，由1.0升级为2.0，补齐客观特征</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只有外形，没有人与故事</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想一想这件物件陪伴你的哪个生活片段，把小故事加进去</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进阶层，增加生活场景，迭代至3.0</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只写崭新美好，回避磨损痕迹</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划痕和磨损也是时光留下的证据，尝试写一处</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进阶层，补充一处使用痕迹并写出感受</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细节堆砌，脱离主旨</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对照想表达的情感，保留相关细节，删去无关内容</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高阶层，以主旨为标尺筛选细节</w:t>
            </w:r>
          </w:p>
        </w:tc>
      </w:tr>
      <w:tr w:rsidR="000B1CCE" w14:paraId="3AC77B2B" w14:textId="77777777">
        <w:trPr>
          <w:jc w:val="center"/>
        </w:trPr>
        <w:tc>
          <w:tcPr>
            <w:tcW w:w="1877"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有故事但缺少情感落点</w:t>
            </w:r>
          </w:p>
        </w:tc>
        <w:tc>
          <w:tcPr>
            <w:tcW w:w="36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这件物件带给你怎样的触动，把感受收束在结尾</w:t>
            </w:r>
          </w:p>
        </w:tc>
        <w:tc>
          <w:tcPr>
            <w:tcW w:w="3032"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高阶层，完成4.0主旨升华</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4273018"/>
            <wp:docPr id="53" name="Picture 53"/>
            <wp:cNvGraphicFramePr>
              <a:graphicFrameLocks noChangeAspect="1"/>
            </wp:cNvGraphicFramePr>
            <a:graphic>
              <a:graphicData uri="http://schemas.openxmlformats.org/drawingml/2006/picture">
                <pic:pic>
                  <pic:nvPicPr>
                    <pic:cNvPr id="0" name="wyd_transfer.jpg"/>
                    <pic:cNvPicPr/>
                  </pic:nvPicPr>
                  <pic:blipFill>
                    <a:blip r:embed="rId34"/>
                    <a:stretch>
                      <a:fillRect/>
                    </a:stretch>
                  </pic:blipFill>
                  <pic:spPr>
                    <a:xfrm>
                      <a:off x="0" y="0"/>
                      <a:ext cx="3060000" cy="4273018"/>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图3-19  学生迁移习作与AI生成的场景图</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795724"/>
            <wp:docPr id="54" name="Picture 54"/>
            <wp:cNvGraphicFramePr>
              <a:graphicFrameLocks noChangeAspect="1"/>
            </wp:cNvGraphicFramePr>
            <a:graphic>
              <a:graphicData uri="http://schemas.openxmlformats.org/drawingml/2006/picture">
                <pic:pic>
                  <pic:nvPicPr>
                    <pic:cNvPr id="0" name="wyd_gallery.jpg"/>
                    <pic:cNvPicPr/>
                  </pic:nvPicPr>
                  <pic:blipFill>
                    <a:blip r:embed="rId35"/>
                    <a:stretch>
                      <a:fillRect/>
                    </a:stretch>
                  </pic:blipFill>
                  <pic:spPr>
                    <a:xfrm>
                      <a:off x="0" y="0"/>
                      <a:ext cx="5040000" cy="1795724"/>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图3-20  画廊漫步式展学</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案例按照前测、过程和后测的纵向证据，起点、过程、变化和迁移的横向证据，以及自评、互评和师评的多元互证组织材料。依据评价量表对86名学生初稿1.0和终稿4.0的水平评定显示，处于初始水平的学生由37.2%降至12.8%，入门水平由33.7%降至24.4%，进阶水平由20.9%升至41.9%，高阶水平由8.1%升至20.9%（表3-35）。一名学生在反思中写道，初稿只写了旧物件的样子，物件和自己的故事是分开的，第二次修改时加上了当年和外婆一起留下的划痕，改完才意识到写物件其实是写藏在物件身上的时光。这段反思与其草稿批注、自评量表和教师观察相互印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表3-35  状物写作初稿与终稿的水平分布（n＝86）</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548"/>
        <w:gridCol w:w="1548"/>
        <w:gridCol w:w="1936"/>
        <w:gridCol w:w="1548"/>
        <w:gridCol w:w="1936"/>
      </w:tblGrid>
      <w:tr w:rsidR="000B1CCE" w14:paraId="7531D65E" w14:textId="77777777">
        <w:trPr>
          <w:tblHeader/>
          <w:jc w:val="center"/>
        </w:trPr>
        <w:tc>
          <w:tcPr>
            <w:tcW w:w="154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水平</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初稿1.0比例（%）</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终稿4.0比例（%）</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初始水平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32</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37.2</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12.8</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入门水平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29</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33.7</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24.4</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进阶水平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36</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41.9</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7</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8.1</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r>
      <w:tr w:rsidR="000B1CCE" w14:paraId="3AC77B2B" w14:textId="77777777">
        <w:trPr>
          <w:jc w:val="center"/>
        </w:trPr>
        <w:tc>
          <w:tcPr>
            <w:tcW w:w="154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合计</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三轮AI图像生成与追问体现了任务驱动中的诊断发现和干预设计，版本链和草稿批注使思维可见和进步可见，迁移习作与画廊展学使能力可见。教师反思认为，AI图像降低了思辨的门槛，版本链使迭代真实发生，但仍需为每名学生完整留存1.0至4.0的全部草稿，补充小组思辨的观察量规以完善社会情感证据，并进一步提供辨别AI内容的支架，引导学生区分AI生成图像与自身真实的生活记忆。</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4.语文《秋天的怀念》，在协同探究中理解生命的意义</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为统编版七年级上册《秋天的怀念》第二课时。在第一课时梳理情节、初步感知母爱的基础上，董丹老师聚焦三次看花情节、菊花意象和好好儿活的主旨，把语言品味、文本解读、生命感悟与社会情感培育结合起来。教师依据学科高阶学习的三层五环框架设计本课，把五环学习过程与学习理解、应用实践、迁移创新三层能力表征贯通。课堂以协同探究的建构性实践为主样态，学生围绕文本细节、人物心理和意象内涵开展观点碰撞，在对话、追问和互评中共同建构对母爱、苦难与生命的理解；所有观点都要求锚定文本语句，体现证据支撑的论证性实践特征；最后撤去部分支架，引导学生面对自身的生命困境，体现综合迁移的创新性实践特征。</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目标分为基础与高阶两级。基础目标要求学生梳理三次看花情节，找出悄悄、扑、抓、挡等关键细节并说出背后母亲的心理，同时在小组研讨中尊重同伴的不同阅读感受。高阶目标要求学生比较三次看花中我的心理变化，阐释菊花和秋天的多重象征；在面对苦难话题和同伴不同感悟时克制主观情绪、换位共情；并结合自身生活体验解读好好儿活的多层内涵，完成生命感悟类创作。每项目标都配有可观察的评价依据，例如学案中能记录至少一位同学不同的阅读感受，小组汇报能结合文本语句讲清人物心理转变的逻辑。</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教师创设生命感悟观察员的课堂情境，设计基础与高阶两级任务。基础任务要求学生独立完成情节与细节表格，教师以三处悄悄地分别对应母亲什么心境、扑和抓能否替换为别的词语等问题作为思维支架。高阶任务要求学生探究三次看花中我的态度转变、结尾菊花描写的作用和秋天的含义，并撰写好好儿活当代启示短笺。问题链由母亲为什么执着于带我看菊花，到母亲口中的好好儿活与我后来领悟的是否相同，再到现实生活中怎样才算好好儿活，逐级提高开放程度。社会情感培育点同步嵌入任务之中，包括触及苦难话题时调节悲伤或急躁的情绪、接纳同伴不同的生命体验、主动分担小组任务等。</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探究展学环节，学生先在平台展示学案表格，再以小组思维导图汇报和短笺成果答辩的形式呈现观点差异、对话碰撞和集体理解逐步形成的过程。评价标准兼顾文本依据、分析逻辑、主题契合和个性化创意。教师重点观察学生能否读懂母子双重的苦难，成果是简单贴标签还是真正共情人物，探讨苦难话题时能否自我调适，以及面对不同人生感悟时是否愿意理解他人立场。社会情感观察记录表从责任担当、情绪调节、合作共情和包容创新四个维度记录学生的典型行为，例如复述同伴观点后再发表意见、观点冲突时平复情绪理性发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针对理解片面、逻辑不清、迁移空洞、情绪偏激、共情不足和回避思考六类典型问题设计反馈与分层迭代任务（表3-36）。学生使用短笺作品迭代版本记录单记录初稿、二稿和终稿的修改理由与新启示（图3-21），并在答辩中回应同伴和教师的提问（图3-22）。答辩记录显示，一名学生的核心观点是，好好儿活意味着接纳挫折与难过，珍惜身边的亲人，平凡认真地过好每一天。同伴提出三个问题，母亲和史铁生理解的好好儿活是否一样，如果生活没有大苦难，普通人怎样好好活，菊花和好好儿活有什么关系。学生回应，母亲希望儿子战胜绝望活下去，史铁生则是读懂了苦难；苦难并不只来自重大打击，学习失利、和朋友吵架也是；秋风中各色菊花泼泼洒洒地开放，象征历经磨难而绽放的生命。学生采纳了同伴意见，在终稿中补充了母子二人对好好儿活的不同理解，并把菊花意象融入对主旨的理解。答辩使同伴反馈直接转化为作品修改，协同建构的过程由此留下证据。</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表3-36  《秋天的怀念》典型问题、反馈与迭代任务（节选）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2068"/>
        <w:gridCol w:w="973"/>
        <w:gridCol w:w="2920"/>
        <w:gridCol w:w="2555"/>
      </w:tblGrid>
      <w:tr w:rsidR="000B1CCE" w14:paraId="7531D65E" w14:textId="77777777">
        <w:trPr>
          <w:tblHeader/>
          <w:jc w:val="center"/>
        </w:trPr>
        <w:tc>
          <w:tcPr>
            <w:tcW w:w="206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97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对应维度</w:t>
            </w:r>
          </w:p>
        </w:tc>
        <w:tc>
          <w:tcPr>
            <w:tcW w:w="2920"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反馈要点</w:t>
            </w:r>
          </w:p>
        </w:tc>
        <w:tc>
          <w:tcPr>
            <w:tcW w:w="25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迭代任务</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left"/>
              <w:rPr>
                <w:rFonts w:ascii="宋体" w:eastAsia="宋体" w:hAnsi="宋体" w:cs="宋体"/>
                <w:bCs/>
                <w:szCs w:val="18"/>
              </w:rPr>
            </w:pPr>
            <w:r>
              <w:rPr>
                <w:rStyle w:val="a7"/>
                <w:rFonts w:ascii="Times New Roman" w:eastAsia="宋体" w:hAnsi="Times New Roman" w:cs="Times New Roman"/>
                <w:b w:val="0"/>
                <w:bCs/>
                <w:kern w:val="0"/>
                <w:szCs w:val="21"/>
                <w:lang w:bidi="ar"/>
              </w:rPr>
              <w:t>只看到母爱伟大，忽略母亲自身的病痛</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提示母亲承受双重煎熬，回到文中寻找暗示病痛的语句</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圈画相关语句并写下两三句批注</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认为菊花只代表母爱</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追问不同花色对应怎样的生命状态</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完善菊花、秋天与好好儿活三者关联的思维导图</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启示只喊口号，缺少个人思考</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追问普通人怎样好好活，尝试写一件小事</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修改短笺，补充一处真实生活情境</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认为我过于暴躁，难以共情</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情绪调节</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引导代入人物处境，体会瘫痪后的绝望</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以事实描述加情绪标注写下我暴怒时的内心独白</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直接否定同伴的阅读感受</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合作共情</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先复述同伴的核心观点，再谈不同理解</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写下同伴观点中认可的部分，再提出不同思考</w:t>
            </w:r>
          </w:p>
        </w:tc>
      </w:tr>
      <w:tr w:rsidR="000B1CCE" w14:paraId="3AC77B2B" w14:textId="77777777">
        <w:trPr>
          <w:jc w:val="center"/>
        </w:trPr>
        <w:tc>
          <w:tcPr>
            <w:tcW w:w="206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回避深度思考，等待现成答案</w:t>
            </w:r>
          </w:p>
        </w:tc>
        <w:tc>
          <w:tcPr>
            <w:tcW w:w="97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责任担当</w:t>
            </w:r>
          </w:p>
        </w:tc>
        <w:tc>
          <w:tcPr>
            <w:tcW w:w="2920"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鼓励从细节出发说出真实感受</w:t>
            </w:r>
          </w:p>
        </w:tc>
        <w:tc>
          <w:tcPr>
            <w:tcW w:w="25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填写反思单，记录卡点、已有尝试和改进设想</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9600" cy="4320000"/>
            <wp:docPr id="55" name="Picture 55"/>
            <wp:cNvGraphicFramePr>
              <a:graphicFrameLocks noChangeAspect="1"/>
            </wp:cNvGraphicFramePr>
            <a:graphic>
              <a:graphicData uri="http://schemas.openxmlformats.org/drawingml/2006/picture">
                <pic:pic>
                  <pic:nvPicPr>
                    <pic:cNvPr id="0" name="dd_iter.jpg"/>
                    <pic:cNvPicPr/>
                  </pic:nvPicPr>
                  <pic:blipFill>
                    <a:blip r:embed="rId36"/>
                    <a:stretch>
                      <a:fillRect/>
                    </a:stretch>
                  </pic:blipFill>
                  <pic:spPr>
                    <a:xfrm>
                      <a:off x="0" y="0"/>
                      <a:ext cx="3069600" cy="4320000"/>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图3-21  学生好好儿活当代启示短笺的迭代版本记录单</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460909"/>
            <wp:docPr id="56" name="Picture 56"/>
            <wp:cNvGraphicFramePr>
              <a:graphicFrameLocks noChangeAspect="1"/>
            </wp:cNvGraphicFramePr>
            <a:graphic>
              <a:graphicData uri="http://schemas.openxmlformats.org/drawingml/2006/picture">
                <pic:pic>
                  <pic:nvPicPr>
                    <pic:cNvPr id="0" name="dd_defense.jpg"/>
                    <pic:cNvPicPr/>
                  </pic:nvPicPr>
                  <pic:blipFill>
                    <a:blip r:embed="rId37"/>
                    <a:stretch>
                      <a:fillRect/>
                    </a:stretch>
                  </pic:blipFill>
                  <pic:spPr>
                    <a:xfrm>
                      <a:off x="0" y="0"/>
                      <a:ext cx="4860000" cy="346090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图3-22  学生短笺成果答辩记录表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思迁移环节，教师引导学生提炼抓细节、品意象、悟主旨的散文阅读三步法，以及觉察情绪、换位共情、责任转化的社会情感三步法，再提供本课未学过的散文开展零支架迁移阅读（图3-23）。一名学生选择《合欢树》，摘抄母亲到处打听偏方为我治病等细节，判断合欢树象征母爱，读出全文借合欢树怀念逝去的母亲；在新旧联系中，学生认为两文的共通点是儿子遭遇人生苦难而母亲默默付出，不同之处在于《秋天的怀念》以菊花寄托母亲的心愿，《合欢树》以树的成长对应我的成长。在方法自评中，学生认为三步法中第一步用得最顺，第二步容易卡住，计划下次先弄清情节发展，再寻找意象并挖掘其背后的情感和象征意义。这份记录说明，学生已能把本课形成的阅读方法独立用于新文本，并对自身的方法运用作出反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533143"/>
            <wp:docPr id="57" name="Picture 57"/>
            <wp:cNvGraphicFramePr>
              <a:graphicFrameLocks noChangeAspect="1"/>
            </wp:cNvGraphicFramePr>
            <a:graphic>
              <a:graphicData uri="http://schemas.openxmlformats.org/drawingml/2006/picture">
                <pic:pic>
                  <pic:nvPicPr>
                    <pic:cNvPr id="0" name="dd_transfer.jpg"/>
                    <pic:cNvPicPr/>
                  </pic:nvPicPr>
                  <pic:blipFill>
                    <a:blip r:embed="rId38"/>
                    <a:stretch>
                      <a:fillRect/>
                    </a:stretch>
                  </pic:blipFill>
                  <pic:spPr>
                    <a:xfrm>
                      <a:off x="0" y="0"/>
                      <a:ext cx="4860000" cy="3533143"/>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图3-23  学生跨文本迁移阅读记录卡</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由学案中的细节解读、思维导图、短笺三稿、答辩记录、社会情感观察记录和跨文本迁移阅读记录卡构成。三稿与答辩记录使进步可见，迁移记录卡在撤去支架后检验方法能否独立运用，使能力可见；社会情感观察表和课后访谈则为情绪调节、合作共情等维度提供过程证据。学生的生命感悟始终建立在小组品读、文本论证和反馈修正之上，协同探究因而具有明确的证据基础。后续仍需对全班短笺的迭代质量和迁移记录卡的完成情况作系统统计，以判断这一设计对不同学生的作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5.四个案例的比较与启示</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四个案例的学科、任务和样态各不相同，但在模型运行上呈现出共同特点（表3-37）。第一，成功标准前置是高阶学习的起点。四位教师都在学习开始前公开分层目标或评价量表，学生因此能够在学习过程中对照标准判断自己的位置。第二，认知冲突与过程作品使思维外显。叉鱼失败、AI图像与实物不符等冲突暴露了学生的前概念，草稿、版本链、光路图和短笺等过程作品则把思维过程固定为可以讨论和修改的对象。第三，多级反馈形成迭代闭环。教师批注、同伴互评、答辩追问和自我评估在四个案例中以不同组合出现，学生的修改理由和修订版本成为进步可见的直接证据。第四，迁移任务通过更换学习对象检验方法的掌握。救生员定位、自选物件写作和零支架散文阅读等任务都改变了学习情境，用来判断学生能否独立运用课堂中形成的思维方法。</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表3-37  四个案例中五环与五见的落实方式</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120"/>
        <w:gridCol w:w="2129"/>
        <w:gridCol w:w="1457"/>
        <w:gridCol w:w="2017"/>
        <w:gridCol w:w="1793"/>
      </w:tblGrid>
      <w:tr w:rsidR="000B1CCE" w14:paraId="7531D65E" w14:textId="77777777">
        <w:trPr>
          <w:tblHeader/>
          <w:jc w:val="center"/>
        </w:trPr>
        <w:tc>
          <w:tcPr>
            <w:tcW w:w="1120"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五环（五见）</w:t>
            </w:r>
          </w:p>
        </w:tc>
        <w:tc>
          <w:tcPr>
            <w:tcW w:w="212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物理《光的折射》</w:t>
            </w:r>
          </w:p>
        </w:tc>
        <w:tc>
          <w:tcPr>
            <w:tcW w:w="145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英语写作</w:t>
            </w:r>
          </w:p>
        </w:tc>
        <w:tc>
          <w:tcPr>
            <w:tcW w:w="201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语文状物写作</w:t>
            </w:r>
          </w:p>
        </w:tc>
        <w:tc>
          <w:tcPr>
            <w:tcW w:w="179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语文《秋天的怀念》</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目标引领（目标可见）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前测诊断，基础与高阶两级目标及评价依据</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四级评价量表与情境示例前置</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记录初始描述，明确四项原则与版本层级</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基础与高阶两级目标及可观测依据</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叉鱼失败与木条折断引发认知冲突</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回复Jim邮件的开放任务</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三轮AI图像生成与实物对比</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生命感悟观察员情境与递进问题链</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探究展学（思维可见）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实体实验与PhET仿真，光路图投屏答辩</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草稿至终稿的思维过程档案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示范文本拆解与草稿对话</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学案展示、思维导图汇报与短笺答辩</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反馈迭代（进步可见）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同伴互评纠错，分层作业批注</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教师、同伴、自我三级反馈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典型问题诊断与分层迭代任务</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六类典型问题反馈，短笺三稿迭代</w:t>
            </w:r>
          </w:p>
        </w:tc>
      </w:tr>
      <w:tr w:rsidR="000B1CCE" w14:paraId="3AC77B2B" w14:textId="77777777">
        <w:trPr>
          <w:jc w:val="center"/>
        </w:trPr>
        <w:tc>
          <w:tcPr>
            <w:tcW w:w="1120"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反思迁移（能力可见）</w:t>
            </w:r>
          </w:p>
        </w:tc>
        <w:tc>
          <w:tcPr>
            <w:tcW w:w="212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救生员定位、繁星闪烁等新情境</w:t>
            </w:r>
          </w:p>
        </w:tc>
        <w:tc>
          <w:tcPr>
            <w:tcW w:w="145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终稿自评与题型迁移思考</w:t>
            </w:r>
          </w:p>
        </w:tc>
        <w:tc>
          <w:tcPr>
            <w:tcW w:w="201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自选物件迁移写作与画廊展学</w:t>
            </w:r>
          </w:p>
        </w:tc>
        <w:tc>
          <w:tcPr>
            <w:tcW w:w="179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零支架跨文本迁移阅读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案例也暴露了共同的不足。社会情感能力的证据多来自教师观察和学生反思，结构化的过程记录仍然不足；多数案例对学生进步的描述以典型个案为主，按量表等级统计的全班分布较为有限，仅状物写作案例报告了初稿与终稿的水平分布。这些问题为模型的进一步迭代提供了方向，也与下文评价体系的建设直接相关。</w:t>
      </w: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rPr>
          <w:noProof/>
        </w:rPr>
        <w:lastRenderedPageBreak/>
        <w:drawing>
          <wp:inline distT="0" distB="0" distL="0" distR="0" wp14:anchorId="068BFB1A" wp14:editId="432CB710">
            <wp:extent cx="520065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10b0d.png"/>
                    <pic:cNvPicPr/>
                  </pic:nvPicPr>
                  <pic:blipFill>
                    <a:blip r:embed="rId19"/>
                    <a:stretch>
                      <a:fillRect/>
                    </a:stretch>
                  </pic:blipFill>
                  <pic:spPr>
                    <a:xfrm>
                      <a:off x="0" y="0"/>
                      <a:ext cx="5200650" cy="3467100"/>
                    </a:xfrm>
                    <a:prstGeom prst="rect">
                      <a:avLst/>
                    </a:prstGeom>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图3-24  可见的学习视域下中学生高阶能力培育模型（2.0版）</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表3-38  高阶能力培育评价工具与证据采集</w:t>
      </w:r>
      <w:r>
        <w:rPr>
          <w:rFonts w:ascii="Times New Roman" w:eastAsia="黑体" w:hAnsi="Times New Roman" w:cs="Times New Roman"/>
        </w:rPr>
      </w:r>
      <w:r>
        <w:rPr>
          <w:rFonts w:ascii="Times New Roman" w:eastAsia="黑体" w:hAnsi="Times New Roman" w:cs="Times New Roman"/>
        </w:rPr>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表3-39  研究样本基本情况</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表3-40  高阶思维总体前后测配对比较（n=1346）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表3-41  高阶社会情感总体前后测配对比较（n=1346）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表3-42  两个学段的高阶思维总体前后测比较</w:t>
      </w:r>
      <w:r>
        <w:rPr>
          <w:rFonts w:ascii="Times New Roman" w:eastAsia="黑体" w:hAnsi="Times New Roman" w:cs="Times New Roman"/>
        </w:rPr>
      </w:r>
      <w:r>
        <w:rPr>
          <w:rFonts w:ascii="Times New Roman" w:eastAsia="黑体" w:hAnsi="Times New Roman" w:cs="Times New Roman"/>
        </w:rPr>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表3-43  两个学段的高阶社会情感总体前后测比较</w:t>
      </w:r>
      <w:r>
        <w:rPr>
          <w:rFonts w:ascii="Times New Roman" w:eastAsia="黑体" w:hAnsi="Times New Roman" w:cs="Times New Roman"/>
        </w:rPr>
      </w:r>
      <w:r>
        <w:rPr>
          <w:rFonts w:ascii="Times New Roman" w:eastAsia="黑体" w:hAnsi="Times New Roman" w:cs="Times New Roman"/>
        </w:rPr>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表3-44  高中与初中学生平均增分的比较</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表3-45  各年级高阶思维总体的前后变化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表3-46  各年级高阶社会情感总体的前后变化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表3-47  年级发展特点的探索性分组</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表3-48  两个总体指标的敏感性分析</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表3-49  分析前后测配对比较（n=1346）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表3-50  评价前后测配对比较（n=1346）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表3-51  创造前后测配对比较（n=1346）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表3-52  责任担当前后测配对比较（n=1346）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表3-53  情绪调节前后测配对比较（n=1346）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表3-54  合作共情前后测配对比较（n=1346）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表3-55  包容创新前后测配对比较（n=1346）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表3-56  学生前测开放性回答三级编码表</w:t>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表3-57  学生后测开放性回答三级编码表</w:t>
      </w:r>
      <w:r>
        <w:rPr>
          <w:rFonts w:ascii="Times New Roman" w:eastAsia="黑体" w:hAnsi="Times New Roman" w:cs="Times New Roman"/>
        </w:rPr>
      </w:r>
      <w:r>
        <w:rPr>
          <w:rFonts w:ascii="Times New Roman" w:eastAsia="黑体" w:hAnsi="Times New Roman" w:cs="Times New Roman"/>
        </w:rPr>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表3-58  学生前后测开放性文本主题对应表</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表3-59  纳入匹配表的教师背景分布（n＝129）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表3-60  纳入匹配表的教师学科分布（n＝129）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表3-61  教师认知与价值认同前后测配对分析（n＝129）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表3-62  教师课堂教学实践前后测配对分析（n＝129）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表3-63  教师教学自我效能前后测配对分析（n＝129）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表3-64  教师现实阻碍前后测配对分析（n＝129）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表3-65  教师前测开放性回答三级编码表</w:t>
      </w:r>
      <w:r>
        <w:rPr>
          <w:rFonts w:ascii="Times New Roman" w:eastAsia="黑体" w:hAnsi="Times New Roman" w:cs="Times New Roman"/>
        </w:rPr>
      </w:r>
      <w:r>
        <w:rPr>
          <w:rFonts w:ascii="Times New Roman" w:eastAsia="黑体" w:hAnsi="Times New Roman" w:cs="Times New Roman"/>
        </w:rPr>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表3-66  教师后测开放性回答三级编码表</w:t>
      </w:r>
      <w:r>
        <w:rPr>
          <w:rFonts w:ascii="Times New Roman" w:eastAsia="黑体" w:hAnsi="Times New Roman" w:cs="Times New Roman"/>
        </w:rPr>
      </w:r>
      <w:r>
        <w:rPr>
          <w:rFonts w:ascii="Times New Roman" w:eastAsia="黑体" w:hAnsi="Times New Roman" w:cs="Times New Roman"/>
        </w:rPr>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表3-67  课堂评价工具内部一致性检验结果</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表3-68  删除一级维度后的内部一致性检验</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表3-69  各维度与其余四维总分的相关度</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表3-70  课堂评价总分总体描述统计</w:t>
      </w:r>
      <w:r>
        <w:rPr>
          <w:rFonts w:ascii="Times New Roman" w:eastAsia="黑体" w:hAnsi="Times New Roman" w:cs="Times New Roman"/>
        </w:rPr>
      </w:r>
      <w:r>
        <w:rPr>
          <w:rFonts w:ascii="Times New Roman" w:eastAsia="黑体" w:hAnsi="Times New Roman" w:cs="Times New Roman"/>
        </w:rPr>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表3-71  课堂评价总分区间分布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表3-72  五个评价维度的描述统计</w:t>
      </w:r>
      <w:r>
        <w:rPr>
          <w:rFonts w:ascii="Times New Roman" w:eastAsia="黑体" w:hAnsi="Times New Roman" w:cs="Times New Roman"/>
        </w:rPr>
      </w:r>
      <w:r>
        <w:rPr>
          <w:rFonts w:ascii="Times New Roman" w:eastAsia="黑体" w:hAnsi="Times New Roman" w:cs="Times New Roman"/>
        </w:rPr>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表3-73  五维重复测量整体差异检验</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表3-74  五维两两比较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表3-75  不同学科课堂评价描述统计</w:t>
      </w:r>
      <w:r>
        <w:rPr>
          <w:rFonts w:ascii="Times New Roman" w:eastAsia="黑体" w:hAnsi="Times New Roman" w:cs="Times New Roman"/>
        </w:rPr>
      </w:r>
      <w:r>
        <w:rPr>
          <w:rFonts w:ascii="Times New Roman" w:eastAsia="黑体" w:hAnsi="Times New Roman" w:cs="Times New Roman"/>
        </w:rPr>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表3-76  英语学科低分记录的敏感性描述</w:t>
      </w:r>
      <w:r>
        <w:rPr>
          <w:rFonts w:ascii="Times New Roman" w:eastAsia="黑体" w:hAnsi="Times New Roman" w:cs="Times New Roman"/>
        </w:rPr>
      </w:r>
      <w:r>
        <w:rPr>
          <w:rFonts w:ascii="Times New Roman" w:eastAsia="黑体" w:hAnsi="Times New Roman" w:cs="Times New Roman"/>
        </w:rPr>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表3-77  不同课例课堂评价得分及离散程度</w:t>
      </w:r>
      <w:r>
        <w:rPr>
          <w:rFonts w:ascii="Times New Roman" w:eastAsia="黑体" w:hAnsi="Times New Roman" w:cs="Times New Roman"/>
        </w:rPr>
      </w:r>
      <w:r>
        <w:rPr>
          <w:rFonts w:ascii="Times New Roman" w:eastAsia="黑体" w:hAnsi="Times New Roman" w:cs="Times New Roman"/>
        </w:rPr>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表3-78  英语1课例的敏感性描述</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表3-79  教师开放式评语主题编码频次</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表3-80  五维量化结构与开放文本的对应分析</w:t>
      </w:r>
      <w:r>
        <w:rPr>
          <w:rFonts w:ascii="Times New Roman" w:eastAsia="黑体" w:hAnsi="Times New Roman" w:cs="Times New Roman"/>
        </w:rPr>
      </w:r>
      <w:r>
        <w:rPr>
          <w:rFonts w:ascii="Times New Roman" w:eastAsia="黑体" w:hAnsi="Times New Roman" w:cs="Times New Roman"/>
        </w:rPr>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表3-81  10节课教师与学生行为结构及教师主要行为时间</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表3-82  10节课学生主要学习行为时间分布</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表3-83  学生主要学习行为的描述统计</w:t>
      </w:r>
      <w:r>
        <w:rPr>
          <w:rFonts w:ascii="Times New Roman" w:eastAsia="黑体" w:hAnsi="Times New Roman" w:cs="Times New Roman"/>
        </w:rPr>
      </w:r>
      <w:r>
        <w:rPr>
          <w:rFonts w:ascii="Times New Roman" w:eastAsia="黑体" w:hAnsi="Times New Roman" w:cs="Times New Roman"/>
        </w:rPr>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表3-84  10节课师生问答与学生讨论时间</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表3-85  6节课提问认知层级分布</w:t>
      </w:r>
      <w:r>
        <w:rPr>
          <w:rFonts w:ascii="Times New Roman" w:eastAsia="黑体" w:hAnsi="Times New Roman" w:cs="Times New Roman"/>
        </w:rPr>
      </w:r>
      <w:r>
        <w:rPr>
          <w:rFonts w:ascii="Times New Roman" w:eastAsia="黑体" w:hAnsi="Times New Roman" w:cs="Times New Roman"/>
        </w:rPr>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表3-86  6节课提问认知层级总体结构</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表3-87  希沃AI原始反馈文本编码示例</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翁绮睿, 彭正梅. (2023). 成为自己的教师：“可见的学习”视野下的学生自评能力研究. 教育发展研究,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伍绍杨. (2025). 唤醒家庭的力量. 上海教育, (26),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陈添. (2025). 认识你的领导力：以可见的学习重塑教育变革. 上海教育, (26),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高嘉诚, 梁锦芳. (2025). “可见的学习”视域下学生自评力培养的实践. 上海教育, (26),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高妍, 缪秋英, 邓莉. (2025). DIIE模式：一种教师可以共享的教学语言. 上海教育, (26),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何光友, 沈勍, 伍绍杨. (2025). 可见的学习视角下的项目化设计. 上海教育, (26),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 王倩, 陈唤春, 高星原. (2021). 交往能力：中国青少年社会与情感能力测评分报告之五. 华东师范大学学报（教育科学版）, 39(9), 93–108. https://doi.org/10.16382/j.cnki.1000-5560.2021.09.006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 (2022). 义务教育课程方案（2022年版）. 北京师范大学出版社.</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 (2023). 基础教育课程教学改革深化行动方案（教材厅函〔2023〕3号）.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 (2025). 中小学生成式人工智能使用指南（2025年版）. 转引自中国新闻网2025年5月12日报道.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李茂森, 祝蕾蕾. (2022). 中小学课堂教学反馈的现实困境与改进路径：基于哈蒂“可见的学习”的视角. 教育发展研究,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林心悦. (2025). 卓越教师的三个形象与十个心智框架. 上海教育, (26),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 杨向东. (2022). 什么才是高阶思维？——以“新旧知识关系建立”为核心的高阶思维概念框架. 华东师范大学学报（教育科学版）, 40(11), 58–68. https://doi.org/10.16382/j.cnki.1000-5560.2022.11.005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马梓越, 沈勍, 伍绍杨. (2025). 可见的学习与学科教学应用. 上海教育, (26),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(2015). 寻求教学的“圣杯”：论哈蒂《可见的学习》及教育学的实证倾向. 教育发展研究,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施芳婷, 伍绍杨. (2022). 卓越教师的10个心智框架：《可见的学习》与《学记》的比较. 湖南师范大学教育科学学报,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(2025). 可见的学习：从理论探索到实践创新. 上海教育, (26),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邓莉. (2019). 如何培养高阶能力：哈蒂“可见的学习”的视角. 教育研究,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邱惠芬. (2024). “可见的学习”视域下初中化学学科实践学习分析框架的建构. 化学教学, (2),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(2019a). 上海市初中学业水平考试实施办法（沪教委规〔2019〕2号）.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(2019b). 上海市初中学生综合素质评价实施办法（沪教委规〔2019〕3号）.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(2021). 上海市普通高中课程实施方案.</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(2023). 关于实施项目化学习推动义务教育育人方式改革的指导意见（沪教委基〔2023〕24号）.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(2025). 基于“可见的学习”，探索学生高阶能力培养. 上海教育, (26),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伍绍杨. (2025). 高阶能力的培养之道. 上海教育, (26),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施芳婷. (2025). 重新评估学校成功学习的条件. 上海教育, (26),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石修银. (2021). 基于“可见的学习”理论的语文教学设计、过程及评价. 课程·教材·教法,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温英贝, 伍绍杨. (2025). 有效反馈的艺术. 上海教育, (26),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(2015). 可见的学习：未完成的故事. 基础教育,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(2025). 可见的学习的全球迁移. 上海教育, (26),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(2021). 迈向更有效的反馈：哈蒂“可见的学习”的模式. 开放教育研究,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(2025). 学习科学证明了什么：哈蒂“可见的学习”的视角. 教育发展研究,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(2026). 教育知识的全球迁移与重构：以“可见的学习”为例. 比较教育研究,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施芳婷, 彭正梅. (2023). 哪些因素对学业成就的影响最大：基于对“哈蒂排名”和PISA-TALIS的分析. 外国教育研究,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 (2025, 1月14日). 素养立意的课程建设与教学变革. 中国教育在线.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 黄忠敬, 王纮, 王翔宇, 张静. (2024). 中国青少年社会与情感能力发展水平报告——基于第二轮SSES测评数据. 华东师范大学学报（教育科学版）, 42(5), 1–32. https://doi.org/10.16382/j.cnki.1000-5560.2024.05.001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张诗琪. (2025). 学习的九个基本原则. 上海教育, (26),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 国务院. (2020). 深化新时代教育评价改革总体方案.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