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教育部，2022）。这一要求意味着，学生不仅要掌握分科知识，还要学会在复杂问题面前调动不同学科的知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2023）。《深化新时代教育评价改革总体方案》此前也提出改进结果评价、强化过程评价、探索增值评价、健全综合评价（中共中央、国务院，2020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2.上海基础教育改革为高阶能力培育提供了制度环境和实践要求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在推进新课程新教材实施方面起步较早。上海市教育委员会印发了普通高中和义务教育阶段的课程实施方案（上海市教育委员会，2021），研制新课程新教材实施研究与实践项目指南，通过项目招标推动各区和学校开展行动研究，并在市、区两级建立了520多个监测点；科创教育方面，已研发近40门小学、初中、高中贯通的科创课程，在200余所中小学实施（杨振峰，2025）。上海的课程改革已经从文件层面进入学校日常教学和持续研究的层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考试评价改革同样引导学校关注学生综合运用知识的能力。初中学业水平考试的综合测试包括物理试题、化学试题和满分15分的跨学科案例分析题（上海市教育委员会，2019a）；初中学生综合素质评价设有创新精神与实践能力板块，重点记录学生参加探究学习、科技活动等方面的过程和成果（上海市教育委员会，2019b）。对一所上海初高中学校而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3.人工智能的普及使独立思考和判断变得更加重要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Zhao et al., 2025）。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Chen &amp; Cheung, 2025）。技术越普及，学校越需要通过任务设计、追问引导和反馈，帮助学生在使用技术时保持独立判断（Li et al., 2026; Wu et al., 2025）。</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4.课堂中高阶学习是否真正发生难以仅凭活动和考试结果判断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Abrami et al., 2015）。合作学习之所以能够促进高阶思维，在于学生需要向同伴解释概念、回应质疑并整合不同意见（Güngör et al., 2026）；如果小组任务没有分工、不要求说明理由，也没有反思环节，讨论就容易沦为简单的信息交换，甚至只是少数学生发言、多数学生旁听。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Lei et al., 2026）。如果只看考试结果，可能会低估学生在学习过程中已经发生的变化，也难以判断教学究竟在哪个环节起了作用。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Hattie, 2015）。如何把这一主张转化为能够识别和支持高阶能力的具体课堂做法，是当前课堂教学改革需要解决的现实问题。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5.学校已有实践需要由零散探索走向系统推进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文献检索与总体情况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  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年度数据尚不完整。</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主要研究主题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1）高阶能力的内涵与结构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Anderson &amp; Krathwohl, 2001）。分析、评价和创造通常被视为较高层次的认知活动，构成高阶思维最常见的操作性含义。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Resnick, 1987, as cited in Ünal et al., 2026）。这一取向把高阶思维从静态的目标层级拓展为在劣构情境中展开的动态加工过程。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Facione, 1990, as cited in Hughes, 2014）。创造力被界定为在特定情境中生成兼具新颖性和适切性的观念、方案或产品的能力（Runco et al., 2026），针对大学生的多层元分析表明，创造力能够通过系统训练得到显著提升（Guo et al., 2025）。国内研究进一步指出，高阶思维的核心在于新旧知识关系的建立，其概念框架包括问题情境分析、新旧知识关系建立、多维信息综合、创新性知识生成以及对思维过程的监控与调节五个成分（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Park et al., 2026）。这一发现提示，高阶思维的各个成分在真实任务中往往同时被调用，将分析、评价和创造置于同一学习过程中加以培养，比孤立训练某一成分更符合高阶思维的实际运作方式。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SSES）从任务能力、情绪调节、协作能力、开放能力和交往能力五个领域考察青少年的社会情感发展（OECD, 2021）；学术、社会与情感学习协作组织（Collaborative for Academic, Social, and Emotional Learning, CASEL）提出自我意识、自我管理、社会意识、人际关系技能和负责任决策五个领域（CASEL, 2020）。元分析表明，系统实施的校本社会情感学习能够改善学生的社会情感技能、日常行为和学业成绩（Durlak et al.,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袁振国等，2024）。基于苏州市数据的研究发现，交往能力与其他社会与情感能力之间存在中等程度的相关，并受同伴关系、家庭背景、教师和学校因素的影响（黄忠敬等，2021）。上述结果表明，社会情感能力在中学阶段并不随年龄增长自然提高，学校层面的有意识培养具有必要性。也有研究提醒，将深受文化影响的共情、情绪等品质转化为统一分数进行跨情境比较，存在标准化和简化的风险（Steiner-Khamsi et al., 2024）。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2）高阶能力的发展条件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现有证据较为一致地表明，高阶能力不会随知识难度的提高而自然形成，其发展依赖特定的教学条件。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Abrami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Güngör et al., 2026）。图形组织器对高阶思维同样具有显著的促进作用，其中思维导图的效果最强，概念图由于结构复杂、绘制负担较重，效果相对较弱（Lei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De Jong et al., 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指导的设计还需要避免过载。同时向学习者提供多种相互重叠的外部支架，并不会产生叠加效应，反而可能分散注意力、增加无关认知负荷而相互抵消（De Jong et al., 2023）。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3）高阶能力的学科依存性与情境性</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Hughes, 2014）。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Cole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2023）。对本课题而言，高阶能力培育既需要跨学科共享的能力目标，又需要在语文、数学、物理、英语等学科以及科创项目中形成各自的实践方式，不宜以统一流程机械套用于所有课堂。</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4）高阶能力的评价</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Zemplén, 2007）。第二个难题是教师缺乏判断依据，对国际文凭学校教师的调查显示，评估学生批判性思维的进步是教师认为最困难的工作，探究性思维缺乏标准答案，而学生又习惯于索要确定的分数（Bergeron &amp; Rogers,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形成性评价为应对上述难题提供了思路。过早给出终结性分数会促使学生追求唯一正确答案而回避智识风险，低利害的多轮练习与修订以及描述性反馈，更有利于学生提出新颖假设并审慎修正论证（Bouckaert, 2023）。学习结果结构分类（Structure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Cole et al., 2015）。这意味着，高阶能力评价既要关注技能表现，也要关注思维倾向，并把测评结果放回具体的教学情境中理解。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评价还需警惕单一证据的局限。元分析显示，创造力与批判性思维均采用自陈量表测量时，二者的相关明显高于均采用任务表现测量时，表明共享测量方法会放大构念之间的观察相关（Park et al., 2026）。学习分析技术扩大了可观察的范围，但仪表盘以颜色、进度条等形式给出的直观判断，可能先于并替代教师对学生学习的专业解释（Jornitz &amp; Klinge, 2022）。因此，高阶能力评价需要综合问卷、作品、课堂表现和教师判断等多种证据，并明确每类证据所能支持的推断范围。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5）数智技术对高阶能力发展的影响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研究者认为这与模型倾向于输出常规答案、学生直接采用后难以产生新颖构想有关；干预周期呈倒U型，8至16周效果最佳，周期过短学生尚处适应阶段，周期过长则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Li et al., 2026）。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Liu et al., 2026）。反馈研究建议，要求学生将人工智能生成的反馈与同伴意见、教师指导和优秀范例进行比较，并说明采纳或拒绝每条建议的理由，可以使技术反馈成为学生判断的素材而非替代（Du &amp; Yuan, 2026）。数智技术并未降低高阶能力的重要性，反而对学习设计以及判断学生是否真正进行思考提出了更高要求。</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文献检索与总体情况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之中。</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  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主要研究主题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1）可见的学习的基本主张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Hattie基于大规模教育证据综合提出的理论框架。其统计基础可以追溯到1992年对134项元分析、两万余个效应量的综合，该综合确立了约0.40个标准差的平均效应作为比较不同教育干预相对效果的参照（Higgins, 2016）。由于几乎所有教学干预都能带来一定进步，这一框架主张判断一项干预是否值得推广，应看其能否带来高于平均水平的增益。</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asTTle）以课程锚定的诊断性测评为教师提供学生所处进阶位置的信息，使评价结果能够及时转化为调整教学的依据（Hattie, 2005）。可见的学习的核心含义正在于此，即教师能够看见自身教学对学生学习的影响，学生能够看见自己的学习进展并逐步成为自身学习的主导者。</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2）可见的学习的运行机制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Hattie, 2005, pp. 14–17）。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McDonnell &amp; Weatherford, 2013）。这一发现提示，学校自行构建的能力进阶描述同样需要在教学实践中检验和修订。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反馈围绕学习要到达哪里、当前处于什么位置、下一步如何推进三个问题展开，把目标、当前表现和后续行动连接起来，并可指向任务、过程和自我调节等不同层面（Hattie &amp; Timperley, 2007）。反馈具有双向性，学生的作业、提问和错误同样是教师判断教学效果的信息来源，有研究者进一步主张将学校建设为持续追问下一步方向的反馈文化（Fredens, 2015）。课堂观察研究发现，教师往往难以觉察课堂中正在发生的大部分事情，教师自认为讲授仅占课堂时间的二至三成，实际测量却达到七至八成（Knudsen, 2017），这说明教师需要借助证据而非仅凭感觉了解课堂。反馈的效果还取决于学习者的反馈素养，即理解反馈、判断其合理性、调节面对批评时的情绪并将建议转化为改进行动的能力（Carless &amp; Boud, 2018, as cited in Du &amp; Yuan, 2026）。</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3）可见的学习对教师和学校的要求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关键与其说在于教师采用了何种方法，不如说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教师的专业判断需要学校组织的支持。斯堪的纳维亚的研究者将可见的学习重新诠释为校本改进的路径，强调通过教师协作研讨、同伴观课和跨年级共享进阶标准开展集体能力建设（Nordahl, 2015）。有效的专业学习共同体通常具有聚焦学生学习的共同愿景、对学生学业成效的集体责任、反思性的专业探究以及超越一般互助的深度协作等特征（Brown &amp; Greany, 2018）。关于教育证据使用的研究也发现，学校在日常排课中为教师保留专门的研讨时间，教师才能在互信的氛围中提出疑问、研读研究并结合班级学情设计教学尝试，研究证据也更可能真正进入课堂（Rickinson et al., 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Edovald &amp; Nevill, 2021）。另一方面，把课例研究作为教师共同检验教学方案的正式机制，有助于将教师自身的探究与外部研究证据结合起来（Brown &amp; Greany, 2018）。教研活动的关键在于是否聚焦学生真实的学习表现，并在多轮实践中检验改进是否有效。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4）学术争议与本研究的使用立场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可见的学习在国际上影响广泛，同时也受到持续的学术批评。厘清这些批评，有助于明确本研究应在何种意义上使用该理论。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第一类批评针对以效应量对教学因素进行排序的做法。0.40的关节点缺乏充分依据，对不同研究结果的简单平均会掩盖重要差异，例如家庭作业对小学生几乎没有效果，对中学生的效果却较为明显（Snook et al., 2009）。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ecker et al., 2016）。数值示例还表明，同一组数据采用不同公式计算效应量，可能得出完全相反的排序（Bergeron &amp; Rivard, 2017）；大量元分析的层层汇总也会导致原始研究中的具体信息丢失或被扭曲（Terhart,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Nielsen &amp; Klitmøller, 2021）。元分析所依据的多为标准化考试成绩，偏重表层知识，对深层理解和批判性思维的反映有限（Qvortrup, 2015）。这些批评表明，反馈发挥作用需要具体指向任务和改进方法，并被学生理解和使用。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第三类批评针对理论在实践中的使用方式和适用范围。若行政部门把可见的学习转化为以高效应量方法清单考核教师的工具，会削弱教师依据具体情境作出专业判断的能力（Eacott, 2019）。原始元分析主要来自英语国家的研究，直接迁移到非英语国家和不同社会文化环境时存在适应性问题（Golovchin, 2019）。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Kelly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可见的学习与高阶能力培育的契合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Rickinson et al., 2022）。以实践者探究方式检验外部理念的经验也表明，学校对外部理论的吸收需要经过本校课堂证据的检验和校准（Kelly et al., 2025）。这为本课题以行动研究推动模型在学校中的生成和修正提供了依据。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已有研究在高阶能力和可见的学习两方面都形成了较为丰富的理论与实证基础，但就本课题关注的问题而言，仍存在三个方面的不足。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第三，在研究情境上，关于高阶思维与数智技术的实证研究大多以大学生为对象，基础教育阶段的证据较少且结果不稳定（Chen &amp; Cheung, 2025; Liu et al., 2026），一所学校在多个学科和多种学习场域中持续开展、多轮改进的研究也较为缺乏。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1.理论意义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2.实践意义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3.方法意义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核心概念界定</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1.中学生高阶能力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（1）高阶思维能力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w:t>
      </w:r>
      <w:r>
        <w:rPr>
          <w:rFonts w:ascii="宋体" w:eastAsia="宋体" w:hAnsi="宋体" w:cs="宋体" w:hint="eastAsia"/>
          <w:kern w:val="0"/>
          <w:sz w:val="24"/>
        </w:rPr>
        <w:t>，指学生能够分解复杂问题，辨别不同信息、条件和变量之间的关系，抓住问题的关键要素及其内在联系。</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w:t>
      </w:r>
      <w:r>
        <w:rPr>
          <w:rFonts w:ascii="宋体" w:eastAsia="宋体" w:hAnsi="宋体" w:cs="宋体" w:hint="eastAsia"/>
          <w:kern w:val="0"/>
          <w:sz w:val="24"/>
        </w:rPr>
        <w:t>，指学生能够依据事实、证据或一定标准，对观点、方法、过程和结果进行比较、判断、质疑和反思。</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w:t>
      </w:r>
      <w:r>
        <w:rPr>
          <w:rFonts w:ascii="宋体" w:eastAsia="宋体" w:hAnsi="宋体" w:cs="宋体" w:hint="eastAsia"/>
          <w:kern w:val="0"/>
          <w:sz w:val="24"/>
        </w:rPr>
        <w:t>，指学生能够综合已有知识和经验，形成新的观点、方案、解释或作品，并把已有知识和方法迁移到新的问题情境中。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解决、迁移和元认知在本研究中不另设维度，而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（2）高阶社会情感能力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，指学生能够明确任务目标和个人职责，主动投入并坚持完成任务，对个人学习和团队成果负责。</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，指学生面对困难、压力、失败和观点冲突时，能够调节自己的情绪和行为，保持相对稳定的学习状态并继续行动。</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包容创新</w:t>
      </w:r>
      <w:r>
        <w:rPr>
          <w:rFonts w:ascii="宋体" w:eastAsia="宋体" w:hAnsi="宋体" w:cs="宋体" w:hint="eastAsia"/>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3.学习证据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理论框架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养什么，可见的学习回答怎样使其发生并被判断，学习证据则把二者连接起来。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学习证据按五个层面组织，即后文模型中的五见，包括目标可见、思维可见、证据可见、进步可见和能力可见。表2-1说明了每个层面对应的可见的学习要素、主要学习证据和证据用途。</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五见与可见的学习要素及学习证据的对应关系</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研究问题与研究目标</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本研究围绕以下四个问题展开。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（1）本校中学生高阶思维与高阶社会情感的起点状况如何？教师开展高阶能力培育的认识、实践、困难和需求是什么？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（2）以可见的学习为连接机制，中学生高阶能力培育的学习模型与教学模型应包含哪些要素？各要素之间如何关联？</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（3）模型在学科课堂与科创项目中如何转化实施？多轮实践中作出了哪些调整，依据是什么？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（4）实施期间，学生高阶能力、课堂学习条件和教师实践发生了哪些变化？不同来源的证据在多大程度上相互一致？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研究内容</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1.可见的学习视域下中学生高阶能力培育的理论研究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2.中学生高阶能力发展及培育现状的调查研究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3.中学生高阶能力培育学习模型与教学模型的建构研究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4.中学生高阶能力培育模式的多场域实践研究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5.中学生高阶能力培育成效的评价与优化研究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研究设计与方法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1.总体设计</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本研究立足学校真实教育教学情境，按照理论研究、现状诊断、模型建构、多场域实践、成效评价和持续优化的思路展开。整体上采用设计型研究（Design-Based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（1）文献研究法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（2）问卷调查法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（3）访谈法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（4）行动研究法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2015）。研究不以单次课堂或单个项目的结果判断模式是否有效，而通过多轮实践、比较和修正，逐步提炼高阶能力培育的关键环节与实施策略。</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（5）课堂观察法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（6）案例研究法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3.数据处理与证据整合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4.研究效度与推论边界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据此，本研究以多种证据的一致程度判断模型在本校情境中的可实施性和积极变化。</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研究步骤</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t>图2-1  课题研究路径图</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1.准备阶段（2023年11月—2024年3月）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2.实施阶段（2024年4月—2026年6月）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3.总结阶段（2026年7月—2026年10月）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（一）学生高阶能力基础的前测调查</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1.学生高阶能力测评工具的开发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（1）测评维度的确定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高阶思维的测评需要明确认知过程及其在学习任务中的表现。布卢姆教育目标分类修订版将认知过程划分为记忆、理解、应用、分析、评价和创造六个层次，为区分学习任务的认知要求提供了理论依据（Anderson &amp; Krathwohl, 2001）。高阶思维还体现为学生面对新材料和非程序化问题时的迁移、批判性思考与问题解决，其核心在于建立新旧知识之间的联系（马淑风，杨向东，2022）。</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OECD, 2021）。</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参照国内基于社会与情感能力调查开展的测评框架（黄忠敬等，2021；袁振国等，2024），围绕中学生高阶能力培育的需要，选取与责任承担、自我调节、合作协商和开放探索相关的内容，依据其内涵联系进行归并，形成责任担当、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。调查内容包括分析、评价、创造三个高阶思维维度，以及责任担当、情绪调节、合作共情、包容创新四个高阶社会情感维度，共32道评分题。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八年级各有12个班，九年级有13个班级，高中十至十二年级各有4个班。课题组在初中六至八各年级随机抽取5个班、九年级抽取6个班，高中各年级随机抽取2个班，共抽取27个班，采用问卷星组织入选班级学生在学校计算机房集中填写问卷，共回收有效问卷1346份。其中，男生671人、女生675人，分别占49.85%和50.15%。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包容创新七个理论维度。本研究依据问卷星对1346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研究首先采用KMO取样适切性检验和Bartlett球形度检验，判断题项相关矩阵是否适合进行因子分析，结果见表3-1。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KMO值为0.9868，Bartlett球形度检验达到显著水平，说明相关矩阵并非单位矩阵，题项之间具备开展结构探索的统计基础。两项检验支持进一步考察题项归属。</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前两个成分的特征值大于1，第三个成分的特征值低于1，结果见表3-2。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α系数。问卷星报告按六组题项内容进行统计，检验结果见表3-4。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表3-4  学生高阶能力问卷内部一致性信度检验结果（N＝1346）</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4.学生高阶能力基础的前测结果</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表3-5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（2）高阶能力自评的总体分布</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表3-6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-1呈现各题五级选项的分布，与表3-8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（3）七个维度的自评特征</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表3-7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表3-8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表3-9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包容创新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表3-10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表3-11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表3-12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表3-13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表3-14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表3-15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（8）开放回答中的学习困难</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表3-16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3-16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（9）同选项答卷的敏感性分析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表3-17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表3-18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教师高阶能力培育现状的前测调查</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（2）课堂实践</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Bergeron &amp; Rogers, 2015）。本研究以此解释教师对高阶能力培育的实施把握，重点考察其能否设计适合学生的任务、通过提问与点拨推动思考，以及识别学生的高阶表现。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课题组通过问卷星编制问卷向学校全体教师发放问卷，共收回问卷163份。其中，初中教师114人、高中教师49人，分别占69.9%和30.1%。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研究首先采用KMO取样适切性检验和Bartlett球形度检验，判断题项相关矩阵是否适合进行因子分析，结果见表3-19。</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表3-19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KMO值为0.857，表明题项之间具备开展因素分析的相关基础；Bartlett球形度检验达到显著水平，说明相关矩阵并非单位矩阵。两项检验支持进一步考察题项的因素归属。</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前四个成分的特征值均大于1，第五个成分的特征值低于1，结果见表3-20。</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表3-20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特征值分布为考察四因素方案提供了初步依据。因素数量的确定还需结合旋转后的题项分布及其内容含义。</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主轴因子法与Promax斜交旋转的题项载荷见表3-21。斜交旋转允许因素之间存在相关，能够进一步考察教师认识、教学实施及实施条件等内容之间的联系。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表3-21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α系数。四组内容的测量指向不同，现实阻碍的高分表示困难较强，因此不合并计算教师问卷总分。检验结果见表3-22。</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表3-22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4.教师高阶能力培育现状的前测结果</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（1）施测过程与样本构成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本研究依托问卷星组织本校教师在线填写问卷，共收集163份教师问卷。样本涵盖不同教龄、职称、任教学段及相关培训经历，具体构成见图3-5。</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图3-5  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（2）四组内容的总体表现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表3-23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（3）价值认同与课堂实践的落差</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表3-24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表3-25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表3-26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表3-27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图3-6  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（6）对培育价值与可行性的判断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表3-28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（7）教师背景与培育判断的差异检验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t>据完整选项频数补做固定边际精确检验，结果见表3-29。</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表3-29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分别为0.368和0.792）。参加过培训教师选择可行性较高和价值很大的比例分别为40.77%和45.38%，未参加者分别为21.21%和24.24%。上述比例为描述性结果。</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图3-7  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（8）教师前测诊断与实践重点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表3-30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（三）前测综合诊断与关键问题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因此，前测的价值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1.教与学两端的前测诊断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这说明，当前教师发展的关键在于能否把抽象的能力要求转化为具体的学习目标、任务结构、教学支架和评价依据。换言之，高阶能力培育的瓶颈正在由理念认同不足转向专业转化不足。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这表明，学生已经具备进入高阶学习的基础，但尚需由完成任务、参与活动进一步走向深度分析、证据判断、方案生成、持续反思和迁移创新。因此，高阶能力培养的重点在于提升学习过程的深度与质量。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（3）教师端与学生端结果的对应</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2.高阶能力培育需要突破的主要问题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由此可以看出，后续模式建构的重点是建立一条能够贯通能力目标、学习任务、深度学习、教学支持和能力发展的完整机制。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（四）高阶能力培育模型的建构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模型以能力目标、学习发生、教学支持、证据反馈和持续改进为基本线索，形成一套把能力发展、学生学习、教师支持和证据反馈连接起来的学校实践框架。</w:t>
      </w:r>
      <w:r>
        <w:rPr>
          <w:rFonts w:ascii="宋体" w:eastAsia="宋体" w:hAnsi="宋体" w:cs="宋体" w:hint="eastAsia"/>
          <w:sz w:val="24"/>
        </w:rPr>
      </w:r>
      <w:r>
        <w:rPr>
          <w:rFonts w:ascii="宋体" w:eastAsia="宋体" w:hAnsi="宋体" w:cs="宋体"/>
          <w:sz w:val="24"/>
        </w:rPr>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Hattie &amp; Timperley, 2007），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能力进阶尺度同样以高阶能力理论为依据。高阶思维是非算法性的、需要在不确定条件下作出判断的加工过程（Ünal et al., 2026），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SOLO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图3-8  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图3-9  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（2）以七维高阶能力确立能力目标</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七维能力无须在一节课中同时覆盖。具体学习中，应根据学科内容、任务性质和学生基础确定重点，使能力目标少而准、能够进入学习过程，也能够留下真实表现。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（3）以三层六阶和两境四维刻画进阶尺度</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在认知复杂度和情境复杂度不断提高的过程中逐步形成。三层六阶用于刻画高阶思维的发展，学习理解、应用实践和迁移创新呈现学习从理解知识到使用知识、再到迁移创新的基本进程，记忆、理解、应用、分析、评价和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（4）以五环推进学习过程</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五环是相互衔接的学习过程。真实学习中可以前后回返，但总体方向始终是推动学生由完成任务走向理解方法、由参与活动走向形成能力。</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Guo et al., 2025），这为反思迁移环节中的策略提炼和迁移练习提供了依据。</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（5）以五见贯穿学习表征</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图3-10  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其基本过程依次为诊断发现、干预、实施、评估和进入下一轮调节。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（2）基于证据的诊断发现</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（3）面向差异的干预设计</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（4）动态调节中的实施推进</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（5）依据学习证据的评估改进</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t>设置、任务设计、支架和反馈是否有效。评估结果是下一轮诊断和调整的起点，由此形成基于证据持续改进的专业行动方式。</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Cowen et al., 2015）。</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五环描述学习怎样向前推进，教师循证调节描述教学怎样围绕学习持续变化。二者共同构成学习发生、证据呈现、教学调节和学习再发生的动态过程。</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（五）双模型协同下的实践与迭代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w:t>
      </w:r>
      <w:r>
        <w:rPr>
          <w:rFonts w:ascii="宋体" w:eastAsia="宋体" w:hAnsi="宋体" w:cs="宋体"/>
          <w:sz w:val="24"/>
        </w:rPr>
        <w:t>诊断发现、干预、实施和评估组织教师基于学习证据的持续调节。两者共同指向中学生七维高阶能力发展。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1.协同实践的框架与逻辑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图3-11  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其基本过程依次为七维能力目标、学习模型与教学模型协同运行、两域实践、高阶学习样态生成、实践证据形成和模型迭代优化。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因此，无论是学生五环学习，还是教师循证调节，都是为了使抽象的能力要求进入真实学习过程。具体实践中，并不追求每一节课同时覆盖七个维度，而根据学科内容、任务性质和学生基础确定重</w:t>
      </w:r>
      <w:r>
        <w:rPr>
          <w:rFonts w:ascii="宋体" w:eastAsia="宋体" w:hAnsi="宋体" w:cs="宋体"/>
          <w:sz w:val="24"/>
        </w:rPr>
        <w:t>点，使能力目标能够真正落到学习任务和学习表现上。可见的学习解决的是如何看见并促进学习发生，高阶能力培育解决的是学习最终应当走向哪里。</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五种典型样态是学习模型在不同学科内容、任务类型和实践情境中呈现出的典型高阶学习形态。</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3-31和表3-32分别呈现五环与可见的学习、高阶能力培育的对应关系，以及学生学习与教师循证调节的协同关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创造、包容创新、责任担当</w:t>
            </w:r>
          </w:p>
        </w:tc>
      </w:tr>
    </w:tbl>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表3-32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表3-32从实践角度说明，学生学习推进到不同状态时，教师需要关注的证据以及相应的判断和调节。其核心仍然是让学生真实学习成为教师改进教学的依据。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2.学科课堂中的五环实践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（1）以能力目标引领学习进阶</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（2）以进阶任务驱动高阶学习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（3）在探究展学中促进思维外显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（4）以学习证据推动反馈迭代</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反馈迭代是五环中最能体现可见的学习价值的环节。评价根据学生已经呈现的学习证据，及时告诉学生与目标之间还存在什么差距，并推动下一步行动。高质量反馈应当指向思维和策略。</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（5）在反思迁移中促进能力进阶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的形成需要跨越多节课的持续积累。高阶能力真正稳定，需要学生能够从具体任务中提炼方法，并在新的情境中再次使用。反思迁移因此要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3.科创项目中的五环实践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（1）以真实问题确立项目育人目标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（3）在设计与实验中深化探究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通过追问为什么这样设计、依据什么判断、如果条件变化会怎样，促使学生把直觉转化为可讨论、</w:t>
      </w:r>
      <w:r>
        <w:rPr>
          <w:rFonts w:ascii="宋体" w:eastAsia="宋体" w:hAnsi="宋体" w:cs="宋体"/>
          <w:sz w:val="24"/>
        </w:rPr>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（4）以测试评价推动方案优化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（5）在成果应用中实现迁移创新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4.两域实践中的高阶学习典型样态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这一样态突出观点怎样被证据支持、质疑和修正。学生需要区分观点与事实，判断证据是否相关、可靠、充分，并在新的证据出现时调整原有结论。其关键是形成观点、证据、解释和修订的完整链条。</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Kuhn et al., 2000）。论证性实践要求学生说明依据、回应质疑并修正判断，为学生认识论理解的发展提供了课堂条件。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5.基于实践证据的模型迭代</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随着研究不断深入，我们对模型的认识也经历了由建构一个可操作的学习路径向形成学习、教学、实践与评价相互贯通的育人系统的变化。最终形成的2.0版是实践证据推动下的进</w:t>
      </w:r>
      <w:r>
        <w:rPr>
          <w:rFonts w:ascii="宋体" w:eastAsia="宋体" w:hAnsi="宋体" w:cs="宋体" w:hint="eastAsia"/>
          <w:sz w:val="24"/>
        </w:rPr>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（1）总模型的结构性迭代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2.0版把迁移列为高阶思维的核心目标之一，强调能力在新情境中的运用；学生问卷沿用研究设计阶段确定的创造维度进行测量，因此本报告的统计结果仍以创造呈现。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图3-12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（2）学习模型的内涵深化</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研究初期，目标引领、任务驱动、探究展学、反馈迭代和反思迁移更多解决教学实践中高阶学习怎样组织的问题。随着课例研究的深入，我们越来越关注五环内部的学习质量。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t>习的关键是学生是否经历了思考、表达、证据、反馈、修订和迁移的实质变化。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三层六阶和两境四维属于本研究在实践中形成的进阶假设。学业进阶研究表明，初高中阶段的进阶序列多依据学科逻辑推演而来，需要一线教师对照课堂实际进行检验和校准（McDonnell &amp; Weatherford, 2013）。本研究在多轮课例研讨中依据学生作品和课堂表现修订进阶描述，正是这种校准过程的体现，后续仍需积累更多学科的表现样例。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（3）教学模型运行机制的循证优化</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与学习模型相对应，教师教学模型的四个基本环节，诊断发现、干预设计、实施推进和评估改进同样没有在实践中频繁更换，其迭代主要发生在运行方式上。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（4）双模型互动机制的形成</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与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（5）两域实践中的场域化调整</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（6）证据驱动的迭代方式</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（7）模型2.0版的形成</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（六）评价体系与多源证据</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1.评价依据、维度与指标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（1）评价体系的设计依据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再次，以五环作为观察高阶能力发生的主要学习过程。目标引领、任务驱动、探究展学、反馈迭代、反思迁移是学生高阶能力得以发生和表现的主要过程。教师需要在这些真实学习环节中观察学生怎样进入任</w:t>
      </w:r>
      <w:r>
        <w:rPr>
          <w:rFonts w:ascii="宋体" w:eastAsia="宋体" w:hAnsi="宋体" w:cs="宋体" w:hint="eastAsia"/>
          <w:sz w:val="24"/>
        </w:rPr>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评价体系的设计还考虑了高阶能力评价的两类风险。其一是以术语代替思维，当评价标准只关注学生是否使用了特定的分析术语时，学生可能通过套用术语获得较高评价（Zemplén, 2007），因此本研究的评价指标描述的是学生的具体表现，例如能否说明判断依据、比较不同方案、依据反馈修订观点。其二是过早评分抑制探索，低利害的多轮修订和描述性反馈更有利于批判性思维和创造力的发展（Bouckaert, 2023），因此课堂中的评价以形成性反馈为主，分数主要用于研究层面的前后比较。在思维层次判断上，评价指标与研究设计中的表2-1相衔接，以布卢姆分类界定任务要求，以SOLO分类判断学生回答和作品的结构水平。</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表3-33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和希沃AI评课反映的是课堂学习条件和行为过程。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3.多源证据链</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（1）前测、过程与后测的纵向证据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（2）起点、过程、变化与迁移的横向证据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（3）自评、互评、师评与智评的多元互证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r>
        <w:rPr>
          <w:rFonts w:ascii="宋体" w:eastAsia="宋体" w:hAnsi="宋体" w:cs="宋体" w:hint="eastAsia"/>
          <w:sz w:val="24"/>
        </w:rPr>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和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（七）模型实施成效分析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（1）分析样本与方法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表3-34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表3-35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表3-36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（3）初中与高中的比较</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表3-37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表3-38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表3-39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（4）年级差异</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1）各年级的前后变化</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表3-40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表3-41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表3-42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3）剔除同选项答卷的敏感性检验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表3-43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同选项作答筛选仅用于敏感性分析。</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（5）高阶思维三个维度的变化</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表3-44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表3-45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表3-46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（6）高阶社会情感四个维度的变化</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表3-47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表3-48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表3-49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表3-50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（7）开放性回答的质性分析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1）前测中的学习困难</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2）后测中的学习变化感知</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表3-52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表3-53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br/>
        <w:t>2.教师问卷前后测结果分析</w:t>
      </w:r>
      <w:r>
        <w:rPr>
          <w:rFonts w:ascii="宋体" w:eastAsia="宋体" w:hAnsi="宋体" w:cs="宋体" w:hint="eastAsia"/>
          <w:sz w:val="24"/>
        </w:rPr>
      </w:r>
      <w:r/>
      <w:r>
        <w:rPr>
          <w:rFonts w:ascii="宋体" w:eastAsia="宋体" w:hAnsi="宋体" w:cs="宋体" w:hint="eastAsia"/>
          <w:sz w:val="24"/>
        </w:rPr>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2.教师问卷前后测结果</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（1）数据来源与样本</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表3-54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（2）学科分布与维度计分</w:t>
      </w:r>
    </w:p>
    <w:p w14:paraId="18C87878" w14:textId="77777777" w:rsidR="000B1CCE" w:rsidRDefault="00000000">
      <w:pPr>
        <w:keepNext/>
        <w:snapToGrid w:val="0"/>
      </w:pPr>
      <w:r>
        <w:t>表3-55  纳入匹配表的教师学科分布（n＝129）</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（3）四个维度的配对分析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表3-56  教师认知与价值认同前后测配对分析（n＝129）</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表3-57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表3-58  教师教学自我效能前后测配对分析（n＝129）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表3-59  教师现实阻碍前后测配对分析（n＝129）</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3.教师开放性回答的质性分析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（1）编码对象与方法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后测开放题的提问结构不完全相同，前测主要询问想法、顾虑和建议，后测同时包含实践感受、困难与建议。因此，本研究只对前后文本进行主题对应和内容归纳，不直接用主题频次的增减解释教师发生了何种程度的变化，以避免将题目结构差异误判为研究成效。</w:t>
      </w:r>
      <w:r>
        <w:rPr>
          <w:rFonts w:ascii="宋体" w:eastAsia="宋体" w:hAnsi="宋体" w:cs="宋体" w:hint="eastAsia"/>
          <w:sz w:val="24"/>
        </w:rPr>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（2）前测文本编码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表3-60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w:t>
      </w:r>
      <w:r>
        <w:rPr>
          <w:rFonts w:ascii="宋体" w:eastAsia="宋体" w:hAnsi="宋体" w:cs="宋体" w:hint="eastAsia"/>
          <w:sz w:val="24"/>
        </w:rPr>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（3）后测文本编码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表3-61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4.教师五维评课结果</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（1）评课工具的质量检验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表3-62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表3-63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表3-64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形成性评价在均值比较中并不占优势，但与整体课堂结构的联系最为紧密，提示反馈与改进在课堂中的作用。</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（2）课堂评价的总体分布</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多种统计量可以更完整地呈现这组课堂评价的分布。</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表3-65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表3-66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（3）五个维度的结构差异</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表3-67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表3-68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表3-69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五个维度可分为两个相对层次，社会情感支持与学科内容建构位于较高层，认知参与、课堂互动和形成性评价构成</w:t>
      </w:r>
      <w:r>
        <w:rPr>
          <w:rFonts w:ascii="宋体" w:eastAsia="宋体" w:hAnsi="宋体" w:cs="宋体" w:hint="eastAsia"/>
          <w:sz w:val="24"/>
        </w:rPr>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（4）学科比较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表3-70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表3-71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（5）课例比较</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表3-72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一分布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表3-73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研究的价值，恰恰在于解释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（6）开放评语的质性编码</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表3-74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课堂互动改进和形成性评价反馈分别出现29次和27次。这两类编码同时包含肯定性意见和改进建议。更准确的解释是互动与反馈已经成为教师在课堂观察中持续聚焦的关键</w:t>
      </w:r>
      <w:r>
        <w:rPr>
          <w:rFonts w:ascii="宋体" w:eastAsia="宋体" w:hAnsi="宋体" w:cs="宋体" w:hint="eastAsia"/>
          <w:sz w:val="24"/>
        </w:rPr>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（7）量化结果与评语的互证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表3-75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形成性评价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r>
        <w:rPr>
          <w:rFonts w:ascii="宋体" w:eastAsia="宋体" w:hAnsi="宋体" w:cs="宋体" w:hint="eastAsia"/>
          <w:sz w:val="24"/>
        </w:rPr>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5.希沃AI评课的课堂实施分析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表3-76  10节课教师与学生行为结构及教师主要行为时间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由讲授与多种互动共同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表3-77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表3-78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t>为。10节课均记录到学生讨论，累计时间约174分10秒，平均每节约17分25秒。单课讨论时间最高为英语2的23分19秒，其次为物理2的21分43秒、语文2的20分26秒和数学1的19分30秒；最低为英语3的7分21秒。由此可见，讨论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表3-79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t>174分10秒，两类行为合计约284分58秒。希沃各行为类别存在识别口径差异，此处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表3-80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表3-81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现有数据显示，课堂提问覆盖了记忆、理解、应用、分析、评价和创造等认知层级；由于只有6节课具有完整认知层级数据，该结果描述的是这些课例的提问结构。</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AI行为数据的价值还在于弥补教师主观感受的局限。课堂观察研究发现，教师往往难以准确估计自己讲授所占的时间，自认为只占二至三成的讲授实际可能达到七至八成（Knudsen, 2017）。希沃数据为教师提供了不依赖自我感觉的课堂结构信息，但这些信息只描述行为发生的时间和频次，教师仍需结合学习目标和学生表现解释其意义。</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表3-82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5）课堂实施状态的综合判断</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（一）主要研究成果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r>
        <w:rPr>
          <w:rFonts w:ascii="宋体" w:eastAsia="宋体" w:hAnsi="宋体" w:cs="宋体" w:hint="eastAsia"/>
          <w:sz w:val="24"/>
        </w:rPr>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3.双模型协同运行的高阶能力培育总模型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t>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t>自回答不同问题，并通过纵向比较、过程追踪和多元互证形成综合判断。本研究把AI课堂行为作为过程性证据使用。</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学生问卷沿用分析、评价、创造三个高阶思维维度，成效统计按原量表维度报告。</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1.高阶思维总体小幅提升</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t>图4-1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2.高阶社会情感提升较为明显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图4-2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表明，学生获得了较多进入问题分析、观点比较和高阶认知活动的机会。</w:t>
      </w:r>
      <w:r>
        <w:rPr>
          <w:rFonts w:ascii="宋体" w:eastAsia="宋体" w:hAnsi="宋体" w:cs="宋体" w:hint="eastAsia"/>
          <w:sz w:val="24"/>
        </w:rPr>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显示，AI识别中的探究实践平均占比约0.91%、学生展示约0.25%，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（三）教师高阶能力培育实践的持续改进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1.对高阶能力培育的认识更加具体</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2.课堂实践与教学自我效能呈积极趋势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表4-3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3.教学支持更加关注高阶学习的发生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图4-3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4.教学方式由经验推进转向循证调节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逐步追问，学生在哪一步出现困难？哪种证据说明其认识发生了变化？反馈后是否出现新的表现？教学支架是否与当前学情匹配？这种问题意识使五维评课、AI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1CAE45D5" w14:textId="77777777" w:rsidR="000B1CCE" w:rsidRDefault="00000000">
      <w:pPr>
        <w:keepNext/>
        <w:spacing w:before="100" w:after="60"/>
        <w:jc w:val="center"/>
      </w:pPr>
      <w:r>
        <w:rPr>
          <w:rFonts w:ascii="宋体" w:eastAsia="宋体" w:hAnsi="宋体"/>
          <w:b/>
          <w:sz w:val="20"/>
        </w:rPr>
        <w:t>图4-4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（四）学校高阶能力培育实践体系的初步形成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2.由经验判断走向证据支持的校本教研</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这种变化与可见的学习关于反馈文化的主张一致，即学校持续追问学生下一步应走向哪里，使反馈从个别教师的教学技术转变为学校的工作方式（Fredens, 2015）。</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在于它们保留了问题、实践、证据和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（五）多源证据下的综合成效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1.学生层面</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2.教师层面</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专业实践正在由理念认同走向具体设计，由经验推进逐步走向循证调节。</w:t>
      </w:r>
      <w:r>
        <w:rPr>
          <w:rFonts w:ascii="宋体" w:eastAsia="宋体" w:hAnsi="宋体" w:cs="宋体" w:hint="eastAsia"/>
          <w:sz w:val="24"/>
        </w:rPr>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3.学校层面</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4.多源证据的相互印证</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课堂评价、AI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Creswell &amp; Creswell, 2022）。</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b/>
          <w:color w:val="000000"/>
          <w:kern w:val="0"/>
          <w:sz w:val="24"/>
        </w:rPr>
        <w:t>参考文献</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 (2022). 义务教育课程方案（2022年版）. 北京师范大学出版社.</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教育部办公厅. (2023). 基础教育课程教学改革深化行动方案（教材厅函〔2023〕3号）. https://www.gov.cn/zhengce/zhengceku/202306/content_6884785.htm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(2019a). 上海市初中学业水平考试实施办法（沪教委规〔2019〕2号）.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(2019b). 上海市初中学生综合素质评价实施办法（沪教委规〔2019〕3号）.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(2021). 上海市普通高中课程实施方案.</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杨振峰. (2025, 1月14日). 素养立意的课程建设与教学变革. 中国教育在线. https://www.eol.cn/news/xueshu/hui/202501/t20250114_2651182.shtml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中共中央, 国务院. (2020). 深化新时代教育评价改革总体方案. https://www.gov.cn/zhengce/2020-10/13/content_5551032.htm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Anderson, L. W., &amp; Krathwohl, D. R. (Eds.). (2001). A taxonomy for learning, teaching, and assessing: A revision of Bloom's taxonomy of educational objectives. Longman.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L., &amp; Rogers, L. (2015). Teaching the Theory of Knowledge course in IB World Schools. University of Wisconsin-La Crosse.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Biggs, J. (1999). What the student does: Teaching for enhanced learning. Higher Education Research &amp; Development, 18(1), 57–75. https://doi.org/10.1080/0729436990180105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CASEL. (2020). CASEL's SEL framework: What are the core competence areas and where are they promoted? Collaborative for Academic, Social, and Emotional Learning.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Cohen, L., Manion, L., &amp; Morrison, K. (2011). Research methods in education (7th ed.). Routledge.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Cowen, N., Cartwright, N., Virk, B., &amp; Mascarenhas-Keyes, S. (2015). Making the most of the evidence: Evidence-based policy in the classroom (CHESS Working Paper No. 2015-03). Durham University.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Creswell, J. W., &amp; Creswell, J. D. (2022). Research design: Qualitative, quantitative, and mixed methods approaches (6th ed.). SAGE.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 Y., &amp; Yuan, Y. (2026). Epistemic dependence in AI-mediated learning. AI &amp; Society. https://doi.org/10.1007/s00146-026-03294-1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Eacott, S. (2019). Ranting, raving and complaining: Reflections on working against orthodoxy. International Journal of Leadership in Education, 22(6), 774–782.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Edovald, T., &amp; Nevill, C. (2021). Working out what works: The case of the Education Endowment Foundation in England. ECNU Review of Education, 4(1), 46–64.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Fredens, K. (2015). Synlig læring og læringens anatomi [Anmeldelse af bogen af John Hattie og Gregory Yates]. Paideia, (9), 70–75.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Golovchin, M. A. (2019). What kind of teacher does the 'school of the future' need? Possibility of using John Hattie's approach in Russian education. Economic and Social Changes: Facts, Trends, Forecast, 12(5), 229–242.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(2015). The applicability of Visible Learning to higher education. Scholarship of Teaching and Learning in Psychology, 1(1), 79–91.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&amp; Timperley, H. (2007). The power of feedback. Review of Educational Research, 77(1), 81–112.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Higgins, S. (2016). Meta-synthesis and comparative meta-analysis of education research findings: Some risks and benefits. Review of Education, 4(1), 31–53.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Kelly, P., Beck, A., &amp; Hofbauer, S. (2025). Comparing school leaders' experiences of research use in England, Scotland and Germany. Review of Education, 13(1), e70058. https://doi.org/10.1002/rev3.70058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Knudsen, H. (2017). John Hattie: I'm a statistician, I'm not a theoretician. Nordic Journal of Studies in Educational Policy, 3(3), 253–261.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Kuhn, D., Cheney, R., &amp; Weinstock, M. (2000). The development of epistemological understanding. Cognitive Development, 15(3), 309–328.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McDonnell, L. M., &amp; Weatherford, M. S. (2013). Evidence use and the Common Core State Standards movement: From problem definition to policy adoption. American Journal of Education, 120(1), 1–25. https://doi.org/10.1086/673163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Nielsen, K., &amp; Klitmøller, J. (2021). Blind spots in visible learning: A critique of John Hattie as an educational theorist. Nordic Psychology.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Nordahl, T. (2015). Visible Learning som grunnlag for evidens og forbedringsarbeid i utdanningssystemet. Paideia, 9, 61–69.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OECD. (2021). Beyond academic learning: First results from the Survey of Social and Emotional Skills. OECD Publishing.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Qvortrup, L. (2015). Baggrund for og diskussioner af Visible Learning med særligt henblik på lærings- og vidensbegrebet. Paideia, 9, 22–33.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Runco, M. A., Mammadov, S., Sui, D., Kim, T., &amp; Neher, L. G. (2026). Second-order meta-analysis of the creativity research. Creativity Research Journal. https://doi.org/10.1080/10400419.2026.2644245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Terhart, E. (2011). Has John Hattie really found the holy grail of research on teaching? An extended review of Visible Learning. Journal of Curriculum Studies, 43(3), 425–438.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Zemplén, G. Á. (2007). Conflicting agendas: Critical thinking versus science education in the International Baccalaureate Theory of Knowledge course. Science &amp; Education, 16, 167–196.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