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w:t>
      </w:r>
      <w:r w:rsidRPr="00BF4EC4">
        <w:rPr>
          <w:rFonts w:ascii="Times New Roman" w:eastAsia="宋体" w:hAnsi="Times New Roman" w:cs="Times New Roman"/>
          <w:color w:val="000000"/>
          <w:kern w:val="0"/>
          <w:sz w:val="24"/>
        </w:rPr>
        <w:lastRenderedPageBreak/>
        <w:t>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w:t>
      </w:r>
      <w:r w:rsidRPr="00BF4EC4">
        <w:rPr>
          <w:rFonts w:ascii="Times New Roman" w:eastAsia="宋体" w:hAnsi="Times New Roman" w:cs="Times New Roman"/>
          <w:color w:val="000000"/>
          <w:kern w:val="0"/>
          <w:sz w:val="24"/>
        </w:rPr>
        <w:lastRenderedPageBreak/>
        <w:t>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w:t>
      </w:r>
      <w:r w:rsidRPr="00BF4EC4">
        <w:rPr>
          <w:rFonts w:ascii="Times New Roman" w:eastAsia="宋体" w:hAnsi="Times New Roman" w:cs="Times New Roman"/>
          <w:color w:val="000000"/>
          <w:kern w:val="0"/>
          <w:sz w:val="24"/>
        </w:rPr>
        <w:lastRenderedPageBreak/>
        <w:t>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w:t>
      </w:r>
      <w:r w:rsidRPr="00BF4EC4">
        <w:rPr>
          <w:rFonts w:ascii="Times New Roman" w:eastAsia="宋体" w:hAnsi="Times New Roman" w:cs="Times New Roman"/>
          <w:color w:val="000000"/>
          <w:kern w:val="0"/>
          <w:sz w:val="24"/>
        </w:rPr>
        <w:lastRenderedPageBreak/>
        <w:t>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w:t>
      </w:r>
      <w:r w:rsidRPr="00BF4EC4">
        <w:rPr>
          <w:rFonts w:ascii="Times New Roman" w:eastAsia="宋体" w:hAnsi="Times New Roman" w:cs="Times New Roman"/>
          <w:color w:val="000000"/>
          <w:kern w:val="0"/>
          <w:sz w:val="24"/>
        </w:rPr>
        <w:lastRenderedPageBreak/>
        <w:t>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w:t>
      </w:r>
      <w:r w:rsidRPr="00BF4EC4">
        <w:rPr>
          <w:rFonts w:ascii="Times New Roman" w:eastAsia="宋体" w:hAnsi="Times New Roman" w:cs="Times New Roman"/>
          <w:color w:val="000000"/>
          <w:kern w:val="0"/>
          <w:sz w:val="24"/>
        </w:rPr>
        <w:lastRenderedPageBreak/>
        <w:t>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w:t>
      </w:r>
      <w:r w:rsidRPr="00BF4EC4">
        <w:rPr>
          <w:rFonts w:ascii="Times New Roman" w:eastAsia="宋体" w:hAnsi="Times New Roman" w:cs="Times New Roman"/>
          <w:color w:val="000000"/>
          <w:kern w:val="0"/>
          <w:sz w:val="24"/>
        </w:rPr>
        <w:lastRenderedPageBreak/>
        <w:t>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w:t>
      </w:r>
      <w:r w:rsidRPr="00BF4EC4">
        <w:rPr>
          <w:rFonts w:ascii="Times New Roman" w:eastAsia="宋体" w:hAnsi="Times New Roman" w:cs="Times New Roman"/>
          <w:color w:val="000000"/>
          <w:kern w:val="0"/>
          <w:sz w:val="24"/>
        </w:rPr>
        <w:lastRenderedPageBreak/>
        <w:t>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（1）学科课堂的五个分析框架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1）知识、目标、实践、评价四要素</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2）目标分析框架</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借鉴邱惠芬将学习要求转化为实践表征的思路，从课程标准与单元内容出发，依次明确任务目标、表现要求及相应证据。表3-32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3）内容分析框架</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内容组织以学科核心概念、重要关系和典型方法为基础，兼顾学生已有经验与问题解决需要。邱惠芬从学科与跨学科立场组织实践内容，并区分不同的实践表征水平（图3-7</w:t>
      </w:r>
      <w:r w:rsidRPr="00BF4EC4">
        <w:rPr>
          <w:rFonts w:ascii="Times New Roman" w:eastAsia="宋体" w:hAnsi="Times New Roman" w:cs="Times New Roman"/>
          <w:sz w:val="24"/>
        </w:rPr>
        <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4）过程分析框架</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邱惠芬的分析框架将教师活动与学生实践联系起来，强调依据证据反馈促进过程深化（图3-8</w:t>
      </w:r>
      <w:r w:rsidRPr="00BF4EC4">
        <w:rPr>
          <w:rFonts w:ascii="Times New Roman" w:eastAsia="宋体" w:hAnsi="Times New Roman" w:cs="Times New Roman"/>
          <w:sz w:val="24"/>
        </w:rPr>
        <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5）多元评价样态</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图3-21</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-21</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案例将设备能否运行转化为更具体的学习标准：在安全前提下说明路径选择的依据，并能够分析故障、调整点位。基础操作属于必要的学习条件，方案比较及约束权衡才进一步涉及分析、评价与创造。表3-44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导盲项目　把功能实现转化为可检验的学习目标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图3-25</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项目中，教师借助模拟听证会组织方案质询。同伴提出再利用用途需要具体，教师提示明确缩短淋浴的时间；学生在修改清单中补入浇花用途、占比说明和时间建议。图3-25</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表3-47</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-49</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水足迹与机械臂项目　以反思与新任务考察迁移</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图3-28</w:t>
      </w:r>
      <w:r w:rsidRPr="00BF4EC4">
        <w:rPr>
          <w:rFonts w:ascii="Times New Roman" w:eastAsia="宋体" w:hAnsi="Times New Roman" w:cs="Times New Roman"/>
          <w:sz w:val="24"/>
        </w:rPr>
        <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-48</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