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2025年度信息化建设工作报告</w:t>
      </w:r>
    </w:p>
    <w:p>
      <w:r>
        <w:t>编制单位：信息化管理处</w:t>
      </w:r>
    </w:p>
    <w:p>
      <w:r>
        <w:t>编制日期：2025年12月31日</w:t>
      </w:r>
    </w:p>
    <w:p/>
    <w:p>
      <w:pPr>
        <w:pStyle w:val="Heading2"/>
      </w:pPr>
      <w:r>
        <w:t>一、工作概述</w:t>
      </w:r>
    </w:p>
    <w:p>
      <w:r>
        <w:t>2025年，信息化管理处紧紧围绕单位中心工作，以"数字政务、智慧管理"为目标，全面推进信息化建设各项工作。全年完成信息化项目12个，预算执行率96.8%，系统可用率99.7%，用户满意度92.5分，较去年提升3.2个百分点。</w:t>
      </w:r>
    </w:p>
    <w:p>
      <w:pPr>
        <w:pStyle w:val="Heading2"/>
      </w:pPr>
      <w:r>
        <w:t>二、主要工作完成情况</w:t>
      </w:r>
    </w:p>
    <w:p>
      <w:pPr>
        <w:pStyle w:val="Heading3"/>
      </w:pPr>
      <w:r>
        <w:t>（一）基础设施建设</w:t>
      </w:r>
    </w:p>
    <w:p>
      <w:r>
        <w:t>全年新增服务器12台，存储容量扩容至200TB，核心网络带宽升级至万兆。完成数据中心机房改造，PUE值从1.8降至1.5，年节约电费约18万元。</w:t>
      </w:r>
    </w:p>
    <w:p>
      <w:pPr>
        <w:pStyle w:val="Heading3"/>
      </w:pPr>
      <w:r>
        <w:t>（二）应用系统建设</w:t>
      </w:r>
    </w:p>
    <w:p>
      <w:r>
        <w:t>上线OA协同办公系统V3.0、财务管理系统、人事管理系统，完成数据互通互联。移动端应用覆盖率达到85%，实现移动审批、移动考勤等功能。</w:t>
      </w:r>
    </w:p>
    <w:p>
      <w:pPr>
        <w:pStyle w:val="Heading3"/>
      </w:pPr>
      <w:r>
        <w:t>（三）网络安全保障</w:t>
      </w:r>
    </w:p>
    <w:p>
      <w:r>
        <w:t>全年完成4次安全巡检、2次渗透测试、1次应急演练。发现并修复漏洞127个，其中高危漏洞12个。全年未发生重大网络安全事件。</w:t>
      </w:r>
    </w:p>
    <w:p>
      <w:pPr>
        <w:pStyle w:val="Heading3"/>
      </w:pPr>
      <w:r>
        <w:t>（四）数据治理</w:t>
      </w:r>
    </w:p>
    <w:p>
      <w:r>
        <w:t>编制《数据资源目录》，梳理数据资源536项。建立数据质量管理机制，修复数据质量问题3200余条。完成历史数据迁移和归档，释放存储空间约5TB。</w:t>
      </w:r>
    </w:p>
    <w:p>
      <w:pPr>
        <w:pStyle w:val="Heading2"/>
      </w:pPr>
      <w:r>
        <w:t>三、2025年度信息化经费支出统计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季度</w:t>
            </w:r>
          </w:p>
        </w:tc>
        <w:tc>
          <w:tcPr>
            <w:tcW w:type="dxa" w:w="1728"/>
          </w:tcPr>
          <w:p>
            <w:r>
              <w:t>硬件采购(万元)</w:t>
            </w:r>
          </w:p>
        </w:tc>
        <w:tc>
          <w:tcPr>
            <w:tcW w:type="dxa" w:w="1728"/>
          </w:tcPr>
          <w:p>
            <w:r>
              <w:t>软件采购(万元)</w:t>
            </w:r>
          </w:p>
        </w:tc>
        <w:tc>
          <w:tcPr>
            <w:tcW w:type="dxa" w:w="1728"/>
          </w:tcPr>
          <w:p>
            <w:r>
              <w:t>运维服务(万元)</w:t>
            </w:r>
          </w:p>
        </w:tc>
        <w:tc>
          <w:tcPr>
            <w:tcW w:type="dxa" w:w="1728"/>
          </w:tcPr>
          <w:p>
            <w:r>
              <w:t>合计(万元)</w:t>
            </w:r>
          </w:p>
        </w:tc>
      </w:tr>
      <w:tr>
        <w:tc>
          <w:tcPr>
            <w:tcW w:type="dxa" w:w="1728"/>
          </w:tcPr>
          <w:p>
            <w:r>
              <w:t>Q1</w:t>
            </w:r>
          </w:p>
        </w:tc>
        <w:tc>
          <w:tcPr>
            <w:tcW w:type="dxa" w:w="1728"/>
          </w:tcPr>
          <w:p>
            <w:r>
              <w:t>85.2</w:t>
            </w:r>
          </w:p>
        </w:tc>
        <w:tc>
          <w:tcPr>
            <w:tcW w:type="dxa" w:w="1728"/>
          </w:tcPr>
          <w:p>
            <w:r>
              <w:t>42.1</w:t>
            </w:r>
          </w:p>
        </w:tc>
        <w:tc>
          <w:tcPr>
            <w:tcW w:type="dxa" w:w="1728"/>
          </w:tcPr>
          <w:p>
            <w:r>
              <w:t>28.5</w:t>
            </w:r>
          </w:p>
        </w:tc>
        <w:tc>
          <w:tcPr>
            <w:tcW w:type="dxa" w:w="1728"/>
          </w:tcPr>
          <w:p>
            <w:r>
              <w:t>155.8</w:t>
            </w:r>
          </w:p>
        </w:tc>
      </w:tr>
      <w:tr>
        <w:tc>
          <w:tcPr>
            <w:tcW w:type="dxa" w:w="1728"/>
          </w:tcPr>
          <w:p>
            <w:r>
              <w:t>Q2</w:t>
            </w:r>
          </w:p>
        </w:tc>
        <w:tc>
          <w:tcPr>
            <w:tcW w:type="dxa" w:w="1728"/>
          </w:tcPr>
          <w:p>
            <w:r>
              <w:t>63.5</w:t>
            </w:r>
          </w:p>
        </w:tc>
        <w:tc>
          <w:tcPr>
            <w:tcW w:type="dxa" w:w="1728"/>
          </w:tcPr>
          <w:p>
            <w:r>
              <w:t>55.8</w:t>
            </w:r>
          </w:p>
        </w:tc>
        <w:tc>
          <w:tcPr>
            <w:tcW w:type="dxa" w:w="1728"/>
          </w:tcPr>
          <w:p>
            <w:r>
              <w:t>30.2</w:t>
            </w:r>
          </w:p>
        </w:tc>
        <w:tc>
          <w:tcPr>
            <w:tcW w:type="dxa" w:w="1728"/>
          </w:tcPr>
          <w:p>
            <w:r>
              <w:t>149.5</w:t>
            </w:r>
          </w:p>
        </w:tc>
      </w:tr>
      <w:tr>
        <w:tc>
          <w:tcPr>
            <w:tcW w:type="dxa" w:w="1728"/>
          </w:tcPr>
          <w:p>
            <w:r>
              <w:t>Q3</w:t>
            </w:r>
          </w:p>
        </w:tc>
        <w:tc>
          <w:tcPr>
            <w:tcW w:type="dxa" w:w="1728"/>
          </w:tcPr>
          <w:p>
            <w:r>
              <w:t>48.9</w:t>
            </w:r>
          </w:p>
        </w:tc>
        <w:tc>
          <w:tcPr>
            <w:tcW w:type="dxa" w:w="1728"/>
          </w:tcPr>
          <w:p>
            <w:r>
              <w:t>72.3</w:t>
            </w:r>
          </w:p>
        </w:tc>
        <w:tc>
          <w:tcPr>
            <w:tcW w:type="dxa" w:w="1728"/>
          </w:tcPr>
          <w:p>
            <w:r>
              <w:t>32.1</w:t>
            </w:r>
          </w:p>
        </w:tc>
        <w:tc>
          <w:tcPr>
            <w:tcW w:type="dxa" w:w="1728"/>
          </w:tcPr>
          <w:p>
            <w:r>
              <w:t>153.3</w:t>
            </w:r>
          </w:p>
        </w:tc>
      </w:tr>
      <w:tr>
        <w:tc>
          <w:tcPr>
            <w:tcW w:type="dxa" w:w="1728"/>
          </w:tcPr>
          <w:p>
            <w:r>
              <w:t>Q4</w:t>
            </w:r>
          </w:p>
        </w:tc>
        <w:tc>
          <w:tcPr>
            <w:tcW w:type="dxa" w:w="1728"/>
          </w:tcPr>
          <w:p>
            <w:r>
              <w:t>120.5</w:t>
            </w:r>
          </w:p>
        </w:tc>
        <w:tc>
          <w:tcPr>
            <w:tcW w:type="dxa" w:w="1728"/>
          </w:tcPr>
          <w:p>
            <w:r>
              <w:t>95.6</w:t>
            </w:r>
          </w:p>
        </w:tc>
        <w:tc>
          <w:tcPr>
            <w:tcW w:type="dxa" w:w="1728"/>
          </w:tcPr>
          <w:p>
            <w:r>
              <w:t>35.8</w:t>
            </w:r>
          </w:p>
        </w:tc>
        <w:tc>
          <w:tcPr>
            <w:tcW w:type="dxa" w:w="1728"/>
          </w:tcPr>
          <w:p>
            <w:r>
              <w:t>251.9</w:t>
            </w:r>
          </w:p>
        </w:tc>
      </w:tr>
    </w:tbl>
    <w:p/>
    <w:p>
      <w:pPr>
        <w:pStyle w:val="Heading2"/>
      </w:pPr>
      <w:r>
        <w:t>四、问题与不足</w:t>
      </w:r>
    </w:p>
    <w:p>
      <w:pPr>
        <w:pStyle w:val="ListBullet"/>
      </w:pPr>
      <w:r>
        <w:t>部分老旧系统技术债务较重，升级改造难度大。</w:t>
      </w:r>
    </w:p>
    <w:p>
      <w:pPr>
        <w:pStyle w:val="ListBullet"/>
      </w:pPr>
      <w:r>
        <w:t>跨部门数据共享机制不够完善，存在信息孤岛现象。</w:t>
      </w:r>
    </w:p>
    <w:p>
      <w:pPr>
        <w:pStyle w:val="ListBullet"/>
      </w:pPr>
      <w:r>
        <w:t>信息安全人才储备不足，高端安全运维人员短缺。</w:t>
      </w:r>
    </w:p>
    <w:p>
      <w:pPr>
        <w:pStyle w:val="Heading2"/>
      </w:pPr>
      <w:r>
        <w:t>五、2026年工作计划</w:t>
      </w:r>
    </w:p>
    <w:p>
      <w:pPr>
        <w:pStyle w:val="ListBullet"/>
      </w:pPr>
      <w:r>
        <w:t>启动"智慧政务"一期项目，建设统一数据共享交换平台。</w:t>
      </w:r>
    </w:p>
    <w:p>
      <w:pPr>
        <w:pStyle w:val="ListBullet"/>
      </w:pPr>
      <w:r>
        <w:t>完成老旧系统升级改造，迁移至云计算平台。</w:t>
      </w:r>
    </w:p>
    <w:p>
      <w:pPr>
        <w:pStyle w:val="ListBullet"/>
      </w:pPr>
      <w:r>
        <w:t>建设AI辅助决策系统，提升数据分析应用能力。</w:t>
      </w:r>
    </w:p>
    <w:p>
      <w:pPr>
        <w:pStyle w:val="ListBullet"/>
      </w:pPr>
      <w:r>
        <w:t>加强信息安全建设，通过ISO 27001信息安全管理体系认证。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