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276" w:lineRule="auto"/>
        <w:jc w:val="center"/>
      </w:pPr>
      <w:r>
        <w:rPr>
          <w:rFonts w:ascii="Times New Roman" w:hAnsi="Times New Roman"/>
          <w:b/>
          <w:color w:val="0A0A0A"/>
          <w:sz w:val="36"/>
        </w:rPr>
        <w:t>Detection of Compromised Smart-Home Devices Using Encrypted Traffic Behaviour</w:t>
      </w:r>
    </w:p>
    <w:p>
      <w:pPr>
        <w:spacing w:before="0" w:after="360"/>
        <w:jc w:val="center"/>
      </w:pPr>
      <w:r>
        <w:rPr>
          <w:rFonts w:ascii="Times New Roman" w:hAnsi="Times New Roman"/>
          <w:color w:val="282828"/>
          <w:sz w:val="22"/>
        </w:rPr>
        <w:t>Duvuru Harshavardhan, Pinnu Gowri Sankar Reddy, Sriram Jaswanth</w:t>
      </w:r>
    </w:p>
    <w:p>
      <w:pPr>
        <w:spacing w:before="0" w:after="40" w:line="276" w:lineRule="auto"/>
        <w:jc w:val="left"/>
      </w:pPr>
      <w:r>
        <w:rPr>
          <w:rFonts w:ascii="Times New Roman" w:hAnsi="Times New Roman"/>
          <w:sz w:val="22"/>
        </w:rPr>
        <w:t>Abstract</w:t>
      </w:r>
    </w:p>
    <w:p>
      <w:pPr>
        <w:spacing w:before="0" w:after="120" w:line="276" w:lineRule="auto"/>
        <w:jc w:val="left"/>
      </w:pPr>
      <w:r>
        <w:rPr>
          <w:rFonts w:ascii="Times New Roman" w:hAnsi="Times New Roman"/>
          <w:sz w:val="22"/>
        </w:rPr>
        <w:t>Modern consumer smart-home local area networks host an increasingly diverse array of Internet of Things (IoT) appliances, including smart lighting bulbs, smart plugs, Wi-Fi security cameras, smart televisions, and voice assistants. Due to severe hardware constraints, default authentication credentials, and unpatched firmware vulnerabilities, these consumer endpoints are routinely targeted and compromised by botnet malware such as Mirai, Torii, and Gafgyt. Once infected, appliances are weaponized to execute Distributed Denial of Service (DDoS) attacks, automated subnet scanning, and remote data exfiltration. Because over 90% of contemporary IoT communications are cryptographically protected by Transport Layer Security (TLS 1.3), HTTPS, and MQTT over TLS, conventional Deep Packet Inspection (DPI) and signature-based Network Intrusion Detection Systems (NIDS) fail completely without intercepting and decrypting user payloads. However, payload decryption is computationally prohibitive on edge home gateways, requires intrusive certificate installation, and severely violates homeowner privacy rights. Hence, non-intrusive, behavioral metadata inspection at the edge is urgently required.</w:t>
      </w:r>
    </w:p>
    <w:p>
      <w:pPr>
        <w:spacing w:before="0" w:after="160" w:line="276" w:lineRule="auto"/>
        <w:jc w:val="left"/>
      </w:pPr>
      <w:r>
        <w:rPr>
          <w:rFonts w:ascii="Times New Roman" w:hAnsi="Times New Roman"/>
          <w:sz w:val="22"/>
        </w:rPr>
        <w:t>This paper presents IoT-Guard, a lightweight, privacy-preserving intrusion detection framework that identifies compromised smart-home devices strictly through encrypted network traffic flow behaviour. The system monitors bidirectional packet streams traversing the home gateway and extracts a discriminative seven-dimensional metadata feature vector: flow duration, average packet size, packets per second, bytes per second, unique destination IP count, unique destination port count, and transport protocol indicator. By leveraging an ensemble Random Forest classifier (N = 50 trees), the architecture distinguishes legitimate periodic heartbeat telemetry from malicious scanning and flood surges without reading a single byte of payload. In our isolated Mininet smart-home emulation and physical hardware testbed evaluating six commercial device classes against the Stratosphere Laboratory IoT-23 benchmark, IoT-Guard achieved an overall detection accuracy of 99.52%, a recall of 99.68%, and a false positive rate of only 0.58% across benign and bursty media traffic, compared to 11.6% obtained via standard naive thresholding. Model inference adds a median processing latency of only 0.42 ms per flow and consumes less than 8.2% CPU utilization on commodity gateway specifications. Upon compromise detection, the system autonomously enforces network containment via 802.1Q VLAN 99 quarantine and iptables access control drops without altering existing network protocols or disrupting concurrent household traffic.</w:t>
      </w:r>
    </w:p>
    <w:p>
      <w:pPr>
        <w:spacing w:before="0" w:after="240" w:line="276" w:lineRule="auto"/>
        <w:jc w:val="left"/>
      </w:pPr>
      <w:r>
        <w:rPr>
          <w:rFonts w:ascii="Times New Roman" w:hAnsi="Times New Roman"/>
          <w:sz w:val="22"/>
        </w:rPr>
        <w:t>Index Terms—IoT Security, Smart-Home Networks, Encrypted Traffic Analysis, Random Forest, Botnet Detection, Mirai, Network Telemetry, Edge Computing</w:t>
      </w:r>
    </w:p>
    <w:p>
      <w:pPr>
        <w:keepNext/>
        <w:spacing w:before="280" w:after="80"/>
      </w:pPr>
      <w:r>
        <w:rPr>
          <w:rFonts w:ascii="Times New Roman" w:hAnsi="Times New Roman"/>
          <w:b/>
          <w:color w:val="000000"/>
          <w:sz w:val="24"/>
        </w:rPr>
        <w:t>I. Introduction</w:t>
      </w:r>
    </w:p>
    <w:p>
      <w:pPr>
        <w:spacing w:before="0" w:after="120" w:line="276" w:lineRule="auto"/>
        <w:jc w:val="left"/>
      </w:pPr>
      <w:r>
        <w:rPr>
          <w:rFonts w:ascii="Times New Roman" w:hAnsi="Times New Roman"/>
          <w:sz w:val="22"/>
        </w:rPr>
        <w:t>Almost all residential households now deploy interconnected smart devices to automate lighting, home entertainment, power scheduling, and physical security. The Internet of Things (IoT) ecosystem [1][2] has evolved rapidly under the implicit assumption that consumer local area networks (LANs) represent benign, trusted operating environments. Under this cooperative assumption, consumer-grade appliances are engineered with minimal compute budgets, stripped-down Linux kernels, and hardcoded administrative credentials [3].</w:t>
      </w:r>
    </w:p>
    <w:p>
      <w:pPr>
        <w:spacing w:before="0" w:after="120" w:line="276" w:lineRule="auto"/>
        <w:jc w:val="left"/>
      </w:pPr>
      <w:r>
        <w:rPr>
          <w:rFonts w:ascii="Times New Roman" w:hAnsi="Times New Roman"/>
          <w:sz w:val="22"/>
        </w:rPr>
        <w:t>This architectural vulnerability has enabled large-scale botnet recruitment. Compromised devices are coordinated to launch catastrophic volumetric denial-of-service floods, as demonstrated by the historic Mirai botnet incident [4][5], where more than 600,000 compromised Wi-Fi CCTV cameras and digital video recorders launched a 1.2 Tbps DDoS assault against Dyn DNS, severing access to major Internet services worldwide. Subsequent variants have weaponized millions of heterogeneous consumer microcontrollers in seconds.</w:t>
      </w:r>
    </w:p>
    <w:p>
      <w:pPr>
        <w:spacing w:before="0" w:after="120" w:line="276" w:lineRule="auto"/>
        <w:jc w:val="left"/>
      </w:pPr>
      <w:r>
        <w:rPr>
          <w:rFonts w:ascii="Times New Roman" w:hAnsi="Times New Roman"/>
          <w:sz w:val="22"/>
        </w:rPr>
        <w:t>To mitigate automated credential brute-forcing and network scanning, initial defenses relied on perimeter port filtering and static firewall rules RFC 5452 [6]. Additional host-hardening methods, such as randomized case encoding [7] and prefix randomization [8], attempted to increase attacker reconnaissance cost. While beneficial, these solutions remain probabilistic. Attackers frequently exploit fragmentation [9], misconfigured firewall implementations [10][11], and unsolicited cache injections [12][13] to bypass static barriers. Long-lived botnet infections persist across reboot cycles [14], while side-channel timing analysis and port discovery techniques [15][16] allow remote adversaries to map internal subnets. Furthermore, modern consumer home routers and forwarders frequently suffer from embedded firmware vulnerabilities [17].</w:t>
      </w:r>
    </w:p>
    <w:p>
      <w:pPr>
        <w:spacing w:before="0" w:after="120" w:line="276" w:lineRule="auto"/>
        <w:jc w:val="left"/>
      </w:pPr>
      <w:r>
        <w:rPr>
          <w:rFonts w:ascii="Times New Roman" w:hAnsi="Times New Roman"/>
          <w:sz w:val="22"/>
        </w:rPr>
        <w:t>To protect consumer privacy and prevent eavesdropping, cryptographic transport protocols such as TLS 1.3 [18-20] have become universal across smart-home ecosystems. Smart security cameras stream video over TLS-encrypted RTSP or HTTPS; smart lighting bulbs and smart plugs exchange command telemetry via MQTT over TLS; and voice assistants transmit microphone audio over TLS 1.3 to cloud infrastructure [21]. While transport-layer encryption such as DNS over TLS [22] and DNS over HTTPS [23] shields consumer data from on-path eavesdroppers [24] and reduces exposure through query minimization [25], it simultaneously blinds network administrators. Conventional Deep Packet Inspection (DPI) appliances that rely on payload signatures fail entirely against encrypted bitstreams.</w:t>
      </w:r>
    </w:p>
    <w:p>
      <w:pPr>
        <w:spacing w:before="0" w:after="120" w:line="276" w:lineRule="auto"/>
        <w:jc w:val="left"/>
      </w:pPr>
      <w:r>
        <w:rPr>
          <w:rFonts w:ascii="Times New Roman" w:hAnsi="Times New Roman"/>
          <w:sz w:val="22"/>
        </w:rPr>
        <w:t>A substantial body of research has investigated statistical and machine learning methods to detect malicious network activity. Reputation-based ranking systems [26], passive flow telemetry [27], and supervised learning classifiers [28] have shown that network header statistics contain rich diagnostic information. Surveys of the intrusion detection domain [29] consistently note that behavioral telemetry operates transparently without requiring protocol modifications. However, anomaly detection in residential smart homes faces a formidable challenge: legitimate household infrastructure generates high variance [30]. High-resolution 4K video streams, intermittent firmware downloads, and multi-tenant smart appliances cause false alarm rates exceeding 30% in naive detectors [31]. Such high false alarm rates degrade user trust and cause security appliances to be disabled.</w:t>
      </w:r>
    </w:p>
    <w:p>
      <w:pPr>
        <w:spacing w:before="0" w:after="120" w:line="276" w:lineRule="auto"/>
        <w:jc w:val="left"/>
      </w:pPr>
      <w:r>
        <w:rPr>
          <w:rFonts w:ascii="Times New Roman" w:hAnsi="Times New Roman"/>
          <w:sz w:val="22"/>
        </w:rPr>
        <w:t>This paper presents IoT-Guard. Our primary contributions are as follows:</w:t>
      </w:r>
    </w:p>
    <w:p>
      <w:pPr>
        <w:spacing w:before="0" w:after="60" w:line="276" w:lineRule="auto"/>
        <w:jc w:val="left"/>
      </w:pPr>
      <w:r>
        <w:rPr>
          <w:rFonts w:ascii="Times New Roman" w:hAnsi="Times New Roman"/>
          <w:sz w:val="22"/>
        </w:rPr>
        <w:t>1. We formulate a lightweight, metadata-driven intrusion detection framework that evaluates seven flow-level features extracted strictly from Layer 3 and Layer 4 packet headers without decrypting any cryptographic application payload.</w:t>
      </w:r>
    </w:p>
    <w:p>
      <w:pPr>
        <w:spacing w:before="0" w:after="60" w:line="276" w:lineRule="auto"/>
        <w:jc w:val="left"/>
      </w:pPr>
      <w:r>
        <w:rPr>
          <w:rFonts w:ascii="Times New Roman" w:hAnsi="Times New Roman"/>
          <w:sz w:val="22"/>
        </w:rPr>
        <w:t>2. We employ an optimized Random Forest ensemble classifier (N = 50) capable of distinguishing normal periodic IoT heartbeats from volumetric DDoS floods and scanning activity at microsecond line-rate speeds (0.42 ms per flow).</w:t>
      </w:r>
    </w:p>
    <w:p>
      <w:pPr>
        <w:spacing w:before="0" w:after="60" w:line="276" w:lineRule="auto"/>
        <w:jc w:val="left"/>
      </w:pPr>
      <w:r>
        <w:rPr>
          <w:rFonts w:ascii="Times New Roman" w:hAnsi="Times New Roman"/>
          <w:sz w:val="22"/>
        </w:rPr>
        <w:t>3. We benchmark IoT-Guard across six commercial smart-home device categories against the Stratosphere Laboratory IoT-23 benchmark, demonstrating a 99.52% detection accuracy and an ultra-low 0.58% false positive rate.</w:t>
      </w:r>
    </w:p>
    <w:p>
      <w:pPr>
        <w:spacing w:before="0" w:after="120" w:line="276" w:lineRule="auto"/>
        <w:jc w:val="left"/>
      </w:pPr>
      <w:r>
        <w:rPr>
          <w:rFonts w:ascii="Times New Roman" w:hAnsi="Times New Roman"/>
          <w:sz w:val="22"/>
        </w:rPr>
        <w:t>4. We design an autonomous edge defense pipeline integrating 802.1Q VLAN 99 quarantine containment and iptables firewall rules to isolate infected devices instantly while preserving uninterrupted operation for benign household endpoints.</w:t>
      </w:r>
    </w:p>
    <w:p>
      <w:pPr>
        <w:spacing w:before="0" w:after="120" w:line="276" w:lineRule="auto"/>
        <w:jc w:val="left"/>
      </w:pPr>
      <w:r>
        <w:rPr>
          <w:rFonts w:ascii="Times New Roman" w:hAnsi="Times New Roman"/>
          <w:sz w:val="22"/>
        </w:rPr>
        <w:t>The remainder of this paper is organized as follows. Section II presents the smart-home background and threat model. Section III reviews related work. Section IV details the system architecture. Section V defines the seven metadata signals and machine learning formulation. Section VI describes the prototype implementation. Section VII reports our experimental evaluation. Section VIII discusses limitations, and Section IX concludes.</w:t>
      </w:r>
    </w:p>
    <w:p>
      <w:pPr>
        <w:keepNext/>
        <w:spacing w:before="280" w:after="80"/>
      </w:pPr>
      <w:r>
        <w:rPr>
          <w:rFonts w:ascii="Times New Roman" w:hAnsi="Times New Roman"/>
          <w:b/>
          <w:color w:val="000000"/>
          <w:sz w:val="24"/>
        </w:rPr>
        <w:t>II. Background and Threat Model</w:t>
      </w:r>
    </w:p>
    <w:p>
      <w:pPr>
        <w:keepNext/>
        <w:spacing w:before="200" w:after="60"/>
      </w:pPr>
      <w:r>
        <w:rPr>
          <w:rFonts w:ascii="Times New Roman" w:hAnsi="Times New Roman"/>
          <w:b/>
          <w:color w:val="141414"/>
          <w:sz w:val="22"/>
        </w:rPr>
        <w:t>A. Consumer Smart-Home Landscape</w:t>
      </w:r>
    </w:p>
    <w:p>
      <w:pPr>
        <w:spacing w:before="0" w:after="120" w:line="276" w:lineRule="auto"/>
        <w:jc w:val="left"/>
      </w:pPr>
      <w:r>
        <w:rPr>
          <w:rFonts w:ascii="Times New Roman" w:hAnsi="Times New Roman"/>
          <w:sz w:val="22"/>
        </w:rPr>
        <w:t>Modern residences deploy dozens of heterogeneous smart-home devices connected to a centralized wireless local area network (WLAN) router. These endpoints fall into distinct functional categories: (i) ultra-low-power smart lighting bulbs (e.g., Philips Hue, Wipro, Syska) and smart plugs (e.g., TP-Link Tapo, Havells) driven by 80 MHz microcontrollers (ESP8266, ESP32); (ii) continuous media endpoints such as Wi-Fi security cameras (e.g., TP-Link Tapo C200, Xiaomi 360°) and smart televisions (e.g., Samsung Tizen, Fire TV); and (iii) interactive voice assistants (e.g., Amazon Echo Dot, Google Nest Mini). Unlike enterprise workstations, consumer appliances lack local displays, antivirus software, and automated patch management [1].</w:t>
      </w:r>
    </w:p>
    <w:p>
      <w:pPr>
        <w:keepNext/>
        <w:spacing w:before="200" w:after="60"/>
      </w:pPr>
      <w:r>
        <w:rPr>
          <w:rFonts w:ascii="Times New Roman" w:hAnsi="Times New Roman"/>
          <w:b/>
          <w:color w:val="141414"/>
          <w:sz w:val="22"/>
        </w:rPr>
        <w:t>B. The Encryption Blindspot and DPI Invalidation</w:t>
      </w:r>
    </w:p>
    <w:p>
      <w:pPr>
        <w:spacing w:before="0" w:after="120" w:line="276" w:lineRule="auto"/>
        <w:jc w:val="left"/>
      </w:pPr>
      <w:r>
        <w:rPr>
          <w:rFonts w:ascii="Times New Roman" w:hAnsi="Times New Roman"/>
          <w:sz w:val="22"/>
        </w:rPr>
        <w:t>To preserve homeowner confidentiality, modern smart appliances encapsulate all external communication within cryptographic tunnels (TLS 1.3, HTTPS, DTLS, MQTT over TLS on Port 8883). At the transport layer, data frames appear as pseudo-random byte sequences. Deep packet inspection engines that scan for known malware byte strings cannot parse the encrypted content. While enterprise environments occasionally deploy TLS interception proxies using custom root certificates, this approach is impossible in consumer IoT environments due to certificate pinning, embedded microcode trust stores, high computational overhead, and fundamental privacy ethics.</w:t>
      </w:r>
    </w:p>
    <w:p>
      <w:pPr>
        <w:keepNext/>
        <w:spacing w:before="200" w:after="60"/>
      </w:pPr>
      <w:r>
        <w:rPr>
          <w:rFonts w:ascii="Times New Roman" w:hAnsi="Times New Roman"/>
          <w:b/>
          <w:color w:val="141414"/>
          <w:sz w:val="22"/>
        </w:rPr>
        <w:t>C. Botnet Recruitment and Attack Vectors</w:t>
      </w:r>
    </w:p>
    <w:p>
      <w:pPr>
        <w:spacing w:before="0" w:after="120" w:line="276" w:lineRule="auto"/>
        <w:jc w:val="left"/>
      </w:pPr>
      <w:r>
        <w:rPr>
          <w:rFonts w:ascii="Times New Roman" w:hAnsi="Times New Roman"/>
          <w:sz w:val="22"/>
        </w:rPr>
        <w:t>Adversaries exploit exposed management interfaces (Telnet on Port 23, ADB on Port 5555) and unpatched remote code execution vulnerabilities (e.g., CVE-2020-6007 in smart bulbs, CVE-2023-40152 in smart plugs) to inject lightweight binary payloads. Once recruited, the botnet controller orchestrates two primary offensive phases: (1) aggressive horizontal scanning, in which the compromised device transmits bursts of SYN probes across thousands of external IP addresses; and (2) volumetric DDoS flooding (UDP floods, TCP SYN floods, HTTP request floods) that saturate Internet access links with thousands of packets per second.</w:t>
      </w:r>
    </w:p>
    <w:p>
      <w:pPr>
        <w:keepNext/>
        <w:spacing w:before="200" w:after="60"/>
      </w:pPr>
      <w:r>
        <w:rPr>
          <w:rFonts w:ascii="Times New Roman" w:hAnsi="Times New Roman"/>
          <w:b/>
          <w:color w:val="141414"/>
          <w:sz w:val="22"/>
        </w:rPr>
        <w:t>D. Legitimate Traffic Dynamics</w:t>
      </w:r>
    </w:p>
    <w:p>
      <w:pPr>
        <w:spacing w:before="0" w:after="120" w:line="276" w:lineRule="auto"/>
        <w:jc w:val="left"/>
      </w:pPr>
      <w:r>
        <w:rPr>
          <w:rFonts w:ascii="Times New Roman" w:hAnsi="Times New Roman"/>
          <w:sz w:val="22"/>
        </w:rPr>
        <w:t>A critical challenge in smart-home security is that legitimate traffic is non-stationary. Smart lighting bulbs remain idle for hours before transmitting sporadic MQTT telemetry bursts (0.5–3.5 packets/sec, 64–128 bytes). Conversely, smart security cameras generate continuous high-throughput TLS video streams (30–60 packets/sec, 1400-byte MTU frames). During firmware updates or cloud backups, legitimate endpoints generate transient spikes in bandwidth that mimic volumetric attacks. Naive threshold rules trigger numerous false alarms on legitimate media streams [30][31], necessitating a multi-dimensional behavioral classifier.</w:t>
      </w:r>
    </w:p>
    <w:p>
      <w:pPr>
        <w:keepNext/>
        <w:spacing w:before="200" w:after="60"/>
      </w:pPr>
      <w:r>
        <w:rPr>
          <w:rFonts w:ascii="Times New Roman" w:hAnsi="Times New Roman"/>
          <w:b/>
          <w:color w:val="141414"/>
          <w:sz w:val="22"/>
        </w:rPr>
        <w:t>E. Assumptions and Threat Model Scope</w:t>
      </w:r>
    </w:p>
    <w:p>
      <w:pPr>
        <w:spacing w:before="0" w:after="120" w:line="276" w:lineRule="auto"/>
        <w:jc w:val="left"/>
      </w:pPr>
      <w:r>
        <w:rPr>
          <w:rFonts w:ascii="Times New Roman" w:hAnsi="Times New Roman"/>
          <w:sz w:val="22"/>
        </w:rPr>
        <w:t>We assume a standard residential deployment where all smart devices connect to the local subnet managed by a Linux-based gateway router (e.g., OpenWrt, Raspberry Pi bridge). The gateway operates a promiscuous network capture interface to inspect Layer 2/3/4 packet headers. We assume the gateway operating system is trusted and that the adversary does not possess administrative root access on the gateway. Physical tampering with the gateway hardware and insider physical Ethernet taps are considered out of scope. We assume the adversary controls the microcontroller firmware of compromised IoT appliances.</w:t>
      </w:r>
    </w:p>
    <w:p>
      <w:pPr>
        <w:keepNext/>
        <w:spacing w:before="280" w:after="80"/>
      </w:pPr>
      <w:r>
        <w:rPr>
          <w:rFonts w:ascii="Times New Roman" w:hAnsi="Times New Roman"/>
          <w:b/>
          <w:color w:val="000000"/>
          <w:sz w:val="24"/>
        </w:rPr>
        <w:t>III. Related Work</w:t>
      </w:r>
    </w:p>
    <w:p>
      <w:pPr>
        <w:keepNext/>
        <w:spacing w:before="200" w:after="60"/>
      </w:pPr>
      <w:r>
        <w:rPr>
          <w:rFonts w:ascii="Times New Roman" w:hAnsi="Times New Roman"/>
          <w:b/>
          <w:color w:val="141414"/>
          <w:sz w:val="22"/>
        </w:rPr>
        <w:t>A. Signature-Based NIDS and Protocol Hardening</w:t>
      </w:r>
    </w:p>
    <w:p>
      <w:pPr>
        <w:spacing w:before="0" w:after="120" w:line="276" w:lineRule="auto"/>
        <w:jc w:val="left"/>
      </w:pPr>
      <w:r>
        <w:rPr>
          <w:rFonts w:ascii="Times New Roman" w:hAnsi="Times New Roman"/>
          <w:sz w:val="22"/>
        </w:rPr>
        <w:t>Early network security solutions relied on deterministic signature matching. Frameworks like Snort and Suricata inspect packet payloads against known vulnerability patterns RFC 5452 [6]. Dagon et al. [7] and Perdisci et al. [8] developed protocol hardening measures to increase entropy. Herzberg and Shulman [11] investigated unilateral router actions to suppress forged traffic. However, signature solutions are rendered ineffective by end-to-end encryption. Fragmentation [9] and unsolicited record injections [12][13] further bypass static inspection rules. Klein et al. [12] and Schomp et al. [13] measured widespread vulnerabilities in forwarding devices, while Zheng et al. [17] demonstrated that consumer gateways are easily overwhelmed.</w:t>
      </w:r>
    </w:p>
    <w:p>
      <w:pPr>
        <w:keepNext/>
        <w:spacing w:before="200" w:after="60"/>
      </w:pPr>
      <w:r>
        <w:rPr>
          <w:rFonts w:ascii="Times New Roman" w:hAnsi="Times New Roman"/>
          <w:b/>
          <w:color w:val="141414"/>
          <w:sz w:val="22"/>
        </w:rPr>
        <w:t>B. Cryptographic and Transport-Based Defenses</w:t>
      </w:r>
    </w:p>
    <w:p>
      <w:pPr>
        <w:spacing w:before="0" w:after="120" w:line="276" w:lineRule="auto"/>
        <w:jc w:val="left"/>
      </w:pPr>
      <w:r>
        <w:rPr>
          <w:rFonts w:ascii="Times New Roman" w:hAnsi="Times New Roman"/>
          <w:sz w:val="22"/>
        </w:rPr>
        <w:t>The standardization of TLS 1.3 [18-20] resolved transport-layer eavesdropping by establishing authenticated ephemeral key exchanges. Ariyapperuma and Mitchell [32] and Chandramouli and Rose [33] surveyed the operational challenges of cryptographic rollouts, while Chung et al. [21] revealed extensive real-world misconfigurations. Encrypted transport protocols such as DNS over TLS [22], DNS over HTTPS [23], and connection-oriented security [24] prevent on-path sniffing. Query minimization [25] limits metadata leakage. However, encryption creates a sanctuary for malware operators, preventing edge routers from inspecting malicious commands contained within legitimate TLS sessions.</w:t>
      </w:r>
    </w:p>
    <w:p>
      <w:pPr>
        <w:keepNext/>
        <w:spacing w:before="200" w:after="60"/>
      </w:pPr>
      <w:r>
        <w:rPr>
          <w:rFonts w:ascii="Times New Roman" w:hAnsi="Times New Roman"/>
          <w:b/>
          <w:color w:val="141414"/>
          <w:sz w:val="22"/>
        </w:rPr>
        <w:t>C. Machine Learning and Behavioral Telemetry</w:t>
      </w:r>
    </w:p>
    <w:p>
      <w:pPr>
        <w:spacing w:before="0" w:after="120" w:line="276" w:lineRule="auto"/>
        <w:jc w:val="left"/>
      </w:pPr>
      <w:r>
        <w:rPr>
          <w:rFonts w:ascii="Times New Roman" w:hAnsi="Times New Roman"/>
          <w:sz w:val="22"/>
        </w:rPr>
        <w:t>To bypass the encryption barrier, researchers have applied statistical learning to unencrypted packet header dynamics. Antonakakis et al. [26] developed dynamic reputation systems using passive telemetry. Bilge et al. [27] identified malicious domains via passive flow features. Sivanathan et al. [2] classified 28 IoT devices in smart environments using statistical traffic signatures. Meidan et al. [3] introduced N-BaIoT, utilizing deep autoencoders to detect Mirai and BASHLITE infections. Jin et al. [28] applied machine learning on resolver traffic. Khormali et al. [29] categorized behavioral anomaly systems, noting their unique advantage: zero dependency on payload contents.</w:t>
      </w:r>
    </w:p>
    <w:p>
      <w:pPr>
        <w:keepNext/>
        <w:spacing w:before="200" w:after="60"/>
      </w:pPr>
      <w:r>
        <w:rPr>
          <w:rFonts w:ascii="Times New Roman" w:hAnsi="Times New Roman"/>
          <w:b/>
          <w:color w:val="141414"/>
          <w:sz w:val="22"/>
        </w:rPr>
        <w:t>D. False Positive Dilemma in Consumer Networks</w:t>
      </w:r>
    </w:p>
    <w:p>
      <w:pPr>
        <w:spacing w:before="0" w:after="120" w:line="276" w:lineRule="auto"/>
        <w:jc w:val="left"/>
      </w:pPr>
      <w:r>
        <w:rPr>
          <w:rFonts w:ascii="Times New Roman" w:hAnsi="Times New Roman"/>
          <w:sz w:val="22"/>
        </w:rPr>
        <w:t>Despite their predictive power, existing anomaly detection systems suffer from high false positive rates in consumer deployments. Anycast edge routing and content delivery networks create dynamic IP variability [30], while commercial telemetry alterations [31] trigger erroneous alerts. Complex deep learning models (such as autoencoders and LSTMs) require extensive memory and floating-point computation, inducing processing bottlenecks on embedded gateway processors. A practical edge solution must maintain near-zero false positives while operating within strict microsecond latency bounds.</w:t>
      </w:r>
    </w:p>
    <w:p>
      <w:pPr>
        <w:keepNext/>
        <w:spacing w:before="200" w:after="60"/>
      </w:pPr>
      <w:r>
        <w:rPr>
          <w:rFonts w:ascii="Times New Roman" w:hAnsi="Times New Roman"/>
          <w:b/>
          <w:color w:val="141414"/>
          <w:sz w:val="22"/>
        </w:rPr>
        <w:t>E. Position of Work</w:t>
      </w:r>
    </w:p>
    <w:p>
      <w:pPr>
        <w:spacing w:before="0" w:after="120" w:line="276" w:lineRule="auto"/>
        <w:jc w:val="left"/>
      </w:pPr>
      <w:r>
        <w:rPr>
          <w:rFonts w:ascii="Times New Roman" w:hAnsi="Times New Roman"/>
          <w:sz w:val="22"/>
        </w:rPr>
        <w:t>IoT-Guard does not rely on payload inspection or deep neural networks. Instead, it extracts seven discriminative flow metadata features and evaluates them using a lightweight Random Forest ensemble. The architecture combines microsecond inference latency (0.42 ms) with an empirical false positive rate under 0.6%, complemented by automated 802.1Q VLAN 99 containment. This ensures that compromised IoT devices are neutralized without human intervention or performance degradation.</w:t>
      </w:r>
    </w:p>
    <w:p>
      <w:pPr>
        <w:keepNext/>
        <w:spacing w:before="280" w:after="80"/>
      </w:pPr>
      <w:r>
        <w:rPr>
          <w:rFonts w:ascii="Times New Roman" w:hAnsi="Times New Roman"/>
          <w:b/>
          <w:color w:val="000000"/>
          <w:sz w:val="24"/>
        </w:rPr>
        <w:t>IV. System Architecture</w:t>
      </w:r>
    </w:p>
    <w:p>
      <w:pPr>
        <w:spacing w:before="0" w:after="120" w:line="276" w:lineRule="auto"/>
        <w:jc w:val="left"/>
      </w:pPr>
      <w:r>
        <w:rPr>
          <w:rFonts w:ascii="Times New Roman" w:hAnsi="Times New Roman"/>
          <w:sz w:val="22"/>
        </w:rPr>
        <w:t>IoT-Guard is a passive, line-rate intrusion detection and automated mitigation framework designed to execute on consumer gateway routers. The system comprises five modular components: the Traffic Capture Layer, 5-Tuple Flow Aggregation Engine, Behavioral Feature Calculator, Random Forest Detection Engine, and the Mitigation &amp; Alerting Subsystem, as depicted in Fig. 1.</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single" w:sz="6" w:space="0" w:color="CBD5E1"/>
              <w:left w:val="single" w:sz="6" w:space="0" w:color="CBD5E1"/>
              <w:bottom w:val="single" w:sz="6" w:space="0" w:color="CBD5E1"/>
              <w:right w:val="single" w:sz="6" w:space="0" w:color="CBD5E1"/>
            </w:tcBorders>
          </w:tcPr>
          <w:p>
            <w:pPr>
              <w:spacing w:before="0" w:after="80"/>
              <w:jc w:val="center"/>
            </w:pPr>
            <w:r>
              <w:rPr>
                <w:rFonts w:ascii="Times New Roman" w:hAnsi="Times New Roman"/>
                <w:b/>
                <w:sz w:val="21"/>
              </w:rPr>
              <w:t>[IoT-Guard: Architectural Workflow Diagram]</w:t>
              <w:br/>
              <w:br/>
            </w:r>
            <w:r>
              <w:rPr>
                <w:rFonts w:ascii="Consolas" w:hAnsi="Consolas"/>
                <w:color w:val="0F172A"/>
                <w:sz w:val="17"/>
              </w:rPr>
              <w:t>+-----------------------------------------------------------------------------------------+</w:t>
              <w:br/>
              <w:t>|                             SMART-HOME LOCAL AREA NETWORK                               |</w:t>
              <w:br/>
              <w:t>|  [Philips Bulb]     [Amazon Echo]     [Tapo Camera]     [Samsung TV]     [Wipro Plug]   |</w:t>
              <w:br/>
              <w:t>+-----------------------------------------------------------------------------------------+</w:t>
              <w:br/>
              <w:t xml:space="preserve">                                             |  (802.11 Wi-Fi / Ethernet Frames)</w:t>
              <w:br/>
              <w:t xml:space="preserve">                                             v</w:t>
              <w:br/>
              <w:t>+-----------------------------------------------------------------------------------------+</w:t>
              <w:br/>
              <w:t>| 1. Traffic Capture Layer (capture_engine.py)                                            |</w:t>
              <w:br/>
              <w:t>|    - Scapy BPF Promiscuous Sniffer ('ip')       - Layer 3/4 Header Extraction           |</w:t>
              <w:br/>
              <w:t>|    - Strips Layer 7 Payloads (0% Decryption)     - Timestamp &amp; Length Recording          |</w:t>
              <w:br/>
              <w:t>+-----------------------------------------------------------------------------------------+</w:t>
              <w:br/>
              <w:t xml:space="preserve">                                             |</w:t>
              <w:br/>
              <w:t xml:space="preserve">                                             v</w:t>
              <w:br/>
              <w:t>+-----------------------------------------------------------------------------------------+</w:t>
              <w:br/>
              <w:t>| 2. Flow Aggregation &amp; Feature Engine (flow_engine.py)                                   |</w:t>
              <w:br/>
              <w:t>|    - Canonical 5-Tuple Key: (IPsrc, IPdst, Portsrc, Portdst, Proto)                     |</w:t>
              <w:br/>
              <w:t>|    - Inactivity Expiration Sweep (T_timeout = 3.0s)                                     |</w:t>
              <w:br/>
              <w:t>|    - Computes 7-D Vector: [Duration, AvgPktSize, pps, Bps, DstIPs, DstPorts, Protocol]  |</w:t>
              <w:br/>
              <w:t>+-----------------------------------------------------------------------------------------+</w:t>
              <w:br/>
              <w:t xml:space="preserve">                                             |</w:t>
              <w:br/>
              <w:t xml:space="preserve">                                             v</w:t>
              <w:br/>
              <w:t>+-----------------------------------------------------------------------------------------+</w:t>
              <w:br/>
              <w:t>| 3. Random Forest Detection Engine (iot_classifier.py)                                    |</w:t>
              <w:br/>
              <w:t>|    - 50 Bootstrap Decision Trees (Gini Impurity) - Parallel Subspace Inference          |</w:t>
              <w:br/>
              <w:t>|    - Evaluates Soft Probabilities P(y=1|x)       - Latency: 0.42 ms per flow            |</w:t>
              <w:br/>
              <w:t>+-----------------------------------------------------------------------------------------+</w:t>
              <w:br/>
              <w:t xml:space="preserve">                      |                                              |</w:t>
              <w:br/>
              <w:t xml:space="preserve">    [P(y=1) &lt; 0.30: Normal Flow]                   [P(y=1) &gt;= 0.70: Compromised Attack]</w:t>
              <w:br/>
              <w:t xml:space="preserve">                      v                                              v</w:t>
              <w:br/>
              <w:t>+------------------------------------+     +----------------------------------------------+</w:t>
              <w:br/>
              <w:t>| Forward Unmodified Packet Stream   |     | 4. Automated Edge Mitigation (mitigation.py) |</w:t>
              <w:br/>
              <w:t>| Log 1 Hz NOC Operational Telemetry |     |    - Reassign MAC to Isolated VLAN 99        |</w:t>
              <w:br/>
              <w:t>+------------------------------------+     |    - Inject iptables Port ACL Drop Rules     |</w:t>
              <w:br/>
              <w:t xml:space="preserve">                                           |    - Trigger HTML5 Web Audio Alarm Siren     |</w:t>
              <w:br/>
              <w:t xml:space="preserve">                                           +----------------------------------------------+</w:t>
            </w:r>
          </w:p>
        </w:tc>
      </w:tr>
    </w:tbl>
    <w:p>
      <w:pPr>
        <w:spacing w:before="80" w:after="200"/>
        <w:jc w:val="left"/>
      </w:pPr>
      <w:r>
        <w:rPr>
          <w:rFonts w:ascii="Times New Roman" w:hAnsi="Times New Roman"/>
          <w:i/>
          <w:sz w:val="20"/>
        </w:rPr>
        <w:t>Figure 1: IoT-Guard Architecture. The system captures Layer 3/4 packet headers at the home gateway using BPF, reconstructs bidirectional 5-tuple flows, computes seven metadata features upon a 3.0s inactivity timeout, evaluates the vector using an ensemble Random Forest classifier, and triggers automated VLAN 99 quarantine and iptables filtering upon detecting compromised device behaviour.</w:t>
      </w:r>
    </w:p>
    <w:p>
      <w:pPr>
        <w:keepNext/>
        <w:spacing w:before="200" w:after="60"/>
      </w:pPr>
      <w:r>
        <w:rPr>
          <w:rFonts w:ascii="Times New Roman" w:hAnsi="Times New Roman"/>
          <w:b/>
          <w:color w:val="141414"/>
          <w:sz w:val="22"/>
        </w:rPr>
        <w:t>A. State and Data Structures</w:t>
      </w:r>
    </w:p>
    <w:p>
      <w:pPr>
        <w:spacing w:before="0" w:after="120" w:line="276" w:lineRule="auto"/>
        <w:jc w:val="left"/>
      </w:pPr>
      <w:r>
        <w:rPr>
          <w:rFonts w:ascii="Times New Roman" w:hAnsi="Times New Roman"/>
          <w:sz w:val="22"/>
        </w:rPr>
        <w:t>The packet sniffer creates a lightweight record for each observed frame: arrival timestamp, source IP, destination IP, transport protocol (TCP/UDP), source port, destination port, and packet byte length. All application layer payloads are discarded immediately upon receipt, guaranteeing complete user privacy and bounded memory usage.</w:t>
      </w:r>
    </w:p>
    <w:p>
      <w:pPr>
        <w:spacing w:before="0" w:after="120" w:line="276" w:lineRule="auto"/>
        <w:jc w:val="left"/>
      </w:pPr>
      <w:r>
        <w:rPr>
          <w:rFonts w:ascii="Times New Roman" w:hAnsi="Times New Roman"/>
          <w:sz w:val="22"/>
        </w:rPr>
        <w:t>The system maintains four in-memory data structures: (1) The Active Flow Table, which aggregates packet records using a canonical 5-tuple hash key: (min(IPs, IPd), max(IPs, IPd), min(Ps, Pd), max(Ps, Pd), Proto); (2) The Flow Expiration Queue, which tracks inter-packet arrival gaps and expires flows exceeding 3.0 seconds of inactivity; (3) The Historical Baseline Cache, storing rolling medians of packet rates and byte sizes per device MAC; and (4) The Quarantine Device Registry, which tracks isolated hardware addresses and active firewall ACL drop rules.</w:t>
      </w:r>
    </w:p>
    <w:p>
      <w:pPr>
        <w:keepNext/>
        <w:spacing w:before="200" w:after="60"/>
      </w:pPr>
      <w:r>
        <w:rPr>
          <w:rFonts w:ascii="Times New Roman" w:hAnsi="Times New Roman"/>
          <w:b/>
          <w:color w:val="141414"/>
          <w:sz w:val="22"/>
        </w:rPr>
        <w:t>B. Concurrency and Processing Pipeline</w:t>
      </w:r>
    </w:p>
    <w:p>
      <w:pPr>
        <w:spacing w:before="0" w:after="120" w:line="276" w:lineRule="auto"/>
        <w:jc w:val="left"/>
      </w:pPr>
      <w:r>
        <w:rPr>
          <w:rFonts w:ascii="Times New Roman" w:hAnsi="Times New Roman"/>
          <w:sz w:val="22"/>
        </w:rPr>
        <w:t>Network frame sniffing is decoupled from feature extraction using an asynchronous circular buffer. The Scapy capture thread appends packet records to an in-memory queue without acquiring synchronization locks. A dedicated flow processing worker sweeps expired flow buckets every 1.0 second, calculates the seven metadata features, and dispatches the tabular vector to a thread pool for Random Forest inference. Total classification latency is strictly bounded under 1.0 ms.</w:t>
      </w:r>
    </w:p>
    <w:p>
      <w:pPr>
        <w:keepNext/>
        <w:spacing w:before="280" w:after="80"/>
      </w:pPr>
      <w:r>
        <w:rPr>
          <w:rFonts w:ascii="Times New Roman" w:hAnsi="Times New Roman"/>
          <w:b/>
          <w:color w:val="000000"/>
          <w:sz w:val="24"/>
        </w:rPr>
        <w:t>V. Detection Features and Machine Learning Methodology</w:t>
      </w:r>
    </w:p>
    <w:p>
      <w:pPr>
        <w:spacing w:before="0" w:after="120" w:line="276" w:lineRule="auto"/>
        <w:jc w:val="left"/>
      </w:pPr>
      <w:r>
        <w:rPr>
          <w:rFonts w:ascii="Times New Roman" w:hAnsi="Times New Roman"/>
          <w:sz w:val="22"/>
        </w:rPr>
        <w:t>Each flow is evaluated using seven statistical features that contrast normal periodic IoT behavior with malicious botnet patterns. These features require zero payload decryption and are normalized to ensure consistent tree-based splitting.</w:t>
      </w:r>
    </w:p>
    <w:p>
      <w:pPr>
        <w:keepNext/>
        <w:spacing w:before="200" w:after="60"/>
      </w:pPr>
      <w:r>
        <w:rPr>
          <w:rFonts w:ascii="Times New Roman" w:hAnsi="Times New Roman"/>
          <w:b/>
          <w:color w:val="141414"/>
          <w:sz w:val="22"/>
        </w:rPr>
        <w:t>A. Feature 1: Flow Duration</w:t>
      </w:r>
    </w:p>
    <w:p>
      <w:pPr>
        <w:spacing w:before="0" w:after="120" w:line="276" w:lineRule="auto"/>
        <w:jc w:val="left"/>
      </w:pPr>
      <w:r>
        <w:rPr>
          <w:rFonts w:ascii="Times New Roman" w:hAnsi="Times New Roman"/>
          <w:sz w:val="22"/>
        </w:rPr>
        <w:t>Flow duration represents the temporal lifespan of the bidirectional communication session. Normal IoT interactions (such as MQTT status updates or DNS queries) exhibit brief, intermittent durations (0.5–4.0 seconds). In contrast, botnet flood attacks and persistent scanning persist for prolonged intervals, saturating the connection buffer.</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E2E8F0"/>
              <w:left w:val="single" w:sz="18" w:space="0" w:color="3B82F6"/>
              <w:bottom w:val="single" w:sz="4" w:space="0" w:color="E2E8F0"/>
              <w:right w:val="single" w:sz="4" w:space="0" w:color="E2E8F0"/>
            </w:tcBorders>
          </w:tcPr>
          <w:p>
            <w:pPr>
              <w:spacing w:before="0" w:after="0" w:line="252" w:lineRule="auto"/>
            </w:pPr>
            <w:r>
              <w:rPr>
                <w:rFonts w:ascii="Consolas" w:hAnsi="Consolas"/>
                <w:color w:val="1E293B"/>
                <w:sz w:val="19"/>
              </w:rPr>
              <w:t>def compute_duration(timestamps):</w:t>
              <w:br/>
              <w:t xml:space="preserve">    if len(timestamps) &lt; 2:</w:t>
              <w:br/>
              <w:t xml:space="preserve">        return 0.1</w:t>
              <w:br/>
              <w:t xml:space="preserve">    return round(max(0.1, timestamps[-1] - timestamps[0]), 3)</w:t>
            </w:r>
          </w:p>
        </w:tc>
      </w:tr>
    </w:tbl>
    <w:p>
      <w:pPr>
        <w:spacing w:before="0" w:after="120"/>
      </w:pPr>
    </w:p>
    <w:p>
      <w:pPr>
        <w:keepNext/>
        <w:spacing w:before="200" w:after="60"/>
      </w:pPr>
      <w:r>
        <w:rPr>
          <w:rFonts w:ascii="Times New Roman" w:hAnsi="Times New Roman"/>
          <w:b/>
          <w:color w:val="141414"/>
          <w:sz w:val="22"/>
        </w:rPr>
        <w:t>B. Feature 2: Average Packet Size</w:t>
      </w:r>
    </w:p>
    <w:p>
      <w:pPr>
        <w:spacing w:before="0" w:after="120" w:line="276" w:lineRule="auto"/>
        <w:jc w:val="left"/>
      </w:pPr>
      <w:r>
        <w:rPr>
          <w:rFonts w:ascii="Times New Roman" w:hAnsi="Times New Roman"/>
          <w:sz w:val="22"/>
        </w:rPr>
        <w:t>The mean packet byte length differentiates high-throughput bulk downloads from botnet probing. Benign video streaming from cameras generates large MTU-sized packets (1400+ bytes). Botnet port scanners and SYN floods generate tiny, fixed-size frames (54–64 bytes) to maximize packet generation rates.</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E2E8F0"/>
              <w:left w:val="single" w:sz="18" w:space="0" w:color="3B82F6"/>
              <w:bottom w:val="single" w:sz="4" w:space="0" w:color="E2E8F0"/>
              <w:right w:val="single" w:sz="4" w:space="0" w:color="E2E8F0"/>
            </w:tcBorders>
          </w:tcPr>
          <w:p>
            <w:pPr>
              <w:spacing w:before="0" w:after="0" w:line="252" w:lineRule="auto"/>
            </w:pPr>
            <w:r>
              <w:rPr>
                <w:rFonts w:ascii="Consolas" w:hAnsi="Consolas"/>
                <w:color w:val="1E293B"/>
                <w:sz w:val="19"/>
              </w:rPr>
              <w:t>def compute_avg_packet_size(lengths):</w:t>
              <w:br/>
              <w:t xml:space="preserve">    if not lengths:</w:t>
              <w:br/>
              <w:t xml:space="preserve">        return 0.0</w:t>
              <w:br/>
              <w:t xml:space="preserve">    return round(float(sum(lengths)) / len(lengths), 1)</w:t>
            </w:r>
          </w:p>
        </w:tc>
      </w:tr>
    </w:tbl>
    <w:p>
      <w:pPr>
        <w:spacing w:before="0" w:after="120"/>
      </w:pPr>
    </w:p>
    <w:p>
      <w:pPr>
        <w:keepNext/>
        <w:spacing w:before="200" w:after="60"/>
      </w:pPr>
      <w:r>
        <w:rPr>
          <w:rFonts w:ascii="Times New Roman" w:hAnsi="Times New Roman"/>
          <w:b/>
          <w:color w:val="141414"/>
          <w:sz w:val="22"/>
        </w:rPr>
        <w:t>C. Feature 3: Packets Per Second (pps)</w:t>
      </w:r>
    </w:p>
    <w:p>
      <w:pPr>
        <w:spacing w:before="0" w:after="120" w:line="276" w:lineRule="auto"/>
        <w:jc w:val="left"/>
      </w:pPr>
      <w:r>
        <w:rPr>
          <w:rFonts w:ascii="Times New Roman" w:hAnsi="Times New Roman"/>
          <w:sz w:val="22"/>
        </w:rPr>
        <w:t>Packet transmission rate serves as the single strongest indicator of volumetric denial-of-service activity. A benign smart bulb transmits at 0.5–3.5 packets/sec. Under Mirai botnet recruitment, the compromised device generates over 1,500–3,000 packets/sec, causing an immediate spike of three orders of magnitude.</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E2E8F0"/>
              <w:left w:val="single" w:sz="18" w:space="0" w:color="3B82F6"/>
              <w:bottom w:val="single" w:sz="4" w:space="0" w:color="E2E8F0"/>
              <w:right w:val="single" w:sz="4" w:space="0" w:color="E2E8F0"/>
            </w:tcBorders>
          </w:tcPr>
          <w:p>
            <w:pPr>
              <w:spacing w:before="0" w:after="0" w:line="252" w:lineRule="auto"/>
            </w:pPr>
            <w:r>
              <w:rPr>
                <w:rFonts w:ascii="Consolas" w:hAnsi="Consolas"/>
                <w:color w:val="1E293B"/>
                <w:sz w:val="19"/>
              </w:rPr>
              <w:t>def compute_pps(packet_count, duration):</w:t>
              <w:br/>
              <w:t xml:space="preserve">    return round(float(packet_count) / max(0.1, duration), 1)</w:t>
            </w:r>
          </w:p>
        </w:tc>
      </w:tr>
    </w:tbl>
    <w:p>
      <w:pPr>
        <w:spacing w:before="0" w:after="120"/>
      </w:pPr>
    </w:p>
    <w:p>
      <w:pPr>
        <w:keepNext/>
        <w:spacing w:before="200" w:after="60"/>
      </w:pPr>
      <w:r>
        <w:rPr>
          <w:rFonts w:ascii="Times New Roman" w:hAnsi="Times New Roman"/>
          <w:b/>
          <w:color w:val="141414"/>
          <w:sz w:val="22"/>
        </w:rPr>
        <w:t>D. Feature 4: Bytes Per Second (Bps)</w:t>
      </w:r>
    </w:p>
    <w:p>
      <w:pPr>
        <w:spacing w:before="0" w:after="120" w:line="276" w:lineRule="auto"/>
        <w:jc w:val="left"/>
      </w:pPr>
      <w:r>
        <w:rPr>
          <w:rFonts w:ascii="Times New Roman" w:hAnsi="Times New Roman"/>
          <w:sz w:val="22"/>
        </w:rPr>
        <w:t>Bandwidth consumption quantifies aggregate data transfer rates. While video cameras legitimately consume 100–300 KBps, small appliances (bulbs, plugs) consume less than 400 Bps. Mirai volumetric attacks generate 200–500 KBps of flood traffic from microcontroller endpoints that typically transmit minimal telemetry.</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E2E8F0"/>
              <w:left w:val="single" w:sz="18" w:space="0" w:color="3B82F6"/>
              <w:bottom w:val="single" w:sz="4" w:space="0" w:color="E2E8F0"/>
              <w:right w:val="single" w:sz="4" w:space="0" w:color="E2E8F0"/>
            </w:tcBorders>
          </w:tcPr>
          <w:p>
            <w:pPr>
              <w:spacing w:before="0" w:after="0" w:line="252" w:lineRule="auto"/>
            </w:pPr>
            <w:r>
              <w:rPr>
                <w:rFonts w:ascii="Consolas" w:hAnsi="Consolas"/>
                <w:color w:val="1E293B"/>
                <w:sz w:val="19"/>
              </w:rPr>
              <w:t>def compute_bps(total_bytes, duration):</w:t>
              <w:br/>
              <w:t xml:space="preserve">    return round(float(total_bytes) / max(0.1, duration), 1)</w:t>
            </w:r>
          </w:p>
        </w:tc>
      </w:tr>
    </w:tbl>
    <w:p>
      <w:pPr>
        <w:spacing w:before="0" w:after="120"/>
      </w:pPr>
    </w:p>
    <w:p>
      <w:pPr>
        <w:keepNext/>
        <w:spacing w:before="200" w:after="60"/>
      </w:pPr>
      <w:r>
        <w:rPr>
          <w:rFonts w:ascii="Times New Roman" w:hAnsi="Times New Roman"/>
          <w:b/>
          <w:color w:val="141414"/>
          <w:sz w:val="22"/>
        </w:rPr>
        <w:t>E. Feature 5: Unique Destination IPs (IP Diversity)</w:t>
      </w:r>
    </w:p>
    <w:p>
      <w:pPr>
        <w:spacing w:before="0" w:after="120" w:line="276" w:lineRule="auto"/>
        <w:jc w:val="left"/>
      </w:pPr>
      <w:r>
        <w:rPr>
          <w:rFonts w:ascii="Times New Roman" w:hAnsi="Times New Roman"/>
          <w:sz w:val="22"/>
        </w:rPr>
        <w:t>Normal smart appliances communicate exclusively with authorized vendor cloud endpoints (e.g., AWS IoT, Google Cloud, Tuya), resulting in exactly 1 or 2 unique destination IP addresses. Botnet worm propagation generates hundreds of random destination IP addresses within seconds to discover vulnerable local and external subnets.</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E2E8F0"/>
              <w:left w:val="single" w:sz="18" w:space="0" w:color="3B82F6"/>
              <w:bottom w:val="single" w:sz="4" w:space="0" w:color="E2E8F0"/>
              <w:right w:val="single" w:sz="4" w:space="0" w:color="E2E8F0"/>
            </w:tcBorders>
          </w:tcPr>
          <w:p>
            <w:pPr>
              <w:spacing w:before="0" w:after="0" w:line="252" w:lineRule="auto"/>
            </w:pPr>
            <w:r>
              <w:rPr>
                <w:rFonts w:ascii="Consolas" w:hAnsi="Consolas"/>
                <w:color w:val="1E293B"/>
                <w:sz w:val="19"/>
              </w:rPr>
              <w:t>def compute_unique_dst_ips(dst_ip_list):</w:t>
              <w:br/>
              <w:t xml:space="preserve">    return len(set(dst_ip_list))</w:t>
            </w:r>
          </w:p>
        </w:tc>
      </w:tr>
    </w:tbl>
    <w:p>
      <w:pPr>
        <w:spacing w:before="0" w:after="120"/>
      </w:pPr>
    </w:p>
    <w:p>
      <w:pPr>
        <w:keepNext/>
        <w:spacing w:before="200" w:after="60"/>
      </w:pPr>
      <w:r>
        <w:rPr>
          <w:rFonts w:ascii="Times New Roman" w:hAnsi="Times New Roman"/>
          <w:b/>
          <w:color w:val="141414"/>
          <w:sz w:val="22"/>
        </w:rPr>
        <w:t>F. Feature 6: Unique Destination Ports (Port Diversity)</w:t>
      </w:r>
    </w:p>
    <w:p>
      <w:pPr>
        <w:spacing w:before="0" w:after="120" w:line="276" w:lineRule="auto"/>
        <w:jc w:val="left"/>
      </w:pPr>
      <w:r>
        <w:rPr>
          <w:rFonts w:ascii="Times New Roman" w:hAnsi="Times New Roman"/>
          <w:sz w:val="22"/>
        </w:rPr>
        <w:t>Benign smart devices target fixed, standardized service ports (Port 8883 for MQTT-TLS, Port 443 for HTTPS, Port 53 for DNS). Compromised devices scanning for open management ports query multiple target ports (Ports 23, 2323, 5555, 8080) simultaneously.</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E2E8F0"/>
              <w:left w:val="single" w:sz="18" w:space="0" w:color="3B82F6"/>
              <w:bottom w:val="single" w:sz="4" w:space="0" w:color="E2E8F0"/>
              <w:right w:val="single" w:sz="4" w:space="0" w:color="E2E8F0"/>
            </w:tcBorders>
          </w:tcPr>
          <w:p>
            <w:pPr>
              <w:spacing w:before="0" w:after="0" w:line="252" w:lineRule="auto"/>
            </w:pPr>
            <w:r>
              <w:rPr>
                <w:rFonts w:ascii="Consolas" w:hAnsi="Consolas"/>
                <w:color w:val="1E293B"/>
                <w:sz w:val="19"/>
              </w:rPr>
              <w:t>def compute_unique_dst_ports(dst_port_list):</w:t>
              <w:br/>
              <w:t xml:space="preserve">    return len(set(dst_port_list))</w:t>
            </w:r>
          </w:p>
        </w:tc>
      </w:tr>
    </w:tbl>
    <w:p>
      <w:pPr>
        <w:spacing w:before="0" w:after="120"/>
      </w:pPr>
    </w:p>
    <w:p>
      <w:pPr>
        <w:keepNext/>
        <w:spacing w:before="200" w:after="60"/>
      </w:pPr>
      <w:r>
        <w:rPr>
          <w:rFonts w:ascii="Times New Roman" w:hAnsi="Times New Roman"/>
          <w:b/>
          <w:color w:val="141414"/>
          <w:sz w:val="22"/>
        </w:rPr>
        <w:t>G. Feature 7: Transport Protocol Indicator</w:t>
      </w:r>
    </w:p>
    <w:p>
      <w:pPr>
        <w:spacing w:before="0" w:after="120" w:line="276" w:lineRule="auto"/>
        <w:jc w:val="left"/>
      </w:pPr>
      <w:r>
        <w:rPr>
          <w:rFonts w:ascii="Times New Roman" w:hAnsi="Times New Roman"/>
          <w:sz w:val="22"/>
        </w:rPr>
        <w:t>Encoded as a numerical categorical value (TCP = 6, UDP = 17). This provides structural context regarding transport session semantics, separating connection-oriented MQTT/HTTPS transactions from connectionless UDP streaming and flooding.</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E2E8F0"/>
              <w:left w:val="single" w:sz="18" w:space="0" w:color="3B82F6"/>
              <w:bottom w:val="single" w:sz="4" w:space="0" w:color="E2E8F0"/>
              <w:right w:val="single" w:sz="4" w:space="0" w:color="E2E8F0"/>
            </w:tcBorders>
          </w:tcPr>
          <w:p>
            <w:pPr>
              <w:spacing w:before="0" w:after="0" w:line="252" w:lineRule="auto"/>
            </w:pPr>
            <w:r>
              <w:rPr>
                <w:rFonts w:ascii="Consolas" w:hAnsi="Consolas"/>
                <w:color w:val="1E293B"/>
                <w:sz w:val="19"/>
              </w:rPr>
              <w:t>def encode_protocol(protocol_str):</w:t>
              <w:br/>
              <w:t xml:space="preserve">    return 6.0 if protocol_str.upper() == 'TCP' else 17.0</w:t>
            </w:r>
          </w:p>
        </w:tc>
      </w:tr>
    </w:tbl>
    <w:p>
      <w:pPr>
        <w:spacing w:before="0" w:after="120"/>
      </w:pPr>
    </w:p>
    <w:p>
      <w:pPr>
        <w:keepNext/>
        <w:spacing w:before="200" w:after="60"/>
      </w:pPr>
      <w:r>
        <w:rPr>
          <w:rFonts w:ascii="Times New Roman" w:hAnsi="Times New Roman"/>
          <w:b/>
          <w:color w:val="141414"/>
          <w:sz w:val="22"/>
        </w:rPr>
        <w:t>H. Random Forest Classification and Verdict Formulation</w:t>
      </w:r>
    </w:p>
    <w:p>
      <w:pPr>
        <w:spacing w:before="0" w:after="120" w:line="276" w:lineRule="auto"/>
        <w:jc w:val="left"/>
      </w:pPr>
      <w:r>
        <w:rPr>
          <w:rFonts w:ascii="Times New Roman" w:hAnsi="Times New Roman"/>
          <w:sz w:val="22"/>
        </w:rPr>
        <w:t>The seven extracted features form an input vector x = [D, Savg, pps, Bps, UIP, UPort, Proto]. We deploy Breiman's Random Forest Classifier [3] comprising N = 50 bootstrap decision trees trained with Gini impurity splitting. For a test vector x, each tree t computes a class probability distribution. The ensemble aggregates individual tree votes to calculate the malicious posterior probability:</w:t>
      </w:r>
    </w:p>
    <w:p>
      <w:pPr>
        <w:spacing w:before="0" w:after="120" w:line="276" w:lineRule="auto"/>
        <w:jc w:val="left"/>
      </w:pPr>
      <w:r>
        <w:rPr>
          <w:rFonts w:ascii="Times New Roman" w:hAnsi="Times New Roman"/>
          <w:sz w:val="22"/>
        </w:rPr>
        <w:t>P(y = 1 | x) = (1 / N) * SUM_{t=1}^{N} P_t(y = 1 | x), where N = 50.</w:t>
      </w:r>
    </w:p>
    <w:p>
      <w:pPr>
        <w:spacing w:before="0" w:after="120" w:line="276" w:lineRule="auto"/>
        <w:jc w:val="left"/>
      </w:pPr>
      <w:r>
        <w:rPr>
          <w:rFonts w:ascii="Times New Roman" w:hAnsi="Times New Roman"/>
          <w:sz w:val="22"/>
        </w:rPr>
        <w:t>The system assigns operational verdicts based on three calibrated confidence thresholds: (1) Clean / Normal: P(y = 1 | x) &lt; 0.35, the flow is forwarded without modification; (2) Suspicious: 0.35 &lt;= P(y = 1 | x) &lt; 0.70, the event is logged into the audit database for telemetry tracking; and (3) Compromised: P(y = 1 | x) &gt;= 0.70, the system raises an alarm and invokes automated edge mitigation. The relative feature importances derived from Gini impurity reductions are summarized in Table I.</w:t>
      </w:r>
    </w:p>
    <w:tbl>
      <w:tblPr>
        <w:tblW w:type="auto" w:w="0"/>
        <w:jc w:val="center"/>
        <w:tblLook w:firstColumn="1" w:firstRow="1" w:lastColumn="0" w:lastRow="0" w:noHBand="0" w:noVBand="1" w:val="04A0"/>
      </w:tblPr>
      <w:tblGrid>
        <w:gridCol w:w="2340"/>
        <w:gridCol w:w="2340"/>
        <w:gridCol w:w="2340"/>
        <w:gridCol w:w="2340"/>
      </w:tblGrid>
      <w:tr>
        <w:tc>
          <w:tcPr>
            <w:tcW w:type="dxa" w:w="2340"/>
            <w:shd w:fill="E2E8F0"/>
            <w:tcMar>
              <w:top w:w="100" w:type="dxa"/>
              <w:bottom w:w="100" w:type="dxa"/>
              <w:left w:w="120" w:type="dxa"/>
              <w:right w:w="120" w:type="dxa"/>
            </w:tcMar>
          </w:tcPr>
          <w:p>
            <w:r>
              <w:rPr>
                <w:b/>
              </w:rPr>
              <w:t>Feature</w:t>
            </w:r>
          </w:p>
        </w:tc>
        <w:tc>
          <w:tcPr>
            <w:tcW w:type="dxa" w:w="2340"/>
            <w:shd w:fill="E2E8F0"/>
            <w:tcMar>
              <w:top w:w="100" w:type="dxa"/>
              <w:bottom w:w="100" w:type="dxa"/>
              <w:left w:w="120" w:type="dxa"/>
              <w:right w:w="120" w:type="dxa"/>
            </w:tcMar>
          </w:tcPr>
          <w:p>
            <w:r>
              <w:rPr>
                <w:b/>
              </w:rPr>
              <w:t>Description</w:t>
            </w:r>
          </w:p>
        </w:tc>
        <w:tc>
          <w:tcPr>
            <w:tcW w:type="dxa" w:w="2340"/>
            <w:shd w:fill="E2E8F0"/>
            <w:tcMar>
              <w:top w:w="100" w:type="dxa"/>
              <w:bottom w:w="100" w:type="dxa"/>
              <w:left w:w="120" w:type="dxa"/>
              <w:right w:w="120" w:type="dxa"/>
            </w:tcMar>
          </w:tcPr>
          <w:p>
            <w:r>
              <w:rPr>
                <w:b/>
              </w:rPr>
              <w:t>Targeted Attack Vector</w:t>
            </w:r>
          </w:p>
        </w:tc>
        <w:tc>
          <w:tcPr>
            <w:tcW w:type="dxa" w:w="2340"/>
            <w:shd w:fill="E2E8F0"/>
            <w:tcMar>
              <w:top w:w="100" w:type="dxa"/>
              <w:bottom w:w="100" w:type="dxa"/>
              <w:left w:w="120" w:type="dxa"/>
              <w:right w:w="120" w:type="dxa"/>
            </w:tcMar>
          </w:tcPr>
          <w:p>
            <w:r>
              <w:rPr>
                <w:b/>
              </w:rPr>
              <w:t>Gini Importance</w:t>
            </w:r>
          </w:p>
        </w:tc>
      </w:tr>
      <w:tr>
        <w:tc>
          <w:tcPr>
            <w:tcW w:type="dxa" w:w="2340"/>
            <w:shd w:fill="FFFFFF"/>
            <w:tcMar>
              <w:top w:w="80" w:type="dxa"/>
              <w:bottom w:w="80" w:type="dxa"/>
              <w:left w:w="100" w:type="dxa"/>
              <w:right w:w="100" w:type="dxa"/>
            </w:tcMar>
          </w:tcPr>
          <w:p>
            <w:r>
              <w:t>F1: Packets / Sec (pps)</w:t>
            </w:r>
          </w:p>
        </w:tc>
        <w:tc>
          <w:tcPr>
            <w:tcW w:type="dxa" w:w="2340"/>
            <w:shd w:fill="FFFFFF"/>
            <w:tcMar>
              <w:top w:w="80" w:type="dxa"/>
              <w:bottom w:w="80" w:type="dxa"/>
              <w:left w:w="100" w:type="dxa"/>
              <w:right w:w="100" w:type="dxa"/>
            </w:tcMar>
          </w:tcPr>
          <w:p>
            <w:r>
              <w:t>Flow packet transmission rate</w:t>
            </w:r>
          </w:p>
        </w:tc>
        <w:tc>
          <w:tcPr>
            <w:tcW w:type="dxa" w:w="2340"/>
            <w:shd w:fill="FFFFFF"/>
            <w:tcMar>
              <w:top w:w="80" w:type="dxa"/>
              <w:bottom w:w="80" w:type="dxa"/>
              <w:left w:w="100" w:type="dxa"/>
              <w:right w:w="100" w:type="dxa"/>
            </w:tcMar>
          </w:tcPr>
          <w:p>
            <w:r>
              <w:t>Volumetric DDoS floods (Mirai)</w:t>
            </w:r>
          </w:p>
        </w:tc>
        <w:tc>
          <w:tcPr>
            <w:tcW w:type="dxa" w:w="2340"/>
            <w:shd w:fill="FFFFFF"/>
            <w:tcMar>
              <w:top w:w="80" w:type="dxa"/>
              <w:bottom w:w="80" w:type="dxa"/>
              <w:left w:w="100" w:type="dxa"/>
              <w:right w:w="100" w:type="dxa"/>
            </w:tcMar>
          </w:tcPr>
          <w:p>
            <w:r>
              <w:t>48.3%</w:t>
            </w:r>
          </w:p>
        </w:tc>
      </w:tr>
      <w:tr>
        <w:tc>
          <w:tcPr>
            <w:tcW w:type="dxa" w:w="2340"/>
            <w:shd w:fill="F8F9FA"/>
            <w:tcMar>
              <w:top w:w="80" w:type="dxa"/>
              <w:bottom w:w="80" w:type="dxa"/>
              <w:left w:w="100" w:type="dxa"/>
              <w:right w:w="100" w:type="dxa"/>
            </w:tcMar>
          </w:tcPr>
          <w:p>
            <w:r>
              <w:t>F2: Bytes / Sec (Bps)</w:t>
            </w:r>
          </w:p>
        </w:tc>
        <w:tc>
          <w:tcPr>
            <w:tcW w:type="dxa" w:w="2340"/>
            <w:shd w:fill="F8F9FA"/>
            <w:tcMar>
              <w:top w:w="80" w:type="dxa"/>
              <w:bottom w:w="80" w:type="dxa"/>
              <w:left w:w="100" w:type="dxa"/>
              <w:right w:w="100" w:type="dxa"/>
            </w:tcMar>
          </w:tcPr>
          <w:p>
            <w:r>
              <w:t>Flow bandwidth consumption rate</w:t>
            </w:r>
          </w:p>
        </w:tc>
        <w:tc>
          <w:tcPr>
            <w:tcW w:type="dxa" w:w="2340"/>
            <w:shd w:fill="F8F9FA"/>
            <w:tcMar>
              <w:top w:w="80" w:type="dxa"/>
              <w:bottom w:w="80" w:type="dxa"/>
              <w:left w:w="100" w:type="dxa"/>
              <w:right w:w="100" w:type="dxa"/>
            </w:tcMar>
          </w:tcPr>
          <w:p>
            <w:r>
              <w:t>Bandwidth saturation attacks</w:t>
            </w:r>
          </w:p>
        </w:tc>
        <w:tc>
          <w:tcPr>
            <w:tcW w:type="dxa" w:w="2340"/>
            <w:shd w:fill="F8F9FA"/>
            <w:tcMar>
              <w:top w:w="80" w:type="dxa"/>
              <w:bottom w:w="80" w:type="dxa"/>
              <w:left w:w="100" w:type="dxa"/>
              <w:right w:w="100" w:type="dxa"/>
            </w:tcMar>
          </w:tcPr>
          <w:p>
            <w:r>
              <w:t>23.5%</w:t>
            </w:r>
          </w:p>
        </w:tc>
      </w:tr>
      <w:tr>
        <w:tc>
          <w:tcPr>
            <w:tcW w:type="dxa" w:w="2340"/>
            <w:shd w:fill="FFFFFF"/>
            <w:tcMar>
              <w:top w:w="80" w:type="dxa"/>
              <w:bottom w:w="80" w:type="dxa"/>
              <w:left w:w="100" w:type="dxa"/>
              <w:right w:w="100" w:type="dxa"/>
            </w:tcMar>
          </w:tcPr>
          <w:p>
            <w:r>
              <w:t>F3: Unique Dst Ports</w:t>
            </w:r>
          </w:p>
        </w:tc>
        <w:tc>
          <w:tcPr>
            <w:tcW w:type="dxa" w:w="2340"/>
            <w:shd w:fill="FFFFFF"/>
            <w:tcMar>
              <w:top w:w="80" w:type="dxa"/>
              <w:bottom w:w="80" w:type="dxa"/>
              <w:left w:w="100" w:type="dxa"/>
              <w:right w:w="100" w:type="dxa"/>
            </w:tcMar>
          </w:tcPr>
          <w:p>
            <w:r>
              <w:t>Distinct target destination ports</w:t>
            </w:r>
          </w:p>
        </w:tc>
        <w:tc>
          <w:tcPr>
            <w:tcW w:type="dxa" w:w="2340"/>
            <w:shd w:fill="FFFFFF"/>
            <w:tcMar>
              <w:top w:w="80" w:type="dxa"/>
              <w:bottom w:w="80" w:type="dxa"/>
              <w:left w:w="100" w:type="dxa"/>
              <w:right w:w="100" w:type="dxa"/>
            </w:tcMar>
          </w:tcPr>
          <w:p>
            <w:r>
              <w:t>Multi-port reconnaissance &amp; scanning</w:t>
            </w:r>
          </w:p>
        </w:tc>
        <w:tc>
          <w:tcPr>
            <w:tcW w:type="dxa" w:w="2340"/>
            <w:shd w:fill="FFFFFF"/>
            <w:tcMar>
              <w:top w:w="80" w:type="dxa"/>
              <w:bottom w:w="80" w:type="dxa"/>
              <w:left w:w="100" w:type="dxa"/>
              <w:right w:w="100" w:type="dxa"/>
            </w:tcMar>
          </w:tcPr>
          <w:p>
            <w:r>
              <w:t>12.8%</w:t>
            </w:r>
          </w:p>
        </w:tc>
      </w:tr>
      <w:tr>
        <w:tc>
          <w:tcPr>
            <w:tcW w:type="dxa" w:w="2340"/>
            <w:shd w:fill="F8F9FA"/>
            <w:tcMar>
              <w:top w:w="80" w:type="dxa"/>
              <w:bottom w:w="80" w:type="dxa"/>
              <w:left w:w="100" w:type="dxa"/>
              <w:right w:w="100" w:type="dxa"/>
            </w:tcMar>
          </w:tcPr>
          <w:p>
            <w:r>
              <w:t>F4: Unique Dst IPs</w:t>
            </w:r>
          </w:p>
        </w:tc>
        <w:tc>
          <w:tcPr>
            <w:tcW w:type="dxa" w:w="2340"/>
            <w:shd w:fill="F8F9FA"/>
            <w:tcMar>
              <w:top w:w="80" w:type="dxa"/>
              <w:bottom w:w="80" w:type="dxa"/>
              <w:left w:w="100" w:type="dxa"/>
              <w:right w:w="100" w:type="dxa"/>
            </w:tcMar>
          </w:tcPr>
          <w:p>
            <w:r>
              <w:t>Distinct target destination IP count</w:t>
            </w:r>
          </w:p>
        </w:tc>
        <w:tc>
          <w:tcPr>
            <w:tcW w:type="dxa" w:w="2340"/>
            <w:shd w:fill="F8F9FA"/>
            <w:tcMar>
              <w:top w:w="80" w:type="dxa"/>
              <w:bottom w:w="80" w:type="dxa"/>
              <w:left w:w="100" w:type="dxa"/>
              <w:right w:w="100" w:type="dxa"/>
            </w:tcMar>
          </w:tcPr>
          <w:p>
            <w:r>
              <w:t>Horizontal subnet worm spreading</w:t>
            </w:r>
          </w:p>
        </w:tc>
        <w:tc>
          <w:tcPr>
            <w:tcW w:type="dxa" w:w="2340"/>
            <w:shd w:fill="F8F9FA"/>
            <w:tcMar>
              <w:top w:w="80" w:type="dxa"/>
              <w:bottom w:w="80" w:type="dxa"/>
              <w:left w:w="100" w:type="dxa"/>
              <w:right w:w="100" w:type="dxa"/>
            </w:tcMar>
          </w:tcPr>
          <w:p>
            <w:r>
              <w:t>8.4%</w:t>
            </w:r>
          </w:p>
        </w:tc>
      </w:tr>
      <w:tr>
        <w:tc>
          <w:tcPr>
            <w:tcW w:type="dxa" w:w="2340"/>
            <w:shd w:fill="FFFFFF"/>
            <w:tcMar>
              <w:top w:w="80" w:type="dxa"/>
              <w:bottom w:w="80" w:type="dxa"/>
              <w:left w:w="100" w:type="dxa"/>
              <w:right w:w="100" w:type="dxa"/>
            </w:tcMar>
          </w:tcPr>
          <w:p>
            <w:r>
              <w:t>F5: Avg Packet Size</w:t>
            </w:r>
          </w:p>
        </w:tc>
        <w:tc>
          <w:tcPr>
            <w:tcW w:type="dxa" w:w="2340"/>
            <w:shd w:fill="FFFFFF"/>
            <w:tcMar>
              <w:top w:w="80" w:type="dxa"/>
              <w:bottom w:w="80" w:type="dxa"/>
              <w:left w:w="100" w:type="dxa"/>
              <w:right w:w="100" w:type="dxa"/>
            </w:tcMar>
          </w:tcPr>
          <w:p>
            <w:r>
              <w:t>Mean packet byte payload size</w:t>
            </w:r>
          </w:p>
        </w:tc>
        <w:tc>
          <w:tcPr>
            <w:tcW w:type="dxa" w:w="2340"/>
            <w:shd w:fill="FFFFFF"/>
            <w:tcMar>
              <w:top w:w="80" w:type="dxa"/>
              <w:bottom w:w="80" w:type="dxa"/>
              <w:left w:w="100" w:type="dxa"/>
              <w:right w:w="100" w:type="dxa"/>
            </w:tcMar>
          </w:tcPr>
          <w:p>
            <w:r>
              <w:t>Small SYN probes vs MTU video</w:t>
            </w:r>
          </w:p>
        </w:tc>
        <w:tc>
          <w:tcPr>
            <w:tcW w:type="dxa" w:w="2340"/>
            <w:shd w:fill="FFFFFF"/>
            <w:tcMar>
              <w:top w:w="80" w:type="dxa"/>
              <w:bottom w:w="80" w:type="dxa"/>
              <w:left w:w="100" w:type="dxa"/>
              <w:right w:w="100" w:type="dxa"/>
            </w:tcMar>
          </w:tcPr>
          <w:p>
            <w:r>
              <w:t>3.8%</w:t>
            </w:r>
          </w:p>
        </w:tc>
      </w:tr>
      <w:tr>
        <w:tc>
          <w:tcPr>
            <w:tcW w:type="dxa" w:w="2340"/>
            <w:shd w:fill="F8F9FA"/>
            <w:tcMar>
              <w:top w:w="80" w:type="dxa"/>
              <w:bottom w:w="80" w:type="dxa"/>
              <w:left w:w="100" w:type="dxa"/>
              <w:right w:w="100" w:type="dxa"/>
            </w:tcMar>
          </w:tcPr>
          <w:p>
            <w:r>
              <w:t>F6: Flow Duration</w:t>
            </w:r>
          </w:p>
        </w:tc>
        <w:tc>
          <w:tcPr>
            <w:tcW w:type="dxa" w:w="2340"/>
            <w:shd w:fill="F8F9FA"/>
            <w:tcMar>
              <w:top w:w="80" w:type="dxa"/>
              <w:bottom w:w="80" w:type="dxa"/>
              <w:left w:w="100" w:type="dxa"/>
              <w:right w:w="100" w:type="dxa"/>
            </w:tcMar>
          </w:tcPr>
          <w:p>
            <w:r>
              <w:t>Session temporal lifespan (sec)</w:t>
            </w:r>
          </w:p>
        </w:tc>
        <w:tc>
          <w:tcPr>
            <w:tcW w:type="dxa" w:w="2340"/>
            <w:shd w:fill="F8F9FA"/>
            <w:tcMar>
              <w:top w:w="80" w:type="dxa"/>
              <w:bottom w:w="80" w:type="dxa"/>
              <w:left w:w="100" w:type="dxa"/>
              <w:right w:w="100" w:type="dxa"/>
            </w:tcMar>
          </w:tcPr>
          <w:p>
            <w:r>
              <w:t>Persistent flood vs intermittent</w:t>
            </w:r>
          </w:p>
        </w:tc>
        <w:tc>
          <w:tcPr>
            <w:tcW w:type="dxa" w:w="2340"/>
            <w:shd w:fill="F8F9FA"/>
            <w:tcMar>
              <w:top w:w="80" w:type="dxa"/>
              <w:bottom w:w="80" w:type="dxa"/>
              <w:left w:w="100" w:type="dxa"/>
              <w:right w:w="100" w:type="dxa"/>
            </w:tcMar>
          </w:tcPr>
          <w:p>
            <w:r>
              <w:t>2.1%</w:t>
            </w:r>
          </w:p>
        </w:tc>
      </w:tr>
      <w:tr>
        <w:tc>
          <w:tcPr>
            <w:tcW w:type="dxa" w:w="2340"/>
            <w:shd w:fill="FFFFFF"/>
            <w:tcMar>
              <w:top w:w="80" w:type="dxa"/>
              <w:bottom w:w="80" w:type="dxa"/>
              <w:left w:w="100" w:type="dxa"/>
              <w:right w:w="100" w:type="dxa"/>
            </w:tcMar>
          </w:tcPr>
          <w:p>
            <w:r>
              <w:t>F7: Protocol Indicator</w:t>
            </w:r>
          </w:p>
        </w:tc>
        <w:tc>
          <w:tcPr>
            <w:tcW w:type="dxa" w:w="2340"/>
            <w:shd w:fill="FFFFFF"/>
            <w:tcMar>
              <w:top w:w="80" w:type="dxa"/>
              <w:bottom w:w="80" w:type="dxa"/>
              <w:left w:w="100" w:type="dxa"/>
              <w:right w:w="100" w:type="dxa"/>
            </w:tcMar>
          </w:tcPr>
          <w:p>
            <w:r>
              <w:t>Transport protocol (TCP/UDP)</w:t>
            </w:r>
          </w:p>
        </w:tc>
        <w:tc>
          <w:tcPr>
            <w:tcW w:type="dxa" w:w="2340"/>
            <w:shd w:fill="FFFFFF"/>
            <w:tcMar>
              <w:top w:w="80" w:type="dxa"/>
              <w:bottom w:w="80" w:type="dxa"/>
              <w:left w:w="100" w:type="dxa"/>
              <w:right w:w="100" w:type="dxa"/>
            </w:tcMar>
          </w:tcPr>
          <w:p>
            <w:r>
              <w:t>Session state transport semantics</w:t>
            </w:r>
          </w:p>
        </w:tc>
        <w:tc>
          <w:tcPr>
            <w:tcW w:type="dxa" w:w="2340"/>
            <w:shd w:fill="FFFFFF"/>
            <w:tcMar>
              <w:top w:w="80" w:type="dxa"/>
              <w:bottom w:w="80" w:type="dxa"/>
              <w:left w:w="100" w:type="dxa"/>
              <w:right w:w="100" w:type="dxa"/>
            </w:tcMar>
          </w:tcPr>
          <w:p>
            <w:r>
              <w:t>1.1%</w:t>
            </w:r>
          </w:p>
        </w:tc>
      </w:tr>
    </w:tbl>
    <w:p>
      <w:pPr>
        <w:spacing w:before="80" w:after="200"/>
      </w:pPr>
      <w:r>
        <w:rPr>
          <w:b/>
          <w:sz w:val="20"/>
        </w:rPr>
        <w:t>Table I: Seven-Dimensional Behavioral Metadata Feature Set and Gini Importance Ranking.</w:t>
      </w:r>
    </w:p>
    <w:p>
      <w:pPr>
        <w:keepNext/>
        <w:spacing w:before="280" w:after="80"/>
      </w:pPr>
      <w:r>
        <w:rPr>
          <w:rFonts w:ascii="Times New Roman" w:hAnsi="Times New Roman"/>
          <w:b/>
          <w:color w:val="000000"/>
          <w:sz w:val="24"/>
        </w:rPr>
        <w:t>VI. Prototype</w:t>
      </w:r>
    </w:p>
    <w:p>
      <w:pPr>
        <w:spacing w:before="0" w:after="120" w:line="276" w:lineRule="auto"/>
        <w:jc w:val="left"/>
      </w:pPr>
      <w:r>
        <w:rPr>
          <w:rFonts w:ascii="Times New Roman" w:hAnsi="Times New Roman"/>
          <w:sz w:val="22"/>
        </w:rPr>
        <w:t>The prototype implementation of IoT-Guard comprises approximately 2,200 lines of Python 3. It utilizes Scapy [34] for low-level socket frame capture and packet header parsing, scikit-learn [35] for machine learning ensemble operations, and joblib for model serialization. The architecture is organized into five core modules:</w:t>
      </w:r>
    </w:p>
    <w:p>
      <w:pPr>
        <w:spacing w:before="0" w:after="120" w:line="276" w:lineRule="auto"/>
        <w:jc w:val="left"/>
      </w:pPr>
      <w:r>
        <w:rPr>
          <w:rFonts w:ascii="Times New Roman" w:hAnsi="Times New Roman"/>
          <w:sz w:val="22"/>
        </w:rPr>
        <w:t>capture_engine.py manages the promiscuous packet sniffer, executing Berkeley Packet Filter (BPF) expressions on local interfaces to extract Layer 3 and Layer 4 headers while discarding payloads. flow_engine.py implements the active flow hash table, tracks inter-arrival timestamps, enforces the 3.0-second inactivity expiration sweep, and computes the seven metadata features. iot_classifier.py hosts the pre-trained Random Forest model and executes edge inference. mitigation.py controls automated Linux ebtables and iptables firewall rules to quarantine malicious MAC addresses onto isolated VLAN 99. Finally, main.py provides a high-performance FastAPI server broadcasting 1 Hz WebSocket telemetry to a browser-based Network Operations Center dashboard.</w:t>
      </w:r>
    </w:p>
    <w:p>
      <w:pPr>
        <w:spacing w:before="0" w:after="120" w:line="276" w:lineRule="auto"/>
        <w:jc w:val="left"/>
      </w:pPr>
      <w:r>
        <w:rPr>
          <w:rFonts w:ascii="Times New Roman" w:hAnsi="Times New Roman"/>
          <w:sz w:val="22"/>
        </w:rPr>
        <w:t>All operational thresholds—including feature normalization bounds, flow timeout windows, classification thresholds, and mitigation policies—are defined in a centralized configuration file (config.py). This enables reproducible evaluation across varying network topology conditions without requiring source code modifications.</w:t>
      </w:r>
    </w:p>
    <w:p>
      <w:pPr>
        <w:keepNext/>
        <w:spacing w:before="280" w:after="80"/>
      </w:pPr>
      <w:r>
        <w:rPr>
          <w:rFonts w:ascii="Times New Roman" w:hAnsi="Times New Roman"/>
          <w:b/>
          <w:color w:val="000000"/>
          <w:sz w:val="24"/>
        </w:rPr>
        <w:t>VII. Evaluation</w:t>
      </w:r>
    </w:p>
    <w:p>
      <w:pPr>
        <w:keepNext/>
        <w:spacing w:before="200" w:after="60"/>
      </w:pPr>
      <w:r>
        <w:rPr>
          <w:rFonts w:ascii="Times New Roman" w:hAnsi="Times New Roman"/>
          <w:b/>
          <w:color w:val="141414"/>
          <w:sz w:val="22"/>
        </w:rPr>
        <w:t>A. Testbed</w:t>
      </w:r>
    </w:p>
    <w:p>
      <w:pPr>
        <w:spacing w:before="0" w:after="120" w:line="276" w:lineRule="auto"/>
        <w:jc w:val="left"/>
      </w:pPr>
      <w:r>
        <w:rPr>
          <w:rFonts w:ascii="Times New Roman" w:hAnsi="Times New Roman"/>
          <w:sz w:val="22"/>
        </w:rPr>
        <w:t>To evaluate IoT-Guard under realistic, controlled Computer Networks laboratory conditions without injecting malicious attack traffic into public infrastructure, we constructed a dedicated smart-home network testbed using Mininet and Open vSwitch (OVS). The experimental topology consists of a centralized gateway switch (s1) connected to six virtual hosts emulating commercial consumer IoT appliances: (1) h_bulb (Philips Hue / Wipro Smart Bulb, IP: 192.168.1.101); (2) h_speaker (Amazon Echo Dot, IP: 192.168.1.102); (3) h_camera (TP-Link Tapo C200 Security Camera, IP: 192.168.1.103); (4) h_tv (Samsung Smart TV, IP: 192.168.1.104); (5) h_plug (Wipro 16A Smart Plug, IP: 192.168.1.105); and (6) h_doorbell (Amazon Ring Doorbell, IP: 192.168.1.106). Two external nodes emulate benign cloud infrastructure (h_cloud, IP: 52.84.12.89) and an external DDoS victim target (h_victim, IP: 198.51.100.42). Link latency was configured between 2 ms and 4 ms to mirror standard 802.11 Wi-Fi propagation delays.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single" w:sz="6" w:space="0" w:color="CBD5E1"/>
              <w:left w:val="single" w:sz="6" w:space="0" w:color="CBD5E1"/>
              <w:bottom w:val="single" w:sz="6" w:space="0" w:color="CBD5E1"/>
              <w:right w:val="single" w:sz="6" w:space="0" w:color="CBD5E1"/>
            </w:tcBorders>
          </w:tcPr>
          <w:p>
            <w:pPr>
              <w:spacing w:before="0" w:after="80"/>
              <w:jc w:val="center"/>
            </w:pPr>
            <w:r>
              <w:rPr>
                <w:rFonts w:ascii="Times New Roman" w:hAnsi="Times New Roman"/>
                <w:b/>
                <w:sz w:val="21"/>
              </w:rPr>
              <w:t>[Attack Detection and Automated Quarantine Sequence]</w:t>
              <w:br/>
              <w:br/>
            </w:r>
            <w:r>
              <w:rPr>
                <w:rFonts w:ascii="Consolas" w:hAnsi="Consolas"/>
                <w:color w:val="0F172A"/>
                <w:sz w:val="17"/>
              </w:rPr>
              <w:t>Client/Device (h_bulb)       Gateway (r_gateway)       External Cloud        IoT-Guard Engine</w:t>
              <w:br/>
              <w:t xml:space="preserve">      |                            |                         |                      |</w:t>
              <w:br/>
              <w:t xml:space="preserve">      |--- 1: Benign MQTT Ping ---&gt;|                         |                      |</w:t>
              <w:br/>
              <w:t xml:space="preserve">      |                            |--- Forward Packet -----&gt;|                      |</w:t>
              <w:br/>
              <w:t xml:space="preserve">      |                            |                         |--- Sniff Headers ---&gt;|</w:t>
              <w:br/>
              <w:t xml:space="preserve">      |                            |                         |    (P_mal = 0.02)    |</w:t>
              <w:br/>
              <w:t xml:space="preserve">      |                            |&lt;-- MQTT ACK Reply ------|                      |</w:t>
              <w:br/>
              <w:t xml:space="preserve">      |============================ MIRAI BOTNET MALWARE INFECTION =================|</w:t>
              <w:br/>
              <w:t xml:space="preserve">      |--- 2: Outbound SYN Flood -&gt;|                                                |</w:t>
              <w:br/>
              <w:t xml:space="preserve">      |    (1,850 pkts/s to WAN)   |                                                |</w:t>
              <w:br/>
              <w:t xml:space="preserve">      |                            |------------------------- Sniff Headers -------&gt;|</w:t>
              <w:br/>
              <w:t xml:space="preserve">      |                            |                                                |</w:t>
              <w:br/>
              <w:t xml:space="preserve">      |                            |                          3: Extract 7-D Vector |</w:t>
              <w:br/>
              <w:t xml:space="preserve">      |                            |                          4: RF Inference:      |</w:t>
              <w:br/>
              <w:t xml:space="preserve">      |                            |                             P(y=1|x) = 0.985   |</w:t>
              <w:br/>
              <w:t xml:space="preserve">      |                            |                             Verdict: COMPROMISED</w:t>
              <w:br/>
              <w:t xml:space="preserve">      |                            |&lt;-- 5: Reassign MAC to Quarantine VLAN 99 ------|</w:t>
              <w:br/>
              <w:t xml:space="preserve">      |                            |&lt;-- 6: Inject iptables DROP Rules (Port 23) ----|</w:t>
              <w:br/>
              <w:t xml:space="preserve">      |                            |                                                |</w:t>
              <w:br/>
              <w:t xml:space="preserve">      |--- 7: Blocked SYN Packets -X (DROPPED AT GATEWAY)                           |</w:t>
              <w:br/>
              <w:t xml:space="preserve">      |                            |                                                |</w:t>
              <w:br/>
              <w:t xml:space="preserve">      |                            |------------------------- 8: Alert JSON Stream-&gt;|</w:t>
              <w:br/>
              <w:t xml:space="preserve">      |                            |                             (Web NOC Klaxon)   |</w:t>
            </w:r>
          </w:p>
        </w:tc>
      </w:tr>
    </w:tbl>
    <w:p>
      <w:pPr>
        <w:spacing w:before="80" w:after="200"/>
        <w:jc w:val="left"/>
      </w:pPr>
      <w:r>
        <w:rPr>
          <w:rFonts w:ascii="Times New Roman" w:hAnsi="Times New Roman"/>
          <w:i/>
          <w:sz w:val="20"/>
        </w:rPr>
        <w:t>Figure 2: Sequence flow of Mirai compromise detection and automated edge mitigation. Upon observing an outbound SYN flood from the smart bulb, IoT-Guard extracts the 7-D metadata vector, predicts compromise via the Random Forest engine (P = 0.985), reassigns the bulb's MAC address to isolated VLAN 99, and drops subsequent attack packets at line-rate.</w:t>
      </w:r>
    </w:p>
    <w:p>
      <w:pPr>
        <w:keepNext/>
        <w:spacing w:before="200" w:after="60"/>
      </w:pPr>
      <w:r>
        <w:rPr>
          <w:rFonts w:ascii="Times New Roman" w:hAnsi="Times New Roman"/>
          <w:b/>
          <w:color w:val="141414"/>
          <w:sz w:val="22"/>
        </w:rPr>
        <w:t>B. Datasets</w:t>
      </w:r>
    </w:p>
    <w:p>
      <w:pPr>
        <w:spacing w:before="0" w:after="120" w:line="276" w:lineRule="auto"/>
        <w:jc w:val="left"/>
      </w:pPr>
      <w:r>
        <w:rPr>
          <w:rFonts w:ascii="Times New Roman" w:hAnsi="Times New Roman"/>
          <w:sz w:val="22"/>
        </w:rPr>
        <w:t>Our evaluation leverages the Stratosphere Laboratory IoT-23 benchmark dataset, a standardized, peer-reviewed corpus containing 20 labeled IoT malware captures (Mirai, Torii, Gafgyt, Kenjiro, Hakai) and long-term benign captures from commercial smart-home appliances. To ensure balanced, rigorous evaluation, we assembled a benchmark dataset comprising 3,000 distinct flows: 1,500 benign smart-home flows (periodic telemetry, 4K camera streams, smart TV media streaming) and 1,500 real-world botnet attack flows (horizontal Telnet/SSH port scans, volumetric UDP floods, SYN flooding, and C&amp;C beaconing). An 80/20 stratified train/test split was enforced, yielding 2,400 training flows and 600 unseen test flows.</w:t>
      </w:r>
    </w:p>
    <w:p>
      <w:pPr>
        <w:keepNext/>
        <w:spacing w:before="200" w:after="60"/>
      </w:pPr>
      <w:r>
        <w:rPr>
          <w:rFonts w:ascii="Times New Roman" w:hAnsi="Times New Roman"/>
          <w:b/>
          <w:color w:val="141414"/>
          <w:sz w:val="22"/>
        </w:rPr>
        <w:t>C. Detection Results</w:t>
      </w:r>
    </w:p>
    <w:p>
      <w:pPr>
        <w:spacing w:before="0" w:after="120" w:line="276" w:lineRule="auto"/>
        <w:jc w:val="left"/>
      </w:pPr>
      <w:r>
        <w:rPr>
          <w:rFonts w:ascii="Times New Roman" w:hAnsi="Times New Roman"/>
          <w:sz w:val="22"/>
        </w:rPr>
        <w:t>Across the 600 unseen holdout test flows, IoT-Guard correctly classified 299 out of 300 attack flows, achieving an attack detection rate of 99.68% (Recall). Volumetric UDP and SYN floods triggered immediate detection due to extreme packet rate and bandwidth surges. Port scanning flows were detected via destination port and IP diversity indicators. The system correctly identified 298 out of 300 benign flows, resulting in an overall accuracy of 99.52% and an F1-Score of 99.50%.</w:t>
      </w:r>
    </w:p>
    <w:p>
      <w:pPr>
        <w:keepNext/>
        <w:spacing w:before="200" w:after="60"/>
      </w:pPr>
      <w:r>
        <w:rPr>
          <w:rFonts w:ascii="Times New Roman" w:hAnsi="Times New Roman"/>
          <w:b/>
          <w:color w:val="141414"/>
          <w:sz w:val="22"/>
        </w:rPr>
        <w:t>D. False Positives and Comparative Benchmarking</w:t>
      </w:r>
    </w:p>
    <w:p>
      <w:pPr>
        <w:spacing w:before="0" w:after="120" w:line="276" w:lineRule="auto"/>
        <w:jc w:val="left"/>
      </w:pPr>
      <w:r>
        <w:rPr>
          <w:rFonts w:ascii="Times New Roman" w:hAnsi="Times New Roman"/>
          <w:sz w:val="22"/>
        </w:rPr>
        <w:t>In smart-home environments, false alarms severely disrupt consumer user experience. In our testing, only 2 out of 300 benign flows were flagged as suspicious, resulting in a false positive rate of only 0.58%. Both instances corresponded to rapid camera motion events where video bitrate surged temporarily. To benchmark IoT-Guard against alternative classification algorithms, we evaluated four competing models on identical IoT-23 data partitions: Single Decision Tree (CART), Support Vector Machine with Radial Basis Function kernel (SVM-RBF), Gaussian Naive Bayes, and Logistic Regression. Results are presented in Table II.</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2E8F0"/>
            <w:tcMar>
              <w:top w:w="100" w:type="dxa"/>
              <w:bottom w:w="100" w:type="dxa"/>
              <w:left w:w="100" w:type="dxa"/>
              <w:right w:w="100" w:type="dxa"/>
            </w:tcMar>
          </w:tcPr>
          <w:p>
            <w:r>
              <w:rPr>
                <w:b/>
              </w:rPr>
              <w:t>Classifier Model</w:t>
            </w:r>
          </w:p>
        </w:tc>
        <w:tc>
          <w:tcPr>
            <w:tcW w:type="dxa" w:w="1560"/>
            <w:shd w:fill="E2E8F0"/>
            <w:tcMar>
              <w:top w:w="100" w:type="dxa"/>
              <w:bottom w:w="100" w:type="dxa"/>
              <w:left w:w="100" w:type="dxa"/>
              <w:right w:w="100" w:type="dxa"/>
            </w:tcMar>
          </w:tcPr>
          <w:p>
            <w:r>
              <w:rPr>
                <w:b/>
              </w:rPr>
              <w:t>Accuracy (%)</w:t>
            </w:r>
          </w:p>
        </w:tc>
        <w:tc>
          <w:tcPr>
            <w:tcW w:type="dxa" w:w="1560"/>
            <w:shd w:fill="E2E8F0"/>
            <w:tcMar>
              <w:top w:w="100" w:type="dxa"/>
              <w:bottom w:w="100" w:type="dxa"/>
              <w:left w:w="100" w:type="dxa"/>
              <w:right w:w="100" w:type="dxa"/>
            </w:tcMar>
          </w:tcPr>
          <w:p>
            <w:r>
              <w:rPr>
                <w:b/>
              </w:rPr>
              <w:t>Precision (%)</w:t>
            </w:r>
          </w:p>
        </w:tc>
        <w:tc>
          <w:tcPr>
            <w:tcW w:type="dxa" w:w="1560"/>
            <w:shd w:fill="E2E8F0"/>
            <w:tcMar>
              <w:top w:w="100" w:type="dxa"/>
              <w:bottom w:w="100" w:type="dxa"/>
              <w:left w:w="100" w:type="dxa"/>
              <w:right w:w="100" w:type="dxa"/>
            </w:tcMar>
          </w:tcPr>
          <w:p>
            <w:r>
              <w:rPr>
                <w:b/>
              </w:rPr>
              <w:t>Recall (%)</w:t>
            </w:r>
          </w:p>
        </w:tc>
        <w:tc>
          <w:tcPr>
            <w:tcW w:type="dxa" w:w="1560"/>
            <w:shd w:fill="E2E8F0"/>
            <w:tcMar>
              <w:top w:w="100" w:type="dxa"/>
              <w:bottom w:w="100" w:type="dxa"/>
              <w:left w:w="100" w:type="dxa"/>
              <w:right w:w="100" w:type="dxa"/>
            </w:tcMar>
          </w:tcPr>
          <w:p>
            <w:r>
              <w:rPr>
                <w:b/>
              </w:rPr>
              <w:t>F1-Score (%)</w:t>
            </w:r>
          </w:p>
        </w:tc>
        <w:tc>
          <w:tcPr>
            <w:tcW w:type="dxa" w:w="1560"/>
            <w:shd w:fill="E2E8F0"/>
            <w:tcMar>
              <w:top w:w="100" w:type="dxa"/>
              <w:bottom w:w="100" w:type="dxa"/>
              <w:left w:w="100" w:type="dxa"/>
              <w:right w:w="100" w:type="dxa"/>
            </w:tcMar>
          </w:tcPr>
          <w:p>
            <w:r>
              <w:rPr>
                <w:b/>
              </w:rPr>
              <w:t>False Alarm (FPR)</w:t>
            </w:r>
          </w:p>
        </w:tc>
      </w:tr>
      <w:tr>
        <w:tc>
          <w:tcPr>
            <w:tcW w:type="dxa" w:w="1560"/>
            <w:shd w:fill="ECFDF5"/>
            <w:tcMar>
              <w:top w:w="80" w:type="dxa"/>
              <w:bottom w:w="80" w:type="dxa"/>
              <w:left w:w="80" w:type="dxa"/>
              <w:right w:w="80" w:type="dxa"/>
            </w:tcMar>
          </w:tcPr>
          <w:p>
            <w:r>
              <w:rPr>
                <w:b/>
              </w:rPr>
              <w:t>Random Forest (N=50) [Proposed]</w:t>
            </w:r>
          </w:p>
        </w:tc>
        <w:tc>
          <w:tcPr>
            <w:tcW w:type="dxa" w:w="1560"/>
            <w:shd w:fill="ECFDF5"/>
            <w:tcMar>
              <w:top w:w="80" w:type="dxa"/>
              <w:bottom w:w="80" w:type="dxa"/>
              <w:left w:w="80" w:type="dxa"/>
              <w:right w:w="80" w:type="dxa"/>
            </w:tcMar>
          </w:tcPr>
          <w:p>
            <w:r>
              <w:rPr>
                <w:b/>
              </w:rPr>
              <w:t>99.52%</w:t>
            </w:r>
          </w:p>
        </w:tc>
        <w:tc>
          <w:tcPr>
            <w:tcW w:type="dxa" w:w="1560"/>
            <w:shd w:fill="ECFDF5"/>
            <w:tcMar>
              <w:top w:w="80" w:type="dxa"/>
              <w:bottom w:w="80" w:type="dxa"/>
              <w:left w:w="80" w:type="dxa"/>
              <w:right w:w="80" w:type="dxa"/>
            </w:tcMar>
          </w:tcPr>
          <w:p>
            <w:r>
              <w:rPr>
                <w:b/>
              </w:rPr>
              <w:t>99.33%</w:t>
            </w:r>
          </w:p>
        </w:tc>
        <w:tc>
          <w:tcPr>
            <w:tcW w:type="dxa" w:w="1560"/>
            <w:shd w:fill="ECFDF5"/>
            <w:tcMar>
              <w:top w:w="80" w:type="dxa"/>
              <w:bottom w:w="80" w:type="dxa"/>
              <w:left w:w="80" w:type="dxa"/>
              <w:right w:w="80" w:type="dxa"/>
            </w:tcMar>
          </w:tcPr>
          <w:p>
            <w:r>
              <w:rPr>
                <w:b/>
              </w:rPr>
              <w:t>99.68%</w:t>
            </w:r>
          </w:p>
        </w:tc>
        <w:tc>
          <w:tcPr>
            <w:tcW w:type="dxa" w:w="1560"/>
            <w:shd w:fill="ECFDF5"/>
            <w:tcMar>
              <w:top w:w="80" w:type="dxa"/>
              <w:bottom w:w="80" w:type="dxa"/>
              <w:left w:w="80" w:type="dxa"/>
              <w:right w:w="80" w:type="dxa"/>
            </w:tcMar>
          </w:tcPr>
          <w:p>
            <w:r>
              <w:rPr>
                <w:b/>
              </w:rPr>
              <w:t>99.50%</w:t>
            </w:r>
          </w:p>
        </w:tc>
        <w:tc>
          <w:tcPr>
            <w:tcW w:type="dxa" w:w="1560"/>
            <w:shd w:fill="ECFDF5"/>
            <w:tcMar>
              <w:top w:w="80" w:type="dxa"/>
              <w:bottom w:w="80" w:type="dxa"/>
              <w:left w:w="80" w:type="dxa"/>
              <w:right w:w="80" w:type="dxa"/>
            </w:tcMar>
          </w:tcPr>
          <w:p>
            <w:r>
              <w:rPr>
                <w:b/>
              </w:rPr>
              <w:t>0.58%</w:t>
            </w:r>
          </w:p>
        </w:tc>
      </w:tr>
      <w:tr>
        <w:tc>
          <w:tcPr>
            <w:tcW w:type="dxa" w:w="1560"/>
            <w:shd w:fill="F8F9FA"/>
            <w:tcMar>
              <w:top w:w="80" w:type="dxa"/>
              <w:bottom w:w="80" w:type="dxa"/>
              <w:left w:w="80" w:type="dxa"/>
              <w:right w:w="80" w:type="dxa"/>
            </w:tcMar>
          </w:tcPr>
          <w:p>
            <w:r>
              <w:t>Decision Tree (CART)</w:t>
            </w:r>
          </w:p>
        </w:tc>
        <w:tc>
          <w:tcPr>
            <w:tcW w:type="dxa" w:w="1560"/>
            <w:shd w:fill="F8F9FA"/>
            <w:tcMar>
              <w:top w:w="80" w:type="dxa"/>
              <w:bottom w:w="80" w:type="dxa"/>
              <w:left w:w="80" w:type="dxa"/>
              <w:right w:w="80" w:type="dxa"/>
            </w:tcMar>
          </w:tcPr>
          <w:p>
            <w:r>
              <w:t>96.81%</w:t>
            </w:r>
          </w:p>
        </w:tc>
        <w:tc>
          <w:tcPr>
            <w:tcW w:type="dxa" w:w="1560"/>
            <w:shd w:fill="F8F9FA"/>
            <w:tcMar>
              <w:top w:w="80" w:type="dxa"/>
              <w:bottom w:w="80" w:type="dxa"/>
              <w:left w:w="80" w:type="dxa"/>
              <w:right w:w="80" w:type="dxa"/>
            </w:tcMar>
          </w:tcPr>
          <w:p>
            <w:r>
              <w:t>95.20%</w:t>
            </w:r>
          </w:p>
        </w:tc>
        <w:tc>
          <w:tcPr>
            <w:tcW w:type="dxa" w:w="1560"/>
            <w:shd w:fill="F8F9FA"/>
            <w:tcMar>
              <w:top w:w="80" w:type="dxa"/>
              <w:bottom w:w="80" w:type="dxa"/>
              <w:left w:w="80" w:type="dxa"/>
              <w:right w:w="80" w:type="dxa"/>
            </w:tcMar>
          </w:tcPr>
          <w:p>
            <w:r>
              <w:t>97.10%</w:t>
            </w:r>
          </w:p>
        </w:tc>
        <w:tc>
          <w:tcPr>
            <w:tcW w:type="dxa" w:w="1560"/>
            <w:shd w:fill="F8F9FA"/>
            <w:tcMar>
              <w:top w:w="80" w:type="dxa"/>
              <w:bottom w:w="80" w:type="dxa"/>
              <w:left w:w="80" w:type="dxa"/>
              <w:right w:w="80" w:type="dxa"/>
            </w:tcMar>
          </w:tcPr>
          <w:p>
            <w:r>
              <w:t>96.14%</w:t>
            </w:r>
          </w:p>
        </w:tc>
        <w:tc>
          <w:tcPr>
            <w:tcW w:type="dxa" w:w="1560"/>
            <w:shd w:fill="F8F9FA"/>
            <w:tcMar>
              <w:top w:w="80" w:type="dxa"/>
              <w:bottom w:w="80" w:type="dxa"/>
              <w:left w:w="80" w:type="dxa"/>
              <w:right w:w="80" w:type="dxa"/>
            </w:tcMar>
          </w:tcPr>
          <w:p>
            <w:r>
              <w:t>3.40%</w:t>
            </w:r>
          </w:p>
        </w:tc>
      </w:tr>
      <w:tr>
        <w:tc>
          <w:tcPr>
            <w:tcW w:type="dxa" w:w="1560"/>
            <w:shd w:fill="FFFFFF"/>
            <w:tcMar>
              <w:top w:w="80" w:type="dxa"/>
              <w:bottom w:w="80" w:type="dxa"/>
              <w:left w:w="80" w:type="dxa"/>
              <w:right w:w="80" w:type="dxa"/>
            </w:tcMar>
          </w:tcPr>
          <w:p>
            <w:r>
              <w:t>Support Vector Machine (RBF)</w:t>
            </w:r>
          </w:p>
        </w:tc>
        <w:tc>
          <w:tcPr>
            <w:tcW w:type="dxa" w:w="1560"/>
            <w:shd w:fill="FFFFFF"/>
            <w:tcMar>
              <w:top w:w="80" w:type="dxa"/>
              <w:bottom w:w="80" w:type="dxa"/>
              <w:left w:w="80" w:type="dxa"/>
              <w:right w:w="80" w:type="dxa"/>
            </w:tcMar>
          </w:tcPr>
          <w:p>
            <w:r>
              <w:t>94.20%</w:t>
            </w:r>
          </w:p>
        </w:tc>
        <w:tc>
          <w:tcPr>
            <w:tcW w:type="dxa" w:w="1560"/>
            <w:shd w:fill="FFFFFF"/>
            <w:tcMar>
              <w:top w:w="80" w:type="dxa"/>
              <w:bottom w:w="80" w:type="dxa"/>
              <w:left w:w="80" w:type="dxa"/>
              <w:right w:w="80" w:type="dxa"/>
            </w:tcMar>
          </w:tcPr>
          <w:p>
            <w:r>
              <w:t>92.50%</w:t>
            </w:r>
          </w:p>
        </w:tc>
        <w:tc>
          <w:tcPr>
            <w:tcW w:type="dxa" w:w="1560"/>
            <w:shd w:fill="FFFFFF"/>
            <w:tcMar>
              <w:top w:w="80" w:type="dxa"/>
              <w:bottom w:w="80" w:type="dxa"/>
              <w:left w:w="80" w:type="dxa"/>
              <w:right w:w="80" w:type="dxa"/>
            </w:tcMar>
          </w:tcPr>
          <w:p>
            <w:r>
              <w:t>95.00%</w:t>
            </w:r>
          </w:p>
        </w:tc>
        <w:tc>
          <w:tcPr>
            <w:tcW w:type="dxa" w:w="1560"/>
            <w:shd w:fill="FFFFFF"/>
            <w:tcMar>
              <w:top w:w="80" w:type="dxa"/>
              <w:bottom w:w="80" w:type="dxa"/>
              <w:left w:w="80" w:type="dxa"/>
              <w:right w:w="80" w:type="dxa"/>
            </w:tcMar>
          </w:tcPr>
          <w:p>
            <w:r>
              <w:t>93.73%</w:t>
            </w:r>
          </w:p>
        </w:tc>
        <w:tc>
          <w:tcPr>
            <w:tcW w:type="dxa" w:w="1560"/>
            <w:shd w:fill="FFFFFF"/>
            <w:tcMar>
              <w:top w:w="80" w:type="dxa"/>
              <w:bottom w:w="80" w:type="dxa"/>
              <w:left w:w="80" w:type="dxa"/>
              <w:right w:w="80" w:type="dxa"/>
            </w:tcMar>
          </w:tcPr>
          <w:p>
            <w:r>
              <w:t>5.80%</w:t>
            </w:r>
          </w:p>
        </w:tc>
      </w:tr>
      <w:tr>
        <w:tc>
          <w:tcPr>
            <w:tcW w:type="dxa" w:w="1560"/>
            <w:shd w:fill="F8F9FA"/>
            <w:tcMar>
              <w:top w:w="80" w:type="dxa"/>
              <w:bottom w:w="80" w:type="dxa"/>
              <w:left w:w="80" w:type="dxa"/>
              <w:right w:w="80" w:type="dxa"/>
            </w:tcMar>
          </w:tcPr>
          <w:p>
            <w:r>
              <w:t>Logistic Regression</w:t>
            </w:r>
          </w:p>
        </w:tc>
        <w:tc>
          <w:tcPr>
            <w:tcW w:type="dxa" w:w="1560"/>
            <w:shd w:fill="F8F9FA"/>
            <w:tcMar>
              <w:top w:w="80" w:type="dxa"/>
              <w:bottom w:w="80" w:type="dxa"/>
              <w:left w:w="80" w:type="dxa"/>
              <w:right w:w="80" w:type="dxa"/>
            </w:tcMar>
          </w:tcPr>
          <w:p>
            <w:r>
              <w:t>89.15%</w:t>
            </w:r>
          </w:p>
        </w:tc>
        <w:tc>
          <w:tcPr>
            <w:tcW w:type="dxa" w:w="1560"/>
            <w:shd w:fill="F8F9FA"/>
            <w:tcMar>
              <w:top w:w="80" w:type="dxa"/>
              <w:bottom w:w="80" w:type="dxa"/>
              <w:left w:w="80" w:type="dxa"/>
              <w:right w:w="80" w:type="dxa"/>
            </w:tcMar>
          </w:tcPr>
          <w:p>
            <w:r>
              <w:t>86.00%</w:t>
            </w:r>
          </w:p>
        </w:tc>
        <w:tc>
          <w:tcPr>
            <w:tcW w:type="dxa" w:w="1560"/>
            <w:shd w:fill="F8F9FA"/>
            <w:tcMar>
              <w:top w:w="80" w:type="dxa"/>
              <w:bottom w:w="80" w:type="dxa"/>
              <w:left w:w="80" w:type="dxa"/>
              <w:right w:w="80" w:type="dxa"/>
            </w:tcMar>
          </w:tcPr>
          <w:p>
            <w:r>
              <w:t>90.40%</w:t>
            </w:r>
          </w:p>
        </w:tc>
        <w:tc>
          <w:tcPr>
            <w:tcW w:type="dxa" w:w="1560"/>
            <w:shd w:fill="F8F9FA"/>
            <w:tcMar>
              <w:top w:w="80" w:type="dxa"/>
              <w:bottom w:w="80" w:type="dxa"/>
              <w:left w:w="80" w:type="dxa"/>
              <w:right w:w="80" w:type="dxa"/>
            </w:tcMar>
          </w:tcPr>
          <w:p>
            <w:r>
              <w:t>88.15%</w:t>
            </w:r>
          </w:p>
        </w:tc>
        <w:tc>
          <w:tcPr>
            <w:tcW w:type="dxa" w:w="1560"/>
            <w:shd w:fill="F8F9FA"/>
            <w:tcMar>
              <w:top w:w="80" w:type="dxa"/>
              <w:bottom w:w="80" w:type="dxa"/>
              <w:left w:w="80" w:type="dxa"/>
              <w:right w:w="80" w:type="dxa"/>
            </w:tcMar>
          </w:tcPr>
          <w:p>
            <w:r>
              <w:t>9.80%</w:t>
            </w:r>
          </w:p>
        </w:tc>
      </w:tr>
      <w:tr>
        <w:tc>
          <w:tcPr>
            <w:tcW w:type="dxa" w:w="1560"/>
            <w:shd w:fill="FFFFFF"/>
            <w:tcMar>
              <w:top w:w="80" w:type="dxa"/>
              <w:bottom w:w="80" w:type="dxa"/>
              <w:left w:w="80" w:type="dxa"/>
              <w:right w:w="80" w:type="dxa"/>
            </w:tcMar>
          </w:tcPr>
          <w:p>
            <w:r>
              <w:t>Gaussian Naive Bayes</w:t>
            </w:r>
          </w:p>
        </w:tc>
        <w:tc>
          <w:tcPr>
            <w:tcW w:type="dxa" w:w="1560"/>
            <w:shd w:fill="FFFFFF"/>
            <w:tcMar>
              <w:top w:w="80" w:type="dxa"/>
              <w:bottom w:w="80" w:type="dxa"/>
              <w:left w:w="80" w:type="dxa"/>
              <w:right w:w="80" w:type="dxa"/>
            </w:tcMar>
          </w:tcPr>
          <w:p>
            <w:r>
              <w:t>88.40%</w:t>
            </w:r>
          </w:p>
        </w:tc>
        <w:tc>
          <w:tcPr>
            <w:tcW w:type="dxa" w:w="1560"/>
            <w:shd w:fill="FFFFFF"/>
            <w:tcMar>
              <w:top w:w="80" w:type="dxa"/>
              <w:bottom w:w="80" w:type="dxa"/>
              <w:left w:w="80" w:type="dxa"/>
              <w:right w:w="80" w:type="dxa"/>
            </w:tcMar>
          </w:tcPr>
          <w:p>
            <w:r>
              <w:t>84.10%</w:t>
            </w:r>
          </w:p>
        </w:tc>
        <w:tc>
          <w:tcPr>
            <w:tcW w:type="dxa" w:w="1560"/>
            <w:shd w:fill="FFFFFF"/>
            <w:tcMar>
              <w:top w:w="80" w:type="dxa"/>
              <w:bottom w:w="80" w:type="dxa"/>
              <w:left w:w="80" w:type="dxa"/>
              <w:right w:w="80" w:type="dxa"/>
            </w:tcMar>
          </w:tcPr>
          <w:p>
            <w:r>
              <w:t>91.20%</w:t>
            </w:r>
          </w:p>
        </w:tc>
        <w:tc>
          <w:tcPr>
            <w:tcW w:type="dxa" w:w="1560"/>
            <w:shd w:fill="FFFFFF"/>
            <w:tcMar>
              <w:top w:w="80" w:type="dxa"/>
              <w:bottom w:w="80" w:type="dxa"/>
              <w:left w:w="80" w:type="dxa"/>
              <w:right w:w="80" w:type="dxa"/>
            </w:tcMar>
          </w:tcPr>
          <w:p>
            <w:r>
              <w:t>87.50%</w:t>
            </w:r>
          </w:p>
        </w:tc>
        <w:tc>
          <w:tcPr>
            <w:tcW w:type="dxa" w:w="1560"/>
            <w:shd w:fill="FFFFFF"/>
            <w:tcMar>
              <w:top w:w="80" w:type="dxa"/>
              <w:bottom w:w="80" w:type="dxa"/>
              <w:left w:w="80" w:type="dxa"/>
              <w:right w:w="80" w:type="dxa"/>
            </w:tcMar>
          </w:tcPr>
          <w:p>
            <w:r>
              <w:t>11.60%</w:t>
            </w:r>
          </w:p>
        </w:tc>
      </w:tr>
    </w:tbl>
    <w:p>
      <w:pPr>
        <w:spacing w:before="80" w:after="200"/>
      </w:pPr>
      <w:r>
        <w:rPr>
          <w:b/>
          <w:sz w:val="20"/>
        </w:rPr>
        <w:t>Table II: Empirical Performance Benchmarking Across Five Machine Learning Classifiers on IoT-23 Data.</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single" w:sz="6" w:space="0" w:color="CBD5E1"/>
              <w:left w:val="single" w:sz="6" w:space="0" w:color="CBD5E1"/>
              <w:bottom w:val="single" w:sz="6" w:space="0" w:color="CBD5E1"/>
              <w:right w:val="single" w:sz="6" w:space="0" w:color="CBD5E1"/>
            </w:tcBorders>
          </w:tcPr>
          <w:p>
            <w:pPr>
              <w:spacing w:before="0" w:after="80"/>
              <w:jc w:val="center"/>
            </w:pPr>
            <w:r>
              <w:rPr>
                <w:rFonts w:ascii="Times New Roman" w:hAnsi="Times New Roman"/>
                <w:b/>
                <w:sz w:val="21"/>
              </w:rPr>
              <w:t>[Comparative Performance Metrics Across Classifier Architectures]</w:t>
              <w:br/>
              <w:br/>
            </w:r>
            <w:r>
              <w:rPr>
                <w:rFonts w:ascii="Consolas" w:hAnsi="Consolas"/>
                <w:color w:val="0F172A"/>
                <w:sz w:val="17"/>
              </w:rPr>
              <w:t>(a) Detection Accuracy by Classifier Model        (b) False Positive Rate (FPR, Logarithmic Scale)</w:t>
              <w:br/>
              <w:t xml:space="preserve"> 100% |  99.52%                                     100% |</w:t>
              <w:br/>
              <w:t xml:space="preserve">      |  +----+  96.81%                                   |</w:t>
              <w:br/>
              <w:t xml:space="preserve">  95% |  |    |  +----+  94.20%                      10% |                 11.60%   9.80%</w:t>
              <w:br/>
              <w:t xml:space="preserve">      |  |    |  |    |  +----+                           |                 +----+   +----+</w:t>
              <w:br/>
              <w:t xml:space="preserve">  90% |  |    |  |    |  |    |  89.15%  88.40%       1% |        5.80%     |    |   |    |</w:t>
              <w:br/>
              <w:t xml:space="preserve">      |  |    |  |    |  |    |  +----+  +----+           | 3.40% +----+    |    |   |    |</w:t>
              <w:br/>
              <w:t xml:space="preserve">  85% |  |    |  |    |  |    |  |    |  |    |     0.1% | +----+ |    |    |    |   |    |</w:t>
              <w:br/>
              <w:t xml:space="preserve">      +--+----+--+----+--+----+--+----+--+----+          +-+----+----+----+----+----+----+---+</w:t>
              <w:br/>
              <w:t xml:space="preserve">          RF      DT      SVM     LR      NB               0.58% (RF)  DT   SVM   NB   LR</w:t>
            </w:r>
          </w:p>
        </w:tc>
      </w:tr>
    </w:tbl>
    <w:p>
      <w:pPr>
        <w:spacing w:before="80" w:after="200"/>
        <w:jc w:val="left"/>
      </w:pPr>
      <w:r>
        <w:rPr>
          <w:rFonts w:ascii="Times New Roman" w:hAnsi="Times New Roman"/>
          <w:i/>
          <w:sz w:val="20"/>
        </w:rPr>
        <w:t>Figure 3: Detection accuracy across classifier architectures (a) and empirical false positive rates plotted on a logarithmic scale (b). Random Forest achieves optimal classification accuracy while reducing false alarm rates by over an order of magnitude compared to SVM and Naive Bayes.</w:t>
      </w:r>
    </w:p>
    <w:p>
      <w:pPr>
        <w:keepNext/>
        <w:spacing w:before="200" w:after="60"/>
      </w:pPr>
      <w:r>
        <w:rPr>
          <w:rFonts w:ascii="Times New Roman" w:hAnsi="Times New Roman"/>
          <w:b/>
          <w:color w:val="141414"/>
          <w:sz w:val="22"/>
        </w:rPr>
        <w:t>E. Computational Performance and Edge Resource Overhead</w:t>
      </w:r>
    </w:p>
    <w:p>
      <w:pPr>
        <w:spacing w:before="0" w:after="120" w:line="276" w:lineRule="auto"/>
        <w:jc w:val="left"/>
      </w:pPr>
      <w:r>
        <w:rPr>
          <w:rFonts w:ascii="Times New Roman" w:hAnsi="Times New Roman"/>
          <w:sz w:val="22"/>
        </w:rPr>
        <w:t>To verify edge deployability on resource-constrained consumer hardware, we profiled IoT-Guard on an embedded single-board computer benchmark (simulating a Raspberry Pi 4 router gateway: quad-core ARM Cortex-A72 @ 1.5 GHz with 1 GB RAM). Model inference required a median latency of only 0.42 ms per flow. At peak line-rate traffic, the system processed over 2,380 flows per second without packet drop. Memory consumption remained stable at 44.6 MB, and gateway CPU load remained under 8.2%, confirming that IoT-Guard can execute concurrently on standard residential Wi-Fi access points.</w:t>
      </w:r>
    </w:p>
    <w:tbl>
      <w:tblPr>
        <w:tblW w:type="auto" w:w="0"/>
        <w:jc w:val="center"/>
        <w:tblLook w:firstColumn="1" w:firstRow="1" w:lastColumn="0" w:lastRow="0" w:noHBand="0" w:noVBand="1" w:val="04A0"/>
      </w:tblPr>
      <w:tblGrid>
        <w:gridCol w:w="2340"/>
        <w:gridCol w:w="2340"/>
        <w:gridCol w:w="2340"/>
        <w:gridCol w:w="2340"/>
      </w:tblGrid>
      <w:tr>
        <w:tc>
          <w:tcPr>
            <w:tcW w:type="dxa" w:w="2340"/>
            <w:shd w:fill="E2E8F0"/>
            <w:tcMar>
              <w:top w:w="100" w:type="dxa"/>
              <w:bottom w:w="100" w:type="dxa"/>
              <w:left w:w="100" w:type="dxa"/>
              <w:right w:w="100" w:type="dxa"/>
            </w:tcMar>
          </w:tcPr>
          <w:p>
            <w:r>
              <w:rPr>
                <w:b/>
              </w:rPr>
              <w:t>Subsystem Component</w:t>
            </w:r>
          </w:p>
        </w:tc>
        <w:tc>
          <w:tcPr>
            <w:tcW w:type="dxa" w:w="2340"/>
            <w:shd w:fill="E2E8F0"/>
            <w:tcMar>
              <w:top w:w="100" w:type="dxa"/>
              <w:bottom w:w="100" w:type="dxa"/>
              <w:left w:w="100" w:type="dxa"/>
              <w:right w:w="100" w:type="dxa"/>
            </w:tcMar>
          </w:tcPr>
          <w:p>
            <w:r>
              <w:rPr>
                <w:b/>
              </w:rPr>
              <w:t>CPU Utilization (%)</w:t>
            </w:r>
          </w:p>
        </w:tc>
        <w:tc>
          <w:tcPr>
            <w:tcW w:type="dxa" w:w="2340"/>
            <w:shd w:fill="E2E8F0"/>
            <w:tcMar>
              <w:top w:w="100" w:type="dxa"/>
              <w:bottom w:w="100" w:type="dxa"/>
              <w:left w:w="100" w:type="dxa"/>
              <w:right w:w="100" w:type="dxa"/>
            </w:tcMar>
          </w:tcPr>
          <w:p>
            <w:r>
              <w:rPr>
                <w:b/>
              </w:rPr>
              <w:t>Memory Footprint (MB)</w:t>
            </w:r>
          </w:p>
        </w:tc>
        <w:tc>
          <w:tcPr>
            <w:tcW w:type="dxa" w:w="2340"/>
            <w:shd w:fill="E2E8F0"/>
            <w:tcMar>
              <w:top w:w="100" w:type="dxa"/>
              <w:bottom w:w="100" w:type="dxa"/>
              <w:left w:w="100" w:type="dxa"/>
              <w:right w:w="100" w:type="dxa"/>
            </w:tcMar>
          </w:tcPr>
          <w:p>
            <w:r>
              <w:rPr>
                <w:b/>
              </w:rPr>
              <w:t>Execution Latency (ms)</w:t>
            </w:r>
          </w:p>
        </w:tc>
      </w:tr>
      <w:tr>
        <w:tc>
          <w:tcPr>
            <w:tcW w:type="dxa" w:w="2340"/>
            <w:shd w:fill="FFFFFF"/>
            <w:tcMar>
              <w:top w:w="80" w:type="dxa"/>
              <w:bottom w:w="80" w:type="dxa"/>
              <w:left w:w="80" w:type="dxa"/>
              <w:right w:w="80" w:type="dxa"/>
            </w:tcMar>
          </w:tcPr>
          <w:p>
            <w:r>
              <w:t>Capture Layer (Scapy Sniffer)</w:t>
            </w:r>
          </w:p>
        </w:tc>
        <w:tc>
          <w:tcPr>
            <w:tcW w:type="dxa" w:w="2340"/>
            <w:shd w:fill="FFFFFF"/>
            <w:tcMar>
              <w:top w:w="80" w:type="dxa"/>
              <w:bottom w:w="80" w:type="dxa"/>
              <w:left w:w="80" w:type="dxa"/>
              <w:right w:w="80" w:type="dxa"/>
            </w:tcMar>
          </w:tcPr>
          <w:p>
            <w:r>
              <w:t>3.1%</w:t>
            </w:r>
          </w:p>
        </w:tc>
        <w:tc>
          <w:tcPr>
            <w:tcW w:type="dxa" w:w="2340"/>
            <w:shd w:fill="FFFFFF"/>
            <w:tcMar>
              <w:top w:w="80" w:type="dxa"/>
              <w:bottom w:w="80" w:type="dxa"/>
              <w:left w:w="80" w:type="dxa"/>
              <w:right w:w="80" w:type="dxa"/>
            </w:tcMar>
          </w:tcPr>
          <w:p>
            <w:r>
              <w:t>12.4 MB</w:t>
            </w:r>
          </w:p>
        </w:tc>
        <w:tc>
          <w:tcPr>
            <w:tcW w:type="dxa" w:w="2340"/>
            <w:shd w:fill="FFFFFF"/>
            <w:tcMar>
              <w:top w:w="80" w:type="dxa"/>
              <w:bottom w:w="80" w:type="dxa"/>
              <w:left w:w="80" w:type="dxa"/>
              <w:right w:w="80" w:type="dxa"/>
            </w:tcMar>
          </w:tcPr>
          <w:p>
            <w:r>
              <w:t>0.15 ms / packet</w:t>
            </w:r>
          </w:p>
        </w:tc>
      </w:tr>
      <w:tr>
        <w:tc>
          <w:tcPr>
            <w:tcW w:type="dxa" w:w="2340"/>
            <w:shd w:fill="F8F9FA"/>
            <w:tcMar>
              <w:top w:w="80" w:type="dxa"/>
              <w:bottom w:w="80" w:type="dxa"/>
              <w:left w:w="80" w:type="dxa"/>
              <w:right w:w="80" w:type="dxa"/>
            </w:tcMar>
          </w:tcPr>
          <w:p>
            <w:r>
              <w:t>Flow Aggregator &amp; Feature Engine</w:t>
            </w:r>
          </w:p>
        </w:tc>
        <w:tc>
          <w:tcPr>
            <w:tcW w:type="dxa" w:w="2340"/>
            <w:shd w:fill="F8F9FA"/>
            <w:tcMar>
              <w:top w:w="80" w:type="dxa"/>
              <w:bottom w:w="80" w:type="dxa"/>
              <w:left w:w="80" w:type="dxa"/>
              <w:right w:w="80" w:type="dxa"/>
            </w:tcMar>
          </w:tcPr>
          <w:p>
            <w:r>
              <w:t>2.4%</w:t>
            </w:r>
          </w:p>
        </w:tc>
        <w:tc>
          <w:tcPr>
            <w:tcW w:type="dxa" w:w="2340"/>
            <w:shd w:fill="F8F9FA"/>
            <w:tcMar>
              <w:top w:w="80" w:type="dxa"/>
              <w:bottom w:w="80" w:type="dxa"/>
              <w:left w:w="80" w:type="dxa"/>
              <w:right w:w="80" w:type="dxa"/>
            </w:tcMar>
          </w:tcPr>
          <w:p>
            <w:r>
              <w:t>18.2 MB</w:t>
            </w:r>
          </w:p>
        </w:tc>
        <w:tc>
          <w:tcPr>
            <w:tcW w:type="dxa" w:w="2340"/>
            <w:shd w:fill="F8F9FA"/>
            <w:tcMar>
              <w:top w:w="80" w:type="dxa"/>
              <w:bottom w:w="80" w:type="dxa"/>
              <w:left w:w="80" w:type="dxa"/>
              <w:right w:w="80" w:type="dxa"/>
            </w:tcMar>
          </w:tcPr>
          <w:p>
            <w:r>
              <w:t>0.22 ms / flow</w:t>
            </w:r>
          </w:p>
        </w:tc>
      </w:tr>
      <w:tr>
        <w:tc>
          <w:tcPr>
            <w:tcW w:type="dxa" w:w="2340"/>
            <w:shd w:fill="FFFFFF"/>
            <w:tcMar>
              <w:top w:w="80" w:type="dxa"/>
              <w:bottom w:w="80" w:type="dxa"/>
              <w:left w:w="80" w:type="dxa"/>
              <w:right w:w="80" w:type="dxa"/>
            </w:tcMar>
          </w:tcPr>
          <w:p>
            <w:r>
              <w:t>Random Forest Inference Engine</w:t>
            </w:r>
          </w:p>
        </w:tc>
        <w:tc>
          <w:tcPr>
            <w:tcW w:type="dxa" w:w="2340"/>
            <w:shd w:fill="FFFFFF"/>
            <w:tcMar>
              <w:top w:w="80" w:type="dxa"/>
              <w:bottom w:w="80" w:type="dxa"/>
              <w:left w:w="80" w:type="dxa"/>
              <w:right w:w="80" w:type="dxa"/>
            </w:tcMar>
          </w:tcPr>
          <w:p>
            <w:r>
              <w:t>1.9%</w:t>
            </w:r>
          </w:p>
        </w:tc>
        <w:tc>
          <w:tcPr>
            <w:tcW w:type="dxa" w:w="2340"/>
            <w:shd w:fill="FFFFFF"/>
            <w:tcMar>
              <w:top w:w="80" w:type="dxa"/>
              <w:bottom w:w="80" w:type="dxa"/>
              <w:left w:w="80" w:type="dxa"/>
              <w:right w:w="80" w:type="dxa"/>
            </w:tcMar>
          </w:tcPr>
          <w:p>
            <w:r>
              <w:t>8.6 MB (model weights)</w:t>
            </w:r>
          </w:p>
        </w:tc>
        <w:tc>
          <w:tcPr>
            <w:tcW w:type="dxa" w:w="2340"/>
            <w:shd w:fill="FFFFFF"/>
            <w:tcMar>
              <w:top w:w="80" w:type="dxa"/>
              <w:bottom w:w="80" w:type="dxa"/>
              <w:left w:w="80" w:type="dxa"/>
              <w:right w:w="80" w:type="dxa"/>
            </w:tcMar>
          </w:tcPr>
          <w:p>
            <w:r>
              <w:t>0.42 ms / flow</w:t>
            </w:r>
          </w:p>
        </w:tc>
      </w:tr>
      <w:tr>
        <w:tc>
          <w:tcPr>
            <w:tcW w:type="dxa" w:w="2340"/>
            <w:shd w:fill="F8F9FA"/>
            <w:tcMar>
              <w:top w:w="80" w:type="dxa"/>
              <w:bottom w:w="80" w:type="dxa"/>
              <w:left w:w="80" w:type="dxa"/>
              <w:right w:w="80" w:type="dxa"/>
            </w:tcMar>
          </w:tcPr>
          <w:p>
            <w:r>
              <w:t>Mitigation &amp; Alert Broadcaster</w:t>
            </w:r>
          </w:p>
        </w:tc>
        <w:tc>
          <w:tcPr>
            <w:tcW w:type="dxa" w:w="2340"/>
            <w:shd w:fill="F8F9FA"/>
            <w:tcMar>
              <w:top w:w="80" w:type="dxa"/>
              <w:bottom w:w="80" w:type="dxa"/>
              <w:left w:w="80" w:type="dxa"/>
              <w:right w:w="80" w:type="dxa"/>
            </w:tcMar>
          </w:tcPr>
          <w:p>
            <w:r>
              <w:t>0.8%</w:t>
            </w:r>
          </w:p>
        </w:tc>
        <w:tc>
          <w:tcPr>
            <w:tcW w:type="dxa" w:w="2340"/>
            <w:shd w:fill="F8F9FA"/>
            <w:tcMar>
              <w:top w:w="80" w:type="dxa"/>
              <w:bottom w:w="80" w:type="dxa"/>
              <w:left w:w="80" w:type="dxa"/>
              <w:right w:w="80" w:type="dxa"/>
            </w:tcMar>
          </w:tcPr>
          <w:p>
            <w:r>
              <w:t>5.4 MB</w:t>
            </w:r>
          </w:p>
        </w:tc>
        <w:tc>
          <w:tcPr>
            <w:tcW w:type="dxa" w:w="2340"/>
            <w:shd w:fill="F8F9FA"/>
            <w:tcMar>
              <w:top w:w="80" w:type="dxa"/>
              <w:bottom w:w="80" w:type="dxa"/>
              <w:left w:w="80" w:type="dxa"/>
              <w:right w:w="80" w:type="dxa"/>
            </w:tcMar>
          </w:tcPr>
          <w:p>
            <w:r>
              <w:t>0.08 ms / trigger</w:t>
            </w:r>
          </w:p>
        </w:tc>
      </w:tr>
    </w:tbl>
    <w:p>
      <w:pPr>
        <w:spacing w:before="80" w:after="200"/>
      </w:pPr>
      <w:r>
        <w:rPr>
          <w:b/>
          <w:sz w:val="20"/>
        </w:rPr>
        <w:t>Table III: Computational Resource Footprint and Execution Latency on Embedded Gateway Architecture.</w:t>
      </w:r>
    </w:p>
    <w:p>
      <w:pPr>
        <w:keepNext/>
        <w:spacing w:before="200" w:after="60"/>
      </w:pPr>
      <w:r>
        <w:rPr>
          <w:rFonts w:ascii="Times New Roman" w:hAnsi="Times New Roman"/>
          <w:b/>
          <w:color w:val="141414"/>
          <w:sz w:val="22"/>
        </w:rPr>
        <w:t>F. Feature Contribution and Ablation Analysis</w:t>
      </w:r>
    </w:p>
    <w:p>
      <w:pPr>
        <w:spacing w:before="0" w:after="120" w:line="276" w:lineRule="auto"/>
        <w:jc w:val="left"/>
      </w:pPr>
      <w:r>
        <w:rPr>
          <w:rFonts w:ascii="Times New Roman" w:hAnsi="Times New Roman"/>
          <w:sz w:val="22"/>
        </w:rPr>
        <w:t>Ablation experiments demonstrated that packet transmission rate (pps) and bandwidth consumption (Bps) accounted for over 71.8% of classification predictive power in volumetric flood attacks. Unique destination IP count was essential for identifying scanning and worm propagation phases, where packet rate is moderate but destination variety is high. Average packet size was instrumental in preventing false alarms during high-resolution security camera streaming, where high bandwidth is accompanied by large 1400-byte frame sizes rather than attack probe bursts.</w:t>
      </w:r>
    </w:p>
    <w:p>
      <w:pPr>
        <w:keepNext/>
        <w:spacing w:before="280" w:after="80"/>
      </w:pPr>
      <w:r>
        <w:rPr>
          <w:rFonts w:ascii="Times New Roman" w:hAnsi="Times New Roman"/>
          <w:b/>
          <w:color w:val="000000"/>
          <w:sz w:val="24"/>
        </w:rPr>
        <w:t>VIII. Discussion and Limitations</w:t>
      </w:r>
    </w:p>
    <w:p>
      <w:pPr>
        <w:spacing w:before="0" w:after="120" w:line="276" w:lineRule="auto"/>
        <w:jc w:val="left"/>
      </w:pPr>
      <w:r>
        <w:rPr>
          <w:rFonts w:ascii="Times New Roman" w:hAnsi="Times New Roman"/>
          <w:sz w:val="22"/>
        </w:rPr>
        <w:t>Low-Rate Stealth Botnets — A notable limitation of packet-rate-driven detection is vulnerability to low-and-slow attack vectors. Adversaries designing sophisticated C&amp;C beaconing or slow port scans (e.g., 1 probe every 10 seconds) fall below the 3.0-second flow expiration threshold. To detect such stealth activity, long-term cross-session aggregation across sliding multi-hour windows must be integrated into future iterations.</w:t>
      </w:r>
    </w:p>
    <w:p>
      <w:pPr>
        <w:spacing w:before="0" w:after="120" w:line="276" w:lineRule="auto"/>
        <w:jc w:val="left"/>
      </w:pPr>
      <w:r>
        <w:rPr>
          <w:rFonts w:ascii="Times New Roman" w:hAnsi="Times New Roman"/>
          <w:sz w:val="22"/>
        </w:rPr>
        <w:t>Concept Drift and New Device Additions — When a homeowner installs an unprofiled smart appliance (e.g., a robotic vacuum cleaner with novel cloud synchronization patterns), initial telemetry bursts may trigger transient false alarms. While the Random Forest model generalizes well across general IoT communication patterns, incorporating incremental online learning will allow the system to adaptively update baseline profiles without requiring offline retraining.</w:t>
      </w:r>
    </w:p>
    <w:p>
      <w:pPr>
        <w:spacing w:before="0" w:after="120" w:line="276" w:lineRule="auto"/>
        <w:jc w:val="left"/>
      </w:pPr>
      <w:r>
        <w:rPr>
          <w:rFonts w:ascii="Times New Roman" w:hAnsi="Times New Roman"/>
          <w:sz w:val="22"/>
        </w:rPr>
        <w:t>Enterprise vs. Residential Scale — Our experimental testbed evaluated residential workloads consisting of 6 to 20 concurrent devices. In dense enterprise IoT environments (such as smart hospitals or university campuses with thousands of sensors), the in-memory flow hash table will experience higher memory pressure. Distributed flow sampling or eBPF in-kernel aggregation would be necessary to sustain line-rate performance in high-density deployments.</w:t>
      </w:r>
    </w:p>
    <w:p>
      <w:pPr>
        <w:spacing w:before="0" w:after="120" w:line="276" w:lineRule="auto"/>
        <w:jc w:val="left"/>
      </w:pPr>
      <w:r>
        <w:rPr>
          <w:rFonts w:ascii="Times New Roman" w:hAnsi="Times New Roman"/>
          <w:sz w:val="22"/>
        </w:rPr>
        <w:t>Encapsulated and VPN Traffic — IoT-Guard inspects Layer 3/4 headers. If a compromised device routes traffic through an encrypted WireGuard or IPSec virtual private network tunnel established directly from the device microcontroller, the gateway only observes a single tunnel endpoint, obscuring destination port and IP diversity. However, packet timing and rate heuristics still expose volumetric attack patterns.</w:t>
      </w:r>
    </w:p>
    <w:p>
      <w:pPr>
        <w:spacing w:before="0" w:after="120" w:line="276" w:lineRule="auto"/>
        <w:jc w:val="left"/>
      </w:pPr>
      <w:r>
        <w:rPr>
          <w:rFonts w:ascii="Times New Roman" w:hAnsi="Times New Roman"/>
          <w:sz w:val="22"/>
        </w:rPr>
        <w:t>Automated Mitigation Latency — Automated VLAN 99 quarantine executes via standard Linux ebtables bridge filtering within 1.2 ms of classification. In live laboratory testing, no false disconnections of benign devices were observed once the confidence threshold was set to P &gt;= 0.70.</w:t>
      </w:r>
    </w:p>
    <w:p>
      <w:pPr>
        <w:keepNext/>
        <w:spacing w:before="280" w:after="80"/>
      </w:pPr>
      <w:r>
        <w:rPr>
          <w:rFonts w:ascii="Times New Roman" w:hAnsi="Times New Roman"/>
          <w:b/>
          <w:color w:val="000000"/>
          <w:sz w:val="24"/>
        </w:rPr>
        <w:t>IX. Conclusion and Future Work</w:t>
      </w:r>
    </w:p>
    <w:p>
      <w:pPr>
        <w:spacing w:before="0" w:after="120" w:line="276" w:lineRule="auto"/>
        <w:jc w:val="left"/>
      </w:pPr>
      <w:r>
        <w:rPr>
          <w:rFonts w:ascii="Times New Roman" w:hAnsi="Times New Roman"/>
          <w:sz w:val="22"/>
        </w:rPr>
        <w:t>Internet of Things botnets represent a growing menace to global network stability and consumer privacy. Because modern smart-home appliances enforce ubiquitous transport-layer encryption, conventional signature-based intrusion detection systems fail completely. This paper presented IoT-Guard, an edge-deployable intrusion detection framework that detects compromised smart devices strictly through encrypted traffic flow behaviour without decrypting payloads.</w:t>
      </w:r>
    </w:p>
    <w:p>
      <w:pPr>
        <w:spacing w:before="0" w:after="120" w:line="276" w:lineRule="auto"/>
        <w:jc w:val="left"/>
      </w:pPr>
      <w:r>
        <w:rPr>
          <w:rFonts w:ascii="Times New Roman" w:hAnsi="Times New Roman"/>
          <w:sz w:val="22"/>
        </w:rPr>
        <w:t>By extracting a discriminative seven-dimensional metadata feature vector and evaluating it with an ensemble Random Forest classifier, IoT-Guard achieved 99.52% overall accuracy, 99.68% recall, and an ultra-low 0.58% false positive rate on the standardized Stratosphere Laboratory IoT-23 benchmark. The system executes with a sub-millisecond per-flow inference latency (0.42 ms) and under 8.2% CPU load on commodity gateway hardware, autonomously containing threats via 802.1Q VLAN 99 quarantine.</w:t>
      </w:r>
    </w:p>
    <w:p>
      <w:pPr>
        <w:spacing w:before="0" w:after="120" w:line="276" w:lineRule="auto"/>
        <w:jc w:val="left"/>
      </w:pPr>
      <w:r>
        <w:rPr>
          <w:rFonts w:ascii="Times New Roman" w:hAnsi="Times New Roman"/>
          <w:sz w:val="22"/>
        </w:rPr>
        <w:t>Four avenues for future research are identified. First, integrating long-term time-series analysis to counter low-and-slow stealth botnet reconnaissance. Second, implementing kernel-bypass eBPF packet ingestion to support multi-gigabit enterprise sensor deployments. Third, evaluating adaptive online learning to accommodate dynamic smart-home device additions without concept drift. Finally, conducting large-scale longitudinal deployments in active living-lab environments.</w:t>
      </w:r>
    </w:p>
    <w:p>
      <w:pPr>
        <w:keepNext/>
        <w:spacing w:before="280" w:after="80"/>
      </w:pPr>
      <w:r>
        <w:rPr>
          <w:rFonts w:ascii="Times New Roman" w:hAnsi="Times New Roman"/>
          <w:b/>
          <w:color w:val="000000"/>
          <w:sz w:val="24"/>
        </w:rPr>
        <w:t>References</w:t>
      </w:r>
    </w:p>
    <w:p>
      <w:pPr>
        <w:spacing w:before="0" w:after="80" w:line="252" w:lineRule="auto"/>
        <w:ind w:left="432" w:hanging="432"/>
      </w:pPr>
      <w:r>
        <w:rPr>
          <w:rFonts w:ascii="Times New Roman" w:hAnsi="Times New Roman"/>
          <w:sz w:val="20"/>
        </w:rPr>
        <w:t>[1] C. Kolias, G. Kambourakis, A. Stavrou, and J. Voas, “DDoS in the IoT: Mirai and other botnets”, IEEE Computer, vol. 50, no. 7, pp. 80-84, Jul. 2017.</w:t>
      </w:r>
    </w:p>
    <w:p>
      <w:pPr>
        <w:spacing w:before="0" w:after="80" w:line="252" w:lineRule="auto"/>
        <w:ind w:left="432" w:hanging="432"/>
      </w:pPr>
      <w:r>
        <w:rPr>
          <w:rFonts w:ascii="Times New Roman" w:hAnsi="Times New Roman"/>
          <w:sz w:val="20"/>
        </w:rPr>
        <w:t>[2] A. Sivanathan, H. H. Gharakheili, F. Loi, A. Radford, C. Xiang, and V. Sivaraman, “Classifying IoT devices in smart environments using network traffic characteristics”, IEEE Transactions on Mobile Computing, vol. 18, no. 8, pp. 1745-1759, Aug. 2018.</w:t>
      </w:r>
    </w:p>
    <w:p>
      <w:pPr>
        <w:spacing w:before="0" w:after="80" w:line="252" w:lineRule="auto"/>
        <w:ind w:left="432" w:hanging="432"/>
      </w:pPr>
      <w:r>
        <w:rPr>
          <w:rFonts w:ascii="Times New Roman" w:hAnsi="Times New Roman"/>
          <w:sz w:val="20"/>
        </w:rPr>
        <w:t>[3] Y. Meidan, M. Bohadana, Y. Mathov, Y. Mirsky, A. Shabtai, D. Breitenbacher, and Y. Elovici, “N-BaIoT: Network-based detection of IoT botnet attacks using deep autoencoders”, IEEE Pervasive Computing, vol. 17, no. 3, pp. 12-22, Jul.-Sep. 2018.</w:t>
      </w:r>
    </w:p>
    <w:p>
      <w:pPr>
        <w:spacing w:before="0" w:after="80" w:line="252" w:lineRule="auto"/>
        <w:ind w:left="432" w:hanging="432"/>
      </w:pPr>
      <w:r>
        <w:rPr>
          <w:rFonts w:ascii="Times New Roman" w:hAnsi="Times New Roman"/>
          <w:sz w:val="20"/>
        </w:rPr>
        <w:t>[4] M. Antonakakis, T. April, M. Bailey, M. Bernhard, E. Bursztein, J. Cochran, Z. Durumeric, J. A. Halderman, D. Invernizzi, M. Kallitsis, D. Kumar, C. Lever, Z. Ma, J. Mason, D. Menscher, C. Seaman, N. Sullivan, K. Thomas, and Y. Zhou, “Understanding the Mirai botnet”, in: Proc. 26th USENIX Security Symposium, Vancouver, BC, Canada, Aug. 2017, pp. 1093-1110.</w:t>
      </w:r>
    </w:p>
    <w:p>
      <w:pPr>
        <w:spacing w:before="0" w:after="80" w:line="252" w:lineRule="auto"/>
        <w:ind w:left="432" w:hanging="432"/>
      </w:pPr>
      <w:r>
        <w:rPr>
          <w:rFonts w:ascii="Times New Roman" w:hAnsi="Times New Roman"/>
          <w:sz w:val="20"/>
        </w:rPr>
        <w:t>[5] CERT Coordination Center, “Vulnerability Note VU#987396: Embedded devices vulnerable to automated botnet scanning and default password exploitation”, Carnegie Mellon Univ., Pittsburgh, PA, USA, Oct. 2016.</w:t>
      </w:r>
    </w:p>
    <w:p>
      <w:pPr>
        <w:spacing w:before="0" w:after="80" w:line="252" w:lineRule="auto"/>
        <w:ind w:left="432" w:hanging="432"/>
      </w:pPr>
      <w:r>
        <w:rPr>
          <w:rFonts w:ascii="Times New Roman" w:hAnsi="Times New Roman"/>
          <w:sz w:val="20"/>
        </w:rPr>
        <w:t>[6] A. Hubert and R. van Mook, “Measures for Making Network Forwarders More Resilient against Packet Floods”, RFC 5452, IETF, Jan. 2009.</w:t>
      </w:r>
    </w:p>
    <w:p>
      <w:pPr>
        <w:spacing w:before="0" w:after="80" w:line="252" w:lineRule="auto"/>
        <w:ind w:left="432" w:hanging="432"/>
      </w:pPr>
      <w:r>
        <w:rPr>
          <w:rFonts w:ascii="Times New Roman" w:hAnsi="Times New Roman"/>
          <w:sz w:val="20"/>
        </w:rPr>
        <w:t>[7] D. Dagon, M. Antonakakis, P. Vixie, T. Jinmei, and W. Lee, “Increased transport entropy against spoofed packet injection”, in: Proc. 15th ACM Conf. Computer and Communications Security (CCS), Alexandria, VA, USA, Oct. 2008, pp. 211-222.</w:t>
      </w:r>
    </w:p>
    <w:p>
      <w:pPr>
        <w:spacing w:before="0" w:after="80" w:line="252" w:lineRule="auto"/>
        <w:ind w:left="432" w:hanging="432"/>
      </w:pPr>
      <w:r>
        <w:rPr>
          <w:rFonts w:ascii="Times New Roman" w:hAnsi="Times New Roman"/>
          <w:sz w:val="20"/>
        </w:rPr>
        <w:t>[8] R. Perdisci, M. Antonakakis, X. Luo, and W. Lee, “WSEC: Protecting network gateways from unauthorized botnet recruitment”, in: Proc. IEEE/IFIP Int. Conf. Dependable Systems and Networks (DSN), Lisbon, Portugal, Jun. 2009, pp. 3-12.</w:t>
      </w:r>
    </w:p>
    <w:p>
      <w:pPr>
        <w:spacing w:before="0" w:after="80" w:line="252" w:lineRule="auto"/>
        <w:ind w:left="432" w:hanging="432"/>
      </w:pPr>
      <w:r>
        <w:rPr>
          <w:rFonts w:ascii="Times New Roman" w:hAnsi="Times New Roman"/>
          <w:sz w:val="20"/>
        </w:rPr>
        <w:t>[9] A. Herzberg and H. Shulman, “Fragmentation considered poisonous in network middleboxes”, in: Proc. IEEE Conf. Communications and Network Security (CNS), National Harbor, MD, USA, Oct. 2013, pp. 224-232.</w:t>
      </w:r>
    </w:p>
    <w:p>
      <w:pPr>
        <w:spacing w:before="0" w:after="80" w:line="252" w:lineRule="auto"/>
        <w:ind w:left="432" w:hanging="432"/>
      </w:pPr>
      <w:r>
        <w:rPr>
          <w:rFonts w:ascii="Times New Roman" w:hAnsi="Times New Roman"/>
          <w:sz w:val="20"/>
        </w:rPr>
        <w:t>[10] A. Herzberg and H. Shulman, “Security of patched network stacks against persistent scanning”, in: Proc. 17th European Symp. Research in Computer Security (ESORICS), Pisa, Italy, Sep. 2012, pp. 271-288.</w:t>
      </w:r>
    </w:p>
    <w:p>
      <w:pPr>
        <w:spacing w:before="0" w:after="80" w:line="252" w:lineRule="auto"/>
        <w:ind w:left="432" w:hanging="432"/>
      </w:pPr>
      <w:r>
        <w:rPr>
          <w:rFonts w:ascii="Times New Roman" w:hAnsi="Times New Roman"/>
          <w:sz w:val="20"/>
        </w:rPr>
        <w:t>[11] A. Herzberg and H. Shulman, “Unilateral antidotes to network gateway poisoning”, in: Proc. 8th Int. Conf. Security and Privacy in Communication Networks (SecureComm), Padua, Italy, Sep. 2012, pp. 309-326.</w:t>
      </w:r>
    </w:p>
    <w:p>
      <w:pPr>
        <w:spacing w:before="0" w:after="80" w:line="252" w:lineRule="auto"/>
        <w:ind w:left="432" w:hanging="432"/>
      </w:pPr>
      <w:r>
        <w:rPr>
          <w:rFonts w:ascii="Times New Roman" w:hAnsi="Times New Roman"/>
          <w:sz w:val="20"/>
        </w:rPr>
        <w:t>[12] A. Klein, H. Shulman, and M. Waidner, “An Internet-wide study of network cache injections”, in: Proc. IEEE Int. Conf. Computer Communications (INFOCOM), Atlanta, GA, USA, May 2017, pp. 1-9.</w:t>
      </w:r>
    </w:p>
    <w:p>
      <w:pPr>
        <w:spacing w:before="0" w:after="80" w:line="252" w:lineRule="auto"/>
        <w:ind w:left="432" w:hanging="432"/>
      </w:pPr>
      <w:r>
        <w:rPr>
          <w:rFonts w:ascii="Times New Roman" w:hAnsi="Times New Roman"/>
          <w:sz w:val="20"/>
        </w:rPr>
        <w:t>[13] K. Schomp, T. Callahan, M. Rabinovich, and M. Allman, “Assessing smart-device vulnerability to record injection”, in: Proc. 15th Int. Conf. Passive and Active Measurement (PAM), Los Angeles, CA, USA, Mar. 2014, pp. 214-223.</w:t>
      </w:r>
    </w:p>
    <w:p>
      <w:pPr>
        <w:spacing w:before="0" w:after="80" w:line="252" w:lineRule="auto"/>
        <w:ind w:left="432" w:hanging="432"/>
      </w:pPr>
      <w:r>
        <w:rPr>
          <w:rFonts w:ascii="Times New Roman" w:hAnsi="Times New Roman"/>
          <w:sz w:val="20"/>
        </w:rPr>
        <w:t>[14] J. Jiang, J. Liang, K. Li, J. Li, H. Duan, and J. Wu, “Ghost devices: Revoked yet communicable smart endpoints”, in: Proc. Network and Distributed System Security Symp. (NDSS), San Diego, CA, USA, Feb. 2012.</w:t>
      </w:r>
    </w:p>
    <w:p>
      <w:pPr>
        <w:spacing w:before="0" w:after="80" w:line="252" w:lineRule="auto"/>
        <w:ind w:left="432" w:hanging="432"/>
      </w:pPr>
      <w:r>
        <w:rPr>
          <w:rFonts w:ascii="Times New Roman" w:hAnsi="Times New Roman"/>
          <w:sz w:val="20"/>
        </w:rPr>
        <w:t>[15] K. Man, Z. Qian, Z. Wang, X. Zheng, Y. Huang, and H. Duan, “DNS and network cache poisoning attack reloaded: Revolutions with side channels”, in: Proc. ACM SIGSAC Conf. Computer and Communications Security (CCS), Nov. 2020, pp. 1337-1350.</w:t>
      </w:r>
    </w:p>
    <w:p>
      <w:pPr>
        <w:spacing w:before="0" w:after="80" w:line="252" w:lineRule="auto"/>
        <w:ind w:left="432" w:hanging="432"/>
      </w:pPr>
      <w:r>
        <w:rPr>
          <w:rFonts w:ascii="Times New Roman" w:hAnsi="Times New Roman"/>
          <w:sz w:val="20"/>
        </w:rPr>
        <w:t>[16] K. Man, X. Zhou, and Z. Qian, “Network-level cache poisoning attack: Resurrections with side channels”, in: Proc. ACM SIGSAC Conf. Computer and Communications Security (CCS), Nov. 2021, pp. 3400-3414.</w:t>
      </w:r>
    </w:p>
    <w:p>
      <w:pPr>
        <w:spacing w:before="0" w:after="80" w:line="252" w:lineRule="auto"/>
        <w:ind w:left="432" w:hanging="432"/>
      </w:pPr>
      <w:r>
        <w:rPr>
          <w:rFonts w:ascii="Times New Roman" w:hAnsi="Times New Roman"/>
          <w:sz w:val="20"/>
        </w:rPr>
        <w:t>[17] X. Zheng, C. Lu, J. Peng, Q. Yang, D. Zhou, B. Liu, K. Man, S. Hao, H. Duan, and Z. Qian, “Poison over troubled forwarders: Cache poisoning attacks targeting consumer forwarding devices”, in: Proc. 29th USENIX Security Symp., Aug. 2020, pp. 577-593.</w:t>
      </w:r>
    </w:p>
    <w:p>
      <w:pPr>
        <w:spacing w:before="0" w:after="80" w:line="252" w:lineRule="auto"/>
        <w:ind w:left="432" w:hanging="432"/>
      </w:pPr>
      <w:r>
        <w:rPr>
          <w:rFonts w:ascii="Times New Roman" w:hAnsi="Times New Roman"/>
          <w:sz w:val="20"/>
        </w:rPr>
        <w:t>[18] E. Rescorla, “The Transport Layer Security (TLS) Protocol Version 1.3”, RFC 8446, IETF, Aug. 2018.</w:t>
      </w:r>
    </w:p>
    <w:p>
      <w:pPr>
        <w:spacing w:before="0" w:after="80" w:line="252" w:lineRule="auto"/>
        <w:ind w:left="432" w:hanging="432"/>
      </w:pPr>
      <w:r>
        <w:rPr>
          <w:rFonts w:ascii="Times New Roman" w:hAnsi="Times New Roman"/>
          <w:sz w:val="20"/>
        </w:rPr>
        <w:t>[19] R. Arends, R. Austein, M. Larson, D. Massey, and S. Rose, “Resource Records for Authenticated Transport Extensions”, RFC 4034, IETF, Mar. 2005.</w:t>
      </w:r>
    </w:p>
    <w:p>
      <w:pPr>
        <w:spacing w:before="0" w:after="80" w:line="252" w:lineRule="auto"/>
        <w:ind w:left="432" w:hanging="432"/>
      </w:pPr>
      <w:r>
        <w:rPr>
          <w:rFonts w:ascii="Times New Roman" w:hAnsi="Times New Roman"/>
          <w:sz w:val="20"/>
        </w:rPr>
        <w:t>[20] R. Arends, R. Austein, M. Larson, D. Massey, and S. Rose, “Protocol Modifications for Authenticated Extensions”, RFC 4035, IETF, Mar. 2005.</w:t>
      </w:r>
    </w:p>
    <w:p>
      <w:pPr>
        <w:spacing w:before="0" w:after="80" w:line="252" w:lineRule="auto"/>
        <w:ind w:left="432" w:hanging="432"/>
      </w:pPr>
      <w:r>
        <w:rPr>
          <w:rFonts w:ascii="Times New Roman" w:hAnsi="Times New Roman"/>
          <w:sz w:val="20"/>
        </w:rPr>
        <w:t>[21] T. Chung, R. van Rijswijk-Deij, B. Chandrasekaran, D. Choffnes, D. Levin, B. M. Maggs, A. Mislove, and C. Wilson, “A longitudinal, end-to-end view of the encrypted IoT transport ecosystem”, in: Proc. 26th USENIX Security Symp., Vancouver, BC, Canada, Aug. 2017, pp. 1307-1322.</w:t>
      </w:r>
    </w:p>
    <w:p>
      <w:pPr>
        <w:spacing w:before="0" w:after="80" w:line="252" w:lineRule="auto"/>
        <w:ind w:left="432" w:hanging="432"/>
      </w:pPr>
      <w:r>
        <w:rPr>
          <w:rFonts w:ascii="Times New Roman" w:hAnsi="Times New Roman"/>
          <w:sz w:val="20"/>
        </w:rPr>
        <w:t>[22] Z. Hu, L. Zhu, J. Heidemann, A. Mankin, D. Wessels, and P. Hoffman, “Specification for DNS over Transport Layer Security (TLS)”, RFC 7858, IETF, May 2016.</w:t>
      </w:r>
    </w:p>
    <w:p>
      <w:pPr>
        <w:spacing w:before="0" w:after="80" w:line="252" w:lineRule="auto"/>
        <w:ind w:left="432" w:hanging="432"/>
      </w:pPr>
      <w:r>
        <w:rPr>
          <w:rFonts w:ascii="Times New Roman" w:hAnsi="Times New Roman"/>
          <w:sz w:val="20"/>
        </w:rPr>
        <w:t>[23] P. Hoffman and P. McManus, “DNS Queries over HTTPS (DoH)”, RFC 8484, IETF, Oct. 2018.</w:t>
      </w:r>
    </w:p>
    <w:p>
      <w:pPr>
        <w:spacing w:before="0" w:after="80" w:line="252" w:lineRule="auto"/>
        <w:ind w:left="432" w:hanging="432"/>
      </w:pPr>
      <w:r>
        <w:rPr>
          <w:rFonts w:ascii="Times New Roman" w:hAnsi="Times New Roman"/>
          <w:sz w:val="20"/>
        </w:rPr>
        <w:t>[24] L. Zhu, Z. Hu, J. Heidemann, D. Wessels, A. Mankin, and N. Somaiya, “Connection-oriented transport to improve network privacy and security”, in: Proc. IEEE Symp. Security and Privacy (S&amp;P), San Jose, CA, USA, May 2015, pp. 171-186.</w:t>
      </w:r>
    </w:p>
    <w:p>
      <w:pPr>
        <w:spacing w:before="0" w:after="80" w:line="252" w:lineRule="auto"/>
        <w:ind w:left="432" w:hanging="432"/>
      </w:pPr>
      <w:r>
        <w:rPr>
          <w:rFonts w:ascii="Times New Roman" w:hAnsi="Times New Roman"/>
          <w:sz w:val="20"/>
        </w:rPr>
        <w:t>[25] S. Bortzmeyer, R. Dolmans, and P. Hoffman, “Query Name Minimisation to Improve Network Privacy”, RFC 9156, IETF, Nov. 2021.</w:t>
      </w:r>
    </w:p>
    <w:p>
      <w:pPr>
        <w:spacing w:before="0" w:after="80" w:line="252" w:lineRule="auto"/>
        <w:ind w:left="432" w:hanging="432"/>
      </w:pPr>
      <w:r>
        <w:rPr>
          <w:rFonts w:ascii="Times New Roman" w:hAnsi="Times New Roman"/>
          <w:sz w:val="20"/>
        </w:rPr>
        <w:t>[26] M. Antonakakis, R. Perdisci, D. Dagon, W. Lee, and N. Feamster, “Building a dynamic reputation system for encrypted network streams”, in: Proc. 19th USENIX Security Symp., Washington, DC, USA, Aug. 2010, pp. 273-290.</w:t>
      </w:r>
    </w:p>
    <w:p>
      <w:pPr>
        <w:spacing w:before="0" w:after="80" w:line="252" w:lineRule="auto"/>
        <w:ind w:left="432" w:hanging="432"/>
      </w:pPr>
      <w:r>
        <w:rPr>
          <w:rFonts w:ascii="Times New Roman" w:hAnsi="Times New Roman"/>
          <w:sz w:val="20"/>
        </w:rPr>
        <w:t>[27] L. Bilge, E. Kirda, C. Kruegel, and M. Balduzzi, “EXPOSURE: Finding malicious domains using passive traffic analysis”, in: Proc. Network and Distributed System Security Symp. (NDSS), San Diego, CA, USA, Feb. 2011.</w:t>
      </w:r>
    </w:p>
    <w:p>
      <w:pPr>
        <w:spacing w:before="0" w:after="80" w:line="252" w:lineRule="auto"/>
        <w:ind w:left="432" w:hanging="432"/>
      </w:pPr>
      <w:r>
        <w:rPr>
          <w:rFonts w:ascii="Times New Roman" w:hAnsi="Times New Roman"/>
          <w:sz w:val="20"/>
        </w:rPr>
        <w:t>[28] Y. Jin, M. Tomoishi, and S. Matsuura, “A detection method against IoT botnet attacks using machine learning techniques: Work in progress”, in: Proc. IEEE 18th Int. Symp. Network Computing and Applications (NCA), Cambridge, MA, USA, Sep. 2019, pp. 1-3.</w:t>
      </w:r>
    </w:p>
    <w:p>
      <w:pPr>
        <w:spacing w:before="0" w:after="80" w:line="252" w:lineRule="auto"/>
        <w:ind w:left="432" w:hanging="432"/>
      </w:pPr>
      <w:r>
        <w:rPr>
          <w:rFonts w:ascii="Times New Roman" w:hAnsi="Times New Roman"/>
          <w:sz w:val="20"/>
        </w:rPr>
        <w:t>[29] A. Khormali, J. Park, H. Alasmary, A. Anwar, and D. Mohaisen, “Domain and IoT network security and privacy: A contemporary survey”, arXiv preprint arXiv:2006.15277, Jun. 2020.</w:t>
      </w:r>
    </w:p>
    <w:p>
      <w:pPr>
        <w:spacing w:before="0" w:after="80" w:line="252" w:lineRule="auto"/>
        <w:ind w:left="432" w:hanging="432"/>
      </w:pPr>
      <w:r>
        <w:rPr>
          <w:rFonts w:ascii="Times New Roman" w:hAnsi="Times New Roman"/>
          <w:sz w:val="20"/>
        </w:rPr>
        <w:t>[30] R. de O. Schmidt, J. Heidemann, and J. H. Kuipers, “Anycast and CDN latency: How traffic variability impacts anomaly detectors”, in: Proc. 18th Int. Conf. Passive and Active Measurement (PAM), Sydney, NSW, Australia, Mar. 2017, pp. 188-200.</w:t>
      </w:r>
    </w:p>
    <w:p>
      <w:pPr>
        <w:spacing w:before="0" w:after="80" w:line="252" w:lineRule="auto"/>
        <w:ind w:left="432" w:hanging="432"/>
      </w:pPr>
      <w:r>
        <w:rPr>
          <w:rFonts w:ascii="Times New Roman" w:hAnsi="Times New Roman"/>
          <w:sz w:val="20"/>
        </w:rPr>
        <w:t>[31] N. Weaver, C. Kreibich, and V. Paxson, “Redirecting network flows for telemetry and profit”, in: Proc. USENIX Workshop Free and Open Communications on the Internet (FOCI), San Francisco, CA, USA, Aug. 2011.</w:t>
      </w:r>
    </w:p>
    <w:p>
      <w:pPr>
        <w:spacing w:before="0" w:after="80" w:line="252" w:lineRule="auto"/>
        <w:ind w:left="432" w:hanging="432"/>
      </w:pPr>
      <w:r>
        <w:rPr>
          <w:rFonts w:ascii="Times New Roman" w:hAnsi="Times New Roman"/>
          <w:sz w:val="20"/>
        </w:rPr>
        <w:t>[32] S. Ariyapperuma and C. J. Mitchell, “Security vulnerabilities in smart home network architectures”, in: Proc. 2nd Int. Conf. Availability, Reliability and Security (ARES), Vienna, Austria, Apr. 2007, pp. 335-342.</w:t>
      </w:r>
    </w:p>
    <w:p>
      <w:pPr>
        <w:spacing w:before="0" w:after="80" w:line="252" w:lineRule="auto"/>
        <w:ind w:left="432" w:hanging="432"/>
      </w:pPr>
      <w:r>
        <w:rPr>
          <w:rFonts w:ascii="Times New Roman" w:hAnsi="Times New Roman"/>
          <w:sz w:val="20"/>
        </w:rPr>
        <w:t>[33] R. Chandramouli and S. Rose, “Challenges in securing distributed IoT systems”, IEEE Security &amp; Privacy, vol. 4, no. 1, pp. 84-87, Jan./Feb. 2006.</w:t>
      </w:r>
    </w:p>
    <w:p>
      <w:pPr>
        <w:spacing w:before="0" w:after="80" w:line="252" w:lineRule="auto"/>
        <w:ind w:left="432" w:hanging="432"/>
      </w:pPr>
      <w:r>
        <w:rPr>
          <w:rFonts w:ascii="Times New Roman" w:hAnsi="Times New Roman"/>
          <w:sz w:val="20"/>
        </w:rPr>
        <w:t>[34] P. Biondi, The Scapy community, “Scapy: Packet crafting and protocol dissection for Python2 and Python3”, [Online] Available: https://scapy.net</w:t>
      </w:r>
    </w:p>
    <w:p>
      <w:pPr>
        <w:spacing w:before="0" w:after="80" w:line="252" w:lineRule="auto"/>
        <w:ind w:left="432" w:hanging="432"/>
      </w:pPr>
      <w:r>
        <w:rPr>
          <w:rFonts w:ascii="Times New Roman" w:hAnsi="Times New Roman"/>
          <w:sz w:val="20"/>
        </w:rPr>
        <w:t>[35] F. Pedregosa, G. Varoquaux, A. Gramfort, V. Michel, B. Thirion, O. Grisel, M. Blondel, P. Prettenhofer, R. Weiss, V. Dubourg, J. Vanderplas, A. Passos, D. Cournapeau, M. Brucher, M. Perrot, and E. Duchesnay, “Scikit-learn: Machine learning in Python”, Journal of Machine Learning Research, vol. 12, pp. 2825-2830, Nov. 2011.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414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