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b/>
          <w:color w:val="0B2545"/>
          <w:sz w:val="24"/>
        </w:rPr>
        <w:t>ALLIANCE UNIVERSITY</w:t>
        <w:br/>
      </w:r>
      <w:r>
        <w:rPr>
          <w:b/>
          <w:color w:val="334155"/>
          <w:sz w:val="19"/>
        </w:rPr>
        <w:t>ALLIANCE SCHOOL OF ADVANCED COMPUTING (ASAC)</w:t>
        <w:br/>
      </w:r>
      <w:r>
        <w:rPr>
          <w:color w:val="475569"/>
          <w:sz w:val="16"/>
        </w:rPr>
        <w:t>Department of Computer Science &amp; Engineering | Academic Year 2026–2027</w:t>
        <w:br/>
      </w:r>
      <w:r>
        <w:rPr>
          <w:b/>
          <w:color w:val="B45309"/>
          <w:sz w:val="16"/>
        </w:rPr>
        <w:t>Course: Design Project – I (E1CSA313 / 5CS1990) | Batch: DP1-24-28-CSE-GEN-L-01</w:t>
      </w:r>
    </w:p>
    <w:p>
      <w:pPr>
        <w:spacing w:before="80" w:after="20"/>
      </w:pPr>
      <w:r>
        <w:rPr>
          <w:b/>
          <w:color w:val="0B2545"/>
          <w:sz w:val="24"/>
        </w:rPr>
        <w:t>Problem Statement and Engineering Scope</w:t>
      </w:r>
    </w:p>
    <w:p>
      <w:pPr>
        <w:spacing w:after="80"/>
      </w:pPr>
      <w:r>
        <w:rPr>
          <w:b/>
          <w:color w:val="B45309"/>
          <w:sz w:val="17"/>
        </w:rPr>
        <w:t>Formal Industry Problem Definition, Operational Context &amp; System Boundaries</w:t>
      </w:r>
    </w:p>
    <w:tbl>
      <w:tblPr>
        <w:tblW w:type="auto" w:w="0"/>
        <w:jc w:val="center"/>
        <w:tblLook w:firstColumn="1" w:firstRow="1" w:lastColumn="0" w:lastRow="0" w:noHBand="0" w:noVBand="1" w:val="04A0"/>
      </w:tblPr>
      <w:tblGrid>
        <w:gridCol w:w="5400"/>
        <w:gridCol w:w="5400"/>
      </w:tblGrid>
      <w:tr>
        <w:tc>
          <w:tcPr>
            <w:tcW w:type="dxa" w:w="5400"/>
            <w:shd w:fill="F8FAFC"/>
            <w:tcMar>
              <w:top w:w="50" w:type="dxa"/>
              <w:bottom w:w="50" w:type="dxa"/>
              <w:left w:w="80" w:type="dxa"/>
              <w:right w:w="80" w:type="dxa"/>
            </w:tcMar>
          </w:tcPr>
          <w:p>
            <w:pPr>
              <w:spacing w:after="0"/>
            </w:pPr>
            <w:r>
              <w:rPr>
                <w:color w:val="1E293B"/>
                <w:sz w:val="15"/>
              </w:rPr>
              <w:t>Project: AI-Powered Smart Campus Resource Management System</w:t>
            </w:r>
          </w:p>
        </w:tc>
        <w:tc>
          <w:tcPr>
            <w:tcW w:type="dxa" w:w="5400"/>
            <w:shd w:fill="F8FAFC"/>
            <w:tcMar>
              <w:top w:w="50" w:type="dxa"/>
              <w:bottom w:w="50" w:type="dxa"/>
              <w:left w:w="80" w:type="dxa"/>
              <w:right w:w="80" w:type="dxa"/>
            </w:tcMar>
          </w:tcPr>
          <w:p>
            <w:pPr>
              <w:spacing w:after="0"/>
            </w:pPr>
            <w:r>
              <w:rPr>
                <w:color w:val="1E293B"/>
                <w:sz w:val="15"/>
              </w:rPr>
              <w:t>Faculty Coordinator / Mentor: Dr. Rashmi Mothkur (ASAC CSE)</w:t>
            </w:r>
          </w:p>
        </w:tc>
      </w:tr>
      <w:tr>
        <w:tc>
          <w:tcPr>
            <w:tcW w:type="dxa" w:w="5400"/>
            <w:shd w:fill="F8FAFC"/>
            <w:tcMar>
              <w:top w:w="50" w:type="dxa"/>
              <w:bottom w:w="50" w:type="dxa"/>
              <w:left w:w="80" w:type="dxa"/>
              <w:right w:w="80" w:type="dxa"/>
            </w:tcMar>
          </w:tcPr>
          <w:p>
            <w:pPr>
              <w:spacing w:after="0"/>
            </w:pPr>
            <w:r>
              <w:rPr>
                <w:color w:val="1E293B"/>
                <w:sz w:val="15"/>
              </w:rPr>
              <w:t>Team Lead: Likith S (2411021061437)</w:t>
            </w:r>
          </w:p>
        </w:tc>
        <w:tc>
          <w:tcPr>
            <w:tcW w:type="dxa" w:w="5400"/>
            <w:shd w:fill="F8FAFC"/>
            <w:tcMar>
              <w:top w:w="50" w:type="dxa"/>
              <w:bottom w:w="50" w:type="dxa"/>
              <w:left w:w="80" w:type="dxa"/>
              <w:right w:w="80" w:type="dxa"/>
            </w:tcMar>
          </w:tcPr>
          <w:p>
            <w:pPr>
              <w:spacing w:after="0"/>
            </w:pPr>
            <w:r>
              <w:rPr>
                <w:color w:val="1E293B"/>
                <w:sz w:val="15"/>
              </w:rPr>
              <w:t>Members: Vinodkumar (2411021061425), Nikhil kumar V (2411021061427), Kalyan kumar T (2411021061421)</w:t>
            </w:r>
          </w:p>
        </w:tc>
      </w:tr>
    </w:tbl>
    <w:p>
      <w:pPr>
        <w:spacing w:after="80"/>
      </w:pPr>
    </w:p>
    <w:p>
      <w:r>
        <w:rPr>
          <w:b/>
          <w:color w:val="0B2545"/>
          <w:sz w:val="22"/>
        </w:rPr>
        <w:t>1. Official Problem Statement</w:t>
      </w:r>
    </w:p>
    <w:p>
      <w:pPr>
        <w:spacing w:after="120"/>
        <w:ind w:left="288" w:right="288"/>
      </w:pPr>
      <w:r>
        <w:rPr>
          <w:i/>
          <w:color w:val="1E293B"/>
          <w:sz w:val="17"/>
        </w:rPr>
        <w:t>Educational institutions often face challenges in efficiently managing campus resources such as classrooms, laboratories, faculty schedules, parking spaces, electricity consumption, and facility maintenance. Resource allocation is typically performed manually, leading to underutilization, scheduling conflicts, increased operational costs, and poor user experience. There is a need for an intelligent campus management platform that can monitor resource utilization in real time, predict future demand, optimize scheduling, reduce energy consumption, and provide data-driven insights for administrators, faculty, and students.</w:t>
      </w:r>
    </w:p>
    <w:p>
      <w:r>
        <w:rPr>
          <w:b/>
          <w:color w:val="0B2545"/>
          <w:sz w:val="22"/>
        </w:rPr>
        <w:t>2. Operational Context and Institutional Motivation</w:t>
      </w:r>
    </w:p>
    <w:p>
      <w:r>
        <w:t>At large modern educational institutions such as the 60-acre Alliance University Central Campus in Bengaluru, managing hundreds of instructional spaces across academic blocks presents severe operational challenges. Historical data reveals three primary structural bottlenecks: 28.4% ghost booking rates on official timetables; manual timetable generation requiring hundreds of hours and resulting in recurring instructor/room clashes; and uncoordinated 380–420 kW chiller surges triggering costly BESCOM commercial peak demand surcharges.</w:t>
      </w:r>
    </w:p>
    <w:p>
      <w:r>
        <w:rPr>
          <w:b/>
          <w:color w:val="0B2545"/>
          <w:sz w:val="22"/>
        </w:rPr>
        <w:t>3. Proposed Solution Scope &amp; System Architecture</w:t>
      </w:r>
    </w:p>
    <w:p>
      <w:r>
        <w:t>The project involves designing and developing a Smart Campus Resource Management System integrating campus facilities into a centralized intelligent platform. Core subsystems include:</w:t>
        <w:br/>
        <w:t>• Centralized Management Dashboard: Role-based web/mobile dashboards for Administrators, Faculty, and Students.</w:t>
        <w:br/>
        <w:t>• Real-Time IoT Telemetry: PIR occupancy sensing, smart energy sub-meters, and ERP schedule integration.</w:t>
        <w:br/>
        <w:t>• ML Demand Forecasting: LSTM and Random Forest models forecasting space demand and maintenance requirements.</w:t>
        <w:br/>
        <w:t>• Automated Timetable Optimization: Constraint satisfaction solvers eliminating scheduling conflicts.</w:t>
        <w:br/>
        <w:t>• Energy Tracking &amp; Recommendations: Live power draw tracking, automated setbacks, and solar-BESS peak shaving.</w:t>
        <w:br/>
        <w:t>• Campus Digital Twin: Lightweight 3D WebGL spatial model enabling intuitive spatial auditing and heatmaps.</w:t>
      </w:r>
    </w:p>
    <w:p>
      <w:r>
        <w:rPr>
          <w:b/>
          <w:color w:val="0B2545"/>
          <w:sz w:val="22"/>
        </w:rPr>
        <w:t>4. Quantitative Baseline vs Engineering Targets</w:t>
      </w:r>
    </w:p>
    <w:tbl>
      <w:tblPr>
        <w:tblW w:type="auto" w:w="0"/>
        <w:jc w:val="center"/>
        <w:tblLook w:firstColumn="1" w:firstRow="1" w:lastColumn="0" w:lastRow="0" w:noHBand="0" w:noVBand="1" w:val="04A0"/>
      </w:tblPr>
      <w:tblGrid>
        <w:gridCol w:w="2700"/>
        <w:gridCol w:w="2700"/>
        <w:gridCol w:w="2700"/>
        <w:gridCol w:w="2700"/>
      </w:tblGrid>
      <w:tr>
        <w:tc>
          <w:tcPr>
            <w:tcW w:type="dxa" w:w="2700"/>
            <w:shd w:fill="0B2545"/>
            <w:tcMar>
              <w:top w:w="50" w:type="dxa"/>
              <w:bottom w:w="50" w:type="dxa"/>
              <w:left w:w="80" w:type="dxa"/>
              <w:right w:w="80" w:type="dxa"/>
            </w:tcMar>
          </w:tcPr>
          <w:p>
            <w:pPr>
              <w:spacing w:after="0"/>
            </w:pPr>
            <w:r>
              <w:rPr>
                <w:b/>
                <w:color w:val="FFFFFF"/>
                <w:sz w:val="15"/>
              </w:rPr>
              <w:t>&lt;b&gt;Performance Metric&lt;/b&gt;</w:t>
            </w:r>
          </w:p>
        </w:tc>
        <w:tc>
          <w:tcPr>
            <w:tcW w:type="dxa" w:w="2700"/>
            <w:shd w:fill="0B2545"/>
            <w:tcMar>
              <w:top w:w="50" w:type="dxa"/>
              <w:bottom w:w="50" w:type="dxa"/>
              <w:left w:w="80" w:type="dxa"/>
              <w:right w:w="80" w:type="dxa"/>
            </w:tcMar>
          </w:tcPr>
          <w:p>
            <w:pPr>
              <w:spacing w:after="0"/>
            </w:pPr>
            <w:r>
              <w:rPr>
                <w:b/>
                <w:color w:val="FFFFFF"/>
                <w:sz w:val="15"/>
              </w:rPr>
              <w:t>&lt;b&gt;Current Manual Baseline&lt;/b&gt;</w:t>
            </w:r>
          </w:p>
        </w:tc>
        <w:tc>
          <w:tcPr>
            <w:tcW w:type="dxa" w:w="2700"/>
            <w:shd w:fill="0B2545"/>
            <w:tcMar>
              <w:top w:w="50" w:type="dxa"/>
              <w:bottom w:w="50" w:type="dxa"/>
              <w:left w:w="80" w:type="dxa"/>
              <w:right w:w="80" w:type="dxa"/>
            </w:tcMar>
          </w:tcPr>
          <w:p>
            <w:pPr>
              <w:spacing w:after="0"/>
            </w:pPr>
            <w:r>
              <w:rPr>
                <w:b/>
                <w:color w:val="FFFFFF"/>
                <w:sz w:val="15"/>
              </w:rPr>
              <w:t>&lt;b&gt;Proposed AI Platform Target&lt;/b&gt;</w:t>
            </w:r>
          </w:p>
        </w:tc>
        <w:tc>
          <w:tcPr>
            <w:tcW w:type="dxa" w:w="2700"/>
            <w:shd w:fill="0B2545"/>
            <w:tcMar>
              <w:top w:w="50" w:type="dxa"/>
              <w:bottom w:w="50" w:type="dxa"/>
              <w:left w:w="80" w:type="dxa"/>
              <w:right w:w="80" w:type="dxa"/>
            </w:tcMar>
          </w:tcPr>
          <w:p>
            <w:pPr>
              <w:spacing w:after="0"/>
            </w:pPr>
            <w:r>
              <w:rPr>
                <w:b/>
                <w:color w:val="FFFFFF"/>
                <w:sz w:val="15"/>
              </w:rPr>
              <w:t>&lt;b&gt;Operational Benefit&lt;/b&gt;</w:t>
            </w:r>
          </w:p>
        </w:tc>
      </w:tr>
      <w:tr>
        <w:tc>
          <w:tcPr>
            <w:tcW w:type="dxa" w:w="2700"/>
            <w:shd w:fill="F8FAFC"/>
            <w:tcMar>
              <w:top w:w="50" w:type="dxa"/>
              <w:bottom w:w="50" w:type="dxa"/>
              <w:left w:w="80" w:type="dxa"/>
              <w:right w:w="80" w:type="dxa"/>
            </w:tcMar>
          </w:tcPr>
          <w:p>
            <w:pPr>
              <w:spacing w:after="0"/>
            </w:pPr>
            <w:r>
              <w:rPr>
                <w:b/>
                <w:color w:val="0B2545"/>
                <w:sz w:val="15"/>
              </w:rPr>
              <w:t>Classroom Seat Utilization</w:t>
            </w:r>
          </w:p>
        </w:tc>
        <w:tc>
          <w:tcPr>
            <w:tcW w:type="dxa" w:w="2700"/>
            <w:shd w:fill="F8FAFC"/>
            <w:tcMar>
              <w:top w:w="50" w:type="dxa"/>
              <w:bottom w:w="50" w:type="dxa"/>
              <w:left w:w="80" w:type="dxa"/>
              <w:right w:w="80" w:type="dxa"/>
            </w:tcMar>
          </w:tcPr>
          <w:p>
            <w:pPr>
              <w:spacing w:after="0"/>
            </w:pPr>
            <w:r>
              <w:rPr>
                <w:color w:val="1E293B"/>
                <w:sz w:val="15"/>
              </w:rPr>
              <w:t>48.2% average fill-rate</w:t>
            </w:r>
          </w:p>
        </w:tc>
        <w:tc>
          <w:tcPr>
            <w:tcW w:type="dxa" w:w="2700"/>
            <w:shd w:fill="F8FAFC"/>
            <w:tcMar>
              <w:top w:w="50" w:type="dxa"/>
              <w:bottom w:w="50" w:type="dxa"/>
              <w:left w:w="80" w:type="dxa"/>
              <w:right w:w="80" w:type="dxa"/>
            </w:tcMar>
          </w:tcPr>
          <w:p>
            <w:pPr>
              <w:spacing w:after="0"/>
            </w:pPr>
            <w:r>
              <w:rPr>
                <w:color w:val="1E293B"/>
                <w:sz w:val="15"/>
              </w:rPr>
              <w:t>≥ 73.5% optimized fill-rate</w:t>
            </w:r>
          </w:p>
        </w:tc>
        <w:tc>
          <w:tcPr>
            <w:tcW w:type="dxa" w:w="2700"/>
            <w:shd w:fill="F8FAFC"/>
            <w:tcMar>
              <w:top w:w="50" w:type="dxa"/>
              <w:bottom w:w="50" w:type="dxa"/>
              <w:left w:w="80" w:type="dxa"/>
              <w:right w:w="80" w:type="dxa"/>
            </w:tcMar>
          </w:tcPr>
          <w:p>
            <w:pPr>
              <w:spacing w:after="0"/>
            </w:pPr>
            <w:r>
              <w:rPr>
                <w:color w:val="1E293B"/>
                <w:sz w:val="15"/>
              </w:rPr>
              <w:t>+25.3% space efficiency gain</w:t>
            </w:r>
          </w:p>
        </w:tc>
      </w:tr>
      <w:tr>
        <w:tc>
          <w:tcPr>
            <w:tcW w:type="dxa" w:w="2700"/>
            <w:shd w:fill="FFFFFF"/>
            <w:tcMar>
              <w:top w:w="50" w:type="dxa"/>
              <w:bottom w:w="50" w:type="dxa"/>
              <w:left w:w="80" w:type="dxa"/>
              <w:right w:w="80" w:type="dxa"/>
            </w:tcMar>
          </w:tcPr>
          <w:p>
            <w:pPr>
              <w:spacing w:after="0"/>
            </w:pPr>
            <w:r>
              <w:rPr>
                <w:b/>
                <w:color w:val="0B2545"/>
                <w:sz w:val="15"/>
              </w:rPr>
              <w:t>Ghost Booking Wastage</w:t>
            </w:r>
          </w:p>
        </w:tc>
        <w:tc>
          <w:tcPr>
            <w:tcW w:type="dxa" w:w="2700"/>
            <w:shd w:fill="FFFFFF"/>
            <w:tcMar>
              <w:top w:w="50" w:type="dxa"/>
              <w:bottom w:w="50" w:type="dxa"/>
              <w:left w:w="80" w:type="dxa"/>
              <w:right w:w="80" w:type="dxa"/>
            </w:tcMar>
          </w:tcPr>
          <w:p>
            <w:pPr>
              <w:spacing w:after="0"/>
            </w:pPr>
            <w:r>
              <w:rPr>
                <w:color w:val="1E293B"/>
                <w:sz w:val="15"/>
              </w:rPr>
              <w:t>28.4% reserved slots vacant</w:t>
            </w:r>
          </w:p>
        </w:tc>
        <w:tc>
          <w:tcPr>
            <w:tcW w:type="dxa" w:w="2700"/>
            <w:shd w:fill="FFFFFF"/>
            <w:tcMar>
              <w:top w:w="50" w:type="dxa"/>
              <w:bottom w:w="50" w:type="dxa"/>
              <w:left w:w="80" w:type="dxa"/>
              <w:right w:w="80" w:type="dxa"/>
            </w:tcMar>
          </w:tcPr>
          <w:p>
            <w:pPr>
              <w:spacing w:after="0"/>
            </w:pPr>
            <w:r>
              <w:rPr>
                <w:color w:val="1E293B"/>
                <w:sz w:val="15"/>
              </w:rPr>
              <w:t>&lt; 5.0% vacant through auto-release</w:t>
            </w:r>
          </w:p>
        </w:tc>
        <w:tc>
          <w:tcPr>
            <w:tcW w:type="dxa" w:w="2700"/>
            <w:shd w:fill="FFFFFF"/>
            <w:tcMar>
              <w:top w:w="50" w:type="dxa"/>
              <w:bottom w:w="50" w:type="dxa"/>
              <w:left w:w="80" w:type="dxa"/>
              <w:right w:w="80" w:type="dxa"/>
            </w:tcMar>
          </w:tcPr>
          <w:p>
            <w:pPr>
              <w:spacing w:after="0"/>
            </w:pPr>
            <w:r>
              <w:rPr>
                <w:color w:val="1E293B"/>
                <w:sz w:val="15"/>
              </w:rPr>
              <w:t>Reclaims 4.2 hrs/room weekly</w:t>
            </w:r>
          </w:p>
        </w:tc>
      </w:tr>
      <w:tr>
        <w:tc>
          <w:tcPr>
            <w:tcW w:type="dxa" w:w="2700"/>
            <w:shd w:fill="F8FAFC"/>
            <w:tcMar>
              <w:top w:w="50" w:type="dxa"/>
              <w:bottom w:w="50" w:type="dxa"/>
              <w:left w:w="80" w:type="dxa"/>
              <w:right w:w="80" w:type="dxa"/>
            </w:tcMar>
          </w:tcPr>
          <w:p>
            <w:pPr>
              <w:spacing w:after="0"/>
            </w:pPr>
            <w:r>
              <w:rPr>
                <w:b/>
                <w:color w:val="0B2545"/>
                <w:sz w:val="15"/>
              </w:rPr>
              <w:t>Timetable Clashes</w:t>
            </w:r>
          </w:p>
        </w:tc>
        <w:tc>
          <w:tcPr>
            <w:tcW w:type="dxa" w:w="2700"/>
            <w:shd w:fill="F8FAFC"/>
            <w:tcMar>
              <w:top w:w="50" w:type="dxa"/>
              <w:bottom w:w="50" w:type="dxa"/>
              <w:left w:w="80" w:type="dxa"/>
              <w:right w:w="80" w:type="dxa"/>
            </w:tcMar>
          </w:tcPr>
          <w:p>
            <w:pPr>
              <w:spacing w:after="0"/>
            </w:pPr>
            <w:r>
              <w:rPr>
                <w:color w:val="1E293B"/>
                <w:sz w:val="15"/>
              </w:rPr>
              <w:t>12–18 clashes per semester</w:t>
            </w:r>
          </w:p>
        </w:tc>
        <w:tc>
          <w:tcPr>
            <w:tcW w:type="dxa" w:w="2700"/>
            <w:shd w:fill="F8FAFC"/>
            <w:tcMar>
              <w:top w:w="50" w:type="dxa"/>
              <w:bottom w:w="50" w:type="dxa"/>
              <w:left w:w="80" w:type="dxa"/>
              <w:right w:w="80" w:type="dxa"/>
            </w:tcMar>
          </w:tcPr>
          <w:p>
            <w:pPr>
              <w:spacing w:after="0"/>
            </w:pPr>
            <w:r>
              <w:rPr>
                <w:color w:val="1E293B"/>
                <w:sz w:val="15"/>
              </w:rPr>
              <w:t>0 hard clashes (100% elimination)</w:t>
            </w:r>
          </w:p>
        </w:tc>
        <w:tc>
          <w:tcPr>
            <w:tcW w:type="dxa" w:w="2700"/>
            <w:shd w:fill="F8FAFC"/>
            <w:tcMar>
              <w:top w:w="50" w:type="dxa"/>
              <w:bottom w:w="50" w:type="dxa"/>
              <w:left w:w="80" w:type="dxa"/>
              <w:right w:w="80" w:type="dxa"/>
            </w:tcMar>
          </w:tcPr>
          <w:p>
            <w:pPr>
              <w:spacing w:after="0"/>
            </w:pPr>
            <w:r>
              <w:rPr>
                <w:color w:val="1E293B"/>
                <w:sz w:val="15"/>
              </w:rPr>
              <w:t>Zero manual rework overhead</w:t>
            </w:r>
          </w:p>
        </w:tc>
      </w:tr>
      <w:tr>
        <w:tc>
          <w:tcPr>
            <w:tcW w:type="dxa" w:w="2700"/>
            <w:shd w:fill="FFFFFF"/>
            <w:tcMar>
              <w:top w:w="50" w:type="dxa"/>
              <w:bottom w:w="50" w:type="dxa"/>
              <w:left w:w="80" w:type="dxa"/>
              <w:right w:w="80" w:type="dxa"/>
            </w:tcMar>
          </w:tcPr>
          <w:p>
            <w:pPr>
              <w:spacing w:after="0"/>
            </w:pPr>
            <w:r>
              <w:rPr>
                <w:b/>
                <w:color w:val="0B2545"/>
                <w:sz w:val="15"/>
              </w:rPr>
              <w:t>Peak Grid Energy Draw</w:t>
            </w:r>
          </w:p>
        </w:tc>
        <w:tc>
          <w:tcPr>
            <w:tcW w:type="dxa" w:w="2700"/>
            <w:shd w:fill="FFFFFF"/>
            <w:tcMar>
              <w:top w:w="50" w:type="dxa"/>
              <w:bottom w:w="50" w:type="dxa"/>
              <w:left w:w="80" w:type="dxa"/>
              <w:right w:w="80" w:type="dxa"/>
            </w:tcMar>
          </w:tcPr>
          <w:p>
            <w:pPr>
              <w:spacing w:after="0"/>
            </w:pPr>
            <w:r>
              <w:rPr>
                <w:color w:val="1E293B"/>
                <w:sz w:val="15"/>
              </w:rPr>
              <w:t>420 kW uncoordinated peak</w:t>
            </w:r>
          </w:p>
        </w:tc>
        <w:tc>
          <w:tcPr>
            <w:tcW w:type="dxa" w:w="2700"/>
            <w:shd w:fill="FFFFFF"/>
            <w:tcMar>
              <w:top w:w="50" w:type="dxa"/>
              <w:bottom w:w="50" w:type="dxa"/>
              <w:left w:w="80" w:type="dxa"/>
              <w:right w:w="80" w:type="dxa"/>
            </w:tcMar>
          </w:tcPr>
          <w:p>
            <w:pPr>
              <w:spacing w:after="0"/>
            </w:pPr>
            <w:r>
              <w:rPr>
                <w:color w:val="1E293B"/>
                <w:sz w:val="15"/>
              </w:rPr>
              <w:t>≤ 342 kW peak-shaved draw</w:t>
            </w:r>
          </w:p>
        </w:tc>
        <w:tc>
          <w:tcPr>
            <w:tcW w:type="dxa" w:w="2700"/>
            <w:shd w:fill="FFFFFF"/>
            <w:tcMar>
              <w:top w:w="50" w:type="dxa"/>
              <w:bottom w:w="50" w:type="dxa"/>
              <w:left w:w="80" w:type="dxa"/>
              <w:right w:w="80" w:type="dxa"/>
            </w:tcMar>
          </w:tcPr>
          <w:p>
            <w:pPr>
              <w:spacing w:after="0"/>
            </w:pPr>
            <w:r>
              <w:rPr>
                <w:color w:val="1E293B"/>
                <w:sz w:val="15"/>
              </w:rPr>
              <w:t>18.4% reduction in peak load</w:t>
            </w:r>
          </w:p>
        </w:tc>
      </w:tr>
      <w:tr>
        <w:tc>
          <w:tcPr>
            <w:tcW w:type="dxa" w:w="2700"/>
            <w:shd w:fill="F8FAFC"/>
            <w:tcMar>
              <w:top w:w="50" w:type="dxa"/>
              <w:bottom w:w="50" w:type="dxa"/>
              <w:left w:w="80" w:type="dxa"/>
              <w:right w:w="80" w:type="dxa"/>
            </w:tcMar>
          </w:tcPr>
          <w:p>
            <w:pPr>
              <w:spacing w:after="0"/>
            </w:pPr>
            <w:r>
              <w:rPr>
                <w:b/>
                <w:color w:val="0B2545"/>
                <w:sz w:val="15"/>
              </w:rPr>
              <w:t>Facility Booking Latency</w:t>
            </w:r>
          </w:p>
        </w:tc>
        <w:tc>
          <w:tcPr>
            <w:tcW w:type="dxa" w:w="2700"/>
            <w:shd w:fill="F8FAFC"/>
            <w:tcMar>
              <w:top w:w="50" w:type="dxa"/>
              <w:bottom w:w="50" w:type="dxa"/>
              <w:left w:w="80" w:type="dxa"/>
              <w:right w:w="80" w:type="dxa"/>
            </w:tcMar>
          </w:tcPr>
          <w:p>
            <w:pPr>
              <w:spacing w:after="0"/>
            </w:pPr>
            <w:r>
              <w:rPr>
                <w:color w:val="1E293B"/>
                <w:sz w:val="15"/>
              </w:rPr>
              <w:t>24–48 hours manual approval</w:t>
            </w:r>
          </w:p>
        </w:tc>
        <w:tc>
          <w:tcPr>
            <w:tcW w:type="dxa" w:w="2700"/>
            <w:shd w:fill="F8FAFC"/>
            <w:tcMar>
              <w:top w:w="50" w:type="dxa"/>
              <w:bottom w:w="50" w:type="dxa"/>
              <w:left w:w="80" w:type="dxa"/>
              <w:right w:w="80" w:type="dxa"/>
            </w:tcMar>
          </w:tcPr>
          <w:p>
            <w:pPr>
              <w:spacing w:after="0"/>
            </w:pPr>
            <w:r>
              <w:rPr>
                <w:color w:val="1E293B"/>
                <w:sz w:val="15"/>
              </w:rPr>
              <w:t>&lt; 2 seconds instant AI approval</w:t>
            </w:r>
          </w:p>
        </w:tc>
        <w:tc>
          <w:tcPr>
            <w:tcW w:type="dxa" w:w="2700"/>
            <w:shd w:fill="F8FAFC"/>
            <w:tcMar>
              <w:top w:w="50" w:type="dxa"/>
              <w:bottom w:w="50" w:type="dxa"/>
              <w:left w:w="80" w:type="dxa"/>
              <w:right w:w="80" w:type="dxa"/>
            </w:tcMar>
          </w:tcPr>
          <w:p>
            <w:pPr>
              <w:spacing w:after="0"/>
            </w:pPr>
            <w:r>
              <w:rPr>
                <w:color w:val="1E293B"/>
                <w:sz w:val="15"/>
              </w:rPr>
              <w:t>Real-time automated workflow</w:t>
            </w:r>
          </w:p>
        </w:tc>
      </w:tr>
      <w:tr>
        <w:tc>
          <w:tcPr>
            <w:tcW w:type="dxa" w:w="2700"/>
            <w:shd w:fill="FFFFFF"/>
            <w:tcMar>
              <w:top w:w="50" w:type="dxa"/>
              <w:bottom w:w="50" w:type="dxa"/>
              <w:left w:w="80" w:type="dxa"/>
              <w:right w:w="80" w:type="dxa"/>
            </w:tcMar>
          </w:tcPr>
          <w:p>
            <w:pPr>
              <w:spacing w:after="0"/>
            </w:pPr>
            <w:r>
              <w:rPr>
                <w:b/>
                <w:color w:val="0B2545"/>
                <w:sz w:val="15"/>
              </w:rPr>
              <w:t>Administrative Reporting</w:t>
            </w:r>
          </w:p>
        </w:tc>
        <w:tc>
          <w:tcPr>
            <w:tcW w:type="dxa" w:w="2700"/>
            <w:shd w:fill="FFFFFF"/>
            <w:tcMar>
              <w:top w:w="50" w:type="dxa"/>
              <w:bottom w:w="50" w:type="dxa"/>
              <w:left w:w="80" w:type="dxa"/>
              <w:right w:w="80" w:type="dxa"/>
            </w:tcMar>
          </w:tcPr>
          <w:p>
            <w:pPr>
              <w:spacing w:after="0"/>
            </w:pPr>
            <w:r>
              <w:rPr>
                <w:color w:val="1E293B"/>
                <w:sz w:val="15"/>
              </w:rPr>
              <w:t>3–5 days manual aggregation</w:t>
            </w:r>
          </w:p>
        </w:tc>
        <w:tc>
          <w:tcPr>
            <w:tcW w:type="dxa" w:w="2700"/>
            <w:shd w:fill="FFFFFF"/>
            <w:tcMar>
              <w:top w:w="50" w:type="dxa"/>
              <w:bottom w:w="50" w:type="dxa"/>
              <w:left w:w="80" w:type="dxa"/>
              <w:right w:w="80" w:type="dxa"/>
            </w:tcMar>
          </w:tcPr>
          <w:p>
            <w:pPr>
              <w:spacing w:after="0"/>
            </w:pPr>
            <w:r>
              <w:rPr>
                <w:color w:val="1E293B"/>
                <w:sz w:val="15"/>
              </w:rPr>
              <w:t>Real-time 1-click automated export</w:t>
            </w:r>
          </w:p>
        </w:tc>
        <w:tc>
          <w:tcPr>
            <w:tcW w:type="dxa" w:w="2700"/>
            <w:shd w:fill="FFFFFF"/>
            <w:tcMar>
              <w:top w:w="50" w:type="dxa"/>
              <w:bottom w:w="50" w:type="dxa"/>
              <w:left w:w="80" w:type="dxa"/>
              <w:right w:w="80" w:type="dxa"/>
            </w:tcMar>
          </w:tcPr>
          <w:p>
            <w:pPr>
              <w:spacing w:after="0"/>
            </w:pPr>
            <w:r>
              <w:rPr>
                <w:color w:val="1E293B"/>
                <w:sz w:val="15"/>
              </w:rPr>
              <w:t>Continuous audit readiness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