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b/>
          <w:color w:val="0B2545"/>
          <w:sz w:val="24"/>
        </w:rPr>
        <w:t>ALLIANCE UNIVERSITY</w:t>
        <w:br/>
      </w:r>
      <w:r>
        <w:rPr>
          <w:b/>
          <w:color w:val="334155"/>
          <w:sz w:val="19"/>
        </w:rPr>
        <w:t>ALLIANCE SCHOOL OF ADVANCED COMPUTING (ASAC)</w:t>
        <w:br/>
      </w:r>
      <w:r>
        <w:rPr>
          <w:color w:val="475569"/>
          <w:sz w:val="16"/>
        </w:rPr>
        <w:t>Department of Computer Science &amp; Engineering | Academic Year 2026–2027</w:t>
        <w:br/>
      </w:r>
      <w:r>
        <w:rPr>
          <w:b/>
          <w:color w:val="B45309"/>
          <w:sz w:val="16"/>
        </w:rPr>
        <w:t>Course: Design Project – I (E1CSA313 / 5CS1990) | Batch: DP1-24-28-CSE-GEN-L-01</w:t>
      </w:r>
    </w:p>
    <w:p>
      <w:pPr>
        <w:spacing w:before="80" w:after="20"/>
      </w:pPr>
      <w:r>
        <w:rPr>
          <w:b/>
          <w:color w:val="0B2545"/>
          <w:sz w:val="24"/>
        </w:rPr>
        <w:t>Complex Engineering Problems Analysis</w:t>
      </w:r>
    </w:p>
    <w:p>
      <w:pPr>
        <w:spacing w:after="80"/>
      </w:pPr>
      <w:r>
        <w:rPr>
          <w:b/>
          <w:color w:val="B45309"/>
          <w:sz w:val="17"/>
        </w:rPr>
        <w:t>Process Manual Section 1.5 Compliance, Washington Accord Attributes &amp; Engineering Synthesis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Project: AI-Powered Smart Campus Resource Management System</w:t>
            </w:r>
          </w:p>
        </w:tc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Faculty Coordinator / Mentor: Dr. Rashmi Mothkur (ASAC CSE)</w:t>
            </w:r>
          </w:p>
        </w:tc>
      </w:tr>
      <w:tr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Team Lead: Likith S (2411021061437)</w:t>
            </w:r>
          </w:p>
        </w:tc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Members: Vinodkumar (2411021061425), Nikhil kumar V (2411021061427), Kalyan kumar T (2411021061421)</w:t>
            </w:r>
          </w:p>
        </w:tc>
      </w:tr>
    </w:tbl>
    <w:p>
      <w:pPr>
        <w:spacing w:after="80"/>
      </w:pPr>
    </w:p>
    <w:p>
      <w:r>
        <w:rPr>
          <w:b/>
          <w:color w:val="0B2545"/>
          <w:sz w:val="22"/>
        </w:rPr>
        <w:t>1. Compliance with Process Manual Section 1.5 &amp; ABET Criterion 5</w:t>
      </w:r>
    </w:p>
    <w:p>
      <w:r>
        <w:t>Per Section 1.5 of the Process Manual, engineering design projects inherently address complex engineering problems under ABET/NBA definitions. The table below maps each mandated attribute directly to the AI-Powered Smart Campus Resource Management System: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&lt;b&gt;Complex Problem Attribute&lt;/b&gt;</w:t>
            </w:r>
          </w:p>
        </w:tc>
        <w:tc>
          <w:tcPr>
            <w:tcW w:type="dxa" w:w="360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&lt;b&gt;Process Manual Criteria&lt;/b&gt;</w:t>
            </w:r>
          </w:p>
        </w:tc>
        <w:tc>
          <w:tcPr>
            <w:tcW w:type="dxa" w:w="360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&lt;b&gt;Implementation in Smart Campus Resource Management System&lt;/b&gt;</w:t>
            </w:r>
          </w:p>
        </w:tc>
      </w:tr>
      <w:tr>
        <w:tc>
          <w:tcPr>
            <w:tcW w:type="dxa" w:w="36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3"/>
              </w:rPr>
              <w:t>Deep Technical Knowledge Required (WA1)</w:t>
            </w:r>
          </w:p>
        </w:tc>
        <w:tc>
          <w:tcPr>
            <w:tcW w:type="dxa" w:w="36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Cannot be solved by simple textbook formulas; requires multi-disciplinary engineering synthesis.</w:t>
            </w:r>
          </w:p>
        </w:tc>
        <w:tc>
          <w:tcPr>
            <w:tcW w:type="dxa" w:w="36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Synthesizes machine learning (LSTM demand forecasting), non-linear constraint satisfaction algorithms (CSP room scheduling), IoT streaming protocols (MQTT/WebSockets), 3D WebGL graphics, and thermodynamic chiller energy balance equations.</w:t>
            </w:r>
          </w:p>
        </w:tc>
      </w:tr>
      <w:tr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3"/>
              </w:rPr>
              <w:t>Open-Ended, Multiple Solutions (WA2)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No single correct answer; engineering trade-offs exist between cost, performance, and reliability.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Navigated engineering trade-offs between 3D polygonal mesh fidelity (LOD) vs. client browser frame-rate (60 FPS), heuristic room allocation speed vs. global theoretical optimum, and peak chiller setback aggressive dispatch vs. occupant comfort (24.0 ± 1.0 °C).</w:t>
            </w:r>
          </w:p>
        </w:tc>
      </w:tr>
      <w:tr>
        <w:tc>
          <w:tcPr>
            <w:tcW w:type="dxa" w:w="36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3"/>
              </w:rPr>
              <w:t>Involves Conflicting Constraints (WA2/P2)</w:t>
            </w:r>
          </w:p>
        </w:tc>
        <w:tc>
          <w:tcPr>
            <w:tcW w:type="dxa" w:w="36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Lightweight vs. strong, low-cost vs. durable, fast vs. energy efficient.</w:t>
            </w:r>
          </w:p>
        </w:tc>
        <w:tc>
          <w:tcPr>
            <w:tcW w:type="dxa" w:w="36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Maximizing classroom seat fill-rate while minimizing student travel between distant campus blocks; aggressive commercial grid peak shaving vs. maintaining academic thermal comfort; rich visual 3D asset detail vs. strict web binary size limits (&lt;15 MB).</w:t>
            </w:r>
          </w:p>
        </w:tc>
      </w:tr>
      <w:tr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3"/>
              </w:rPr>
              <w:t>Not Fully Defined in Advance (WA4/P4)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Requirements evolve as the team discovers technical, operational, or customer constraints.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Initial project focus was limited to room scheduling; field operational audits revealed 28.4% ghost bookings and severe BESCOM maximum demand surcharges, prompting expansion to include automated space intelligence and solar-BESS microgrid balancing.</w:t>
            </w:r>
          </w:p>
        </w:tc>
      </w:tr>
      <w:tr>
        <w:tc>
          <w:tcPr>
            <w:tcW w:type="dxa" w:w="36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3"/>
              </w:rPr>
              <w:t>Requires Information Gathering (WA3/P3)</w:t>
            </w:r>
          </w:p>
        </w:tc>
        <w:tc>
          <w:tcPr>
            <w:tcW w:type="dxa" w:w="36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Literature review, vendor data, international standards (IEEE, ISO), user feedback.</w:t>
            </w:r>
          </w:p>
        </w:tc>
        <w:tc>
          <w:tcPr>
            <w:tcW w:type="dxa" w:w="36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Synthesized 15 peer-reviewed IEEE/Elsevier research publications (2024–2026), BESCOM commercial tariff rate cards, Alliance University GIS spatial blueprints, timetable ERP schemas, and semi-structured interviews with facilities electrical engineers.</w:t>
            </w:r>
          </w:p>
        </w:tc>
      </w:tr>
      <w:tr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3"/>
              </w:rPr>
              <w:t>Non-Standard Solution Path (WA4/P4)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Cannot be solved by routine methods; requires creativity, iteration, judgment.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Constructed a novel closed-loop cyber-physical coupling: real-time occupant spatial density dynamically drives localized chiller setback commands and battery energy storage dispatch in a zero-install browser canvas without proprietary BMS hardware.</w:t>
            </w:r>
          </w:p>
        </w:tc>
      </w:tr>
      <w:tr>
        <w:tc>
          <w:tcPr>
            <w:tcW w:type="dxa" w:w="36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3"/>
              </w:rPr>
              <w:t>Involves Real-World Constraints (WA5/P5)</w:t>
            </w:r>
          </w:p>
        </w:tc>
        <w:tc>
          <w:tcPr>
            <w:tcW w:type="dxa" w:w="36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Budget limits, safety regulations, supply chain issues, environmental impact.</w:t>
            </w:r>
          </w:p>
        </w:tc>
        <w:tc>
          <w:tcPr>
            <w:tcW w:type="dxa" w:w="36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Zero-dollar commercial software budget (100% open-source stack); non-intrusive student privacy regulations (strictly anonymous headcount data, zero biometric facial recognition); IEEE IoT wireless standards and ASHRAE 90.1 energy baselines.</w:t>
            </w:r>
          </w:p>
        </w:tc>
      </w:tr>
      <w:tr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3"/>
              </w:rPr>
              <w:t>Requires Teamwork &amp; Coordination (WA6/P6)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Different sub-systems must interface correctly; complex integration challenges arise.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Coordinated across 4 distinct specialized subsystems: Central Dashboard &amp; 3D Spatial Engine (Likith S), Energy Analytics &amp; Microgrid Routing (Vinodkumar), IoT Telemetry &amp; Sensor Simulation (Nikhil kumar V), and Timetable Optimization &amp; Space Intelligence (Kalyan kumar T).</w:t>
            </w:r>
          </w:p>
        </w:tc>
      </w:tr>
    </w:tbl>
    <w:p>
      <w:r>
        <w:rPr>
          <w:b/>
          <w:color w:val="0B2545"/>
          <w:sz w:val="22"/>
        </w:rPr>
        <w:t>2. Curricular Requirements &amp; Phased Deliverables (Section 1.6)</w:t>
      </w:r>
    </w:p>
    <w:p>
      <w:r>
        <w:t>• Phase 1: Design Project – I (5CS1990 / E1CSA313) [Semester V]: Requirements elicitation, literature review, mathematical analysis, centralized dashboard architecture, ML demand modeling, and functional simulation prototype (Completed 100%).</w:t>
        <w:br/>
        <w:t>• Phase 2: Design Project – II (6CS1991 / E1CSA314) [Semester VI]: Extended implementation, physical IoT deployment across campus buildings, and long-term multi-seasonal energy validation.</w:t>
        <w:br/>
        <w:t>• Mandated Outcomes: Working prototype, Scopus-indexed IEEE Conference Paper manuscript, complete Review Diary signed by Dr. Rashmi Mothkur.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