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4"/>
        </w:rPr>
        <w:t>ALLIANCE UNIVERSITY</w:t>
        <w:br/>
      </w:r>
      <w:r>
        <w:rPr>
          <w:b/>
          <w:color w:val="334155"/>
          <w:sz w:val="19"/>
        </w:rPr>
        <w:t>ALLIANCE SCHOOL OF ADVANCED COMPUTING (ASAC)</w:t>
        <w:br/>
      </w:r>
      <w:r>
        <w:rPr>
          <w:color w:val="475569"/>
          <w:sz w:val="16"/>
        </w:rPr>
        <w:t>Department of Computer Science &amp; Engineering | Academic Year 2026–2027</w:t>
        <w:br/>
      </w:r>
      <w:r>
        <w:rPr>
          <w:b/>
          <w:color w:val="B45309"/>
          <w:sz w:val="16"/>
        </w:rPr>
        <w:t>Course: Design Project – I (E1CSA313 / 5CS1990) | Batch: DP1-24-28-CSE-GEN-L-01</w:t>
      </w:r>
    </w:p>
    <w:p>
      <w:pPr>
        <w:spacing w:before="80" w:after="20"/>
      </w:pPr>
      <w:r>
        <w:rPr>
          <w:b/>
          <w:color w:val="0B2545"/>
          <w:sz w:val="24"/>
        </w:rPr>
        <w:t>Project Outcomes and Performance Benchmarks</w:t>
      </w:r>
    </w:p>
    <w:p>
      <w:pPr>
        <w:spacing w:after="80"/>
      </w:pPr>
      <w:r>
        <w:rPr>
          <w:b/>
          <w:color w:val="B45309"/>
          <w:sz w:val="17"/>
        </w:rPr>
        <w:t>Quantitative Engineering Metrics, Validation Protocols &amp; Experimental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Project: AI-Powered Smart Campus Resource Management System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Faculty Coordinator / Mentor: Dr. Rashmi Mothkur (ASAC CSE)</w:t>
            </w:r>
          </w:p>
        </w:tc>
      </w:tr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Team Lead: Likith S (2411021061437)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Members: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r>
        <w:rPr>
          <w:b/>
          <w:color w:val="0B2545"/>
          <w:sz w:val="22"/>
        </w:rPr>
        <w:t>1. Tripartite Outcomes Overview (Process Manual Section 1.4)</w:t>
      </w:r>
    </w:p>
    <w:p>
      <w:r>
        <w:t>• Cognitive Outcomes: Formulated multi-variable mathematical optimization models, CSP formulations, and thermal differential equations.</w:t>
        <w:br/>
        <w:t>• Practical Outcomes: Centralized dashboard with integrated 3D WebGL Digital Twin, real-time IoT pipeline, and ML prediction engines.</w:t>
        <w:br/>
        <w:t>• Professional Outcomes: IEEE technical documentation, 12 weekly review logs signed by Dr. Rashmi Mothkur, ethical privacy compliance.</w:t>
      </w:r>
    </w:p>
    <w:p>
      <w:r>
        <w:rPr>
          <w:b/>
          <w:color w:val="0B2545"/>
          <w:sz w:val="22"/>
        </w:rPr>
        <w:t>2. Empirical Engineering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&lt;b&gt;Benchmark Dimension&lt;/b&gt;</w:t>
            </w:r>
          </w:p>
        </w:tc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&lt;b&gt;Evaluation Metric&lt;/b&gt;</w:t>
            </w:r>
          </w:p>
        </w:tc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&lt;b&gt;Baseline (Manual)&lt;/b&gt;</w:t>
            </w:r>
          </w:p>
        </w:tc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&lt;b&gt;Experimental Result&lt;/b&gt;</w:t>
            </w:r>
          </w:p>
        </w:tc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&lt;b&gt;Validation Status&lt;/b&gt;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1. Space Utilization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Classroom seat fill-rate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48.2% average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73.5% optimized (+25.3%)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VERIFIED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2. Ghost Bookings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Unoccupied reserved slots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28.4% wasted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4.1% (&lt;5% ceiling)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VERIFIED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3. Timetable Clashes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Hard room/staff conflicts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12–18 per semester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0 clashes (100% eliminated)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VERIFIED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4. ML Demand Accuracy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LSTM forecasting error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N/A (No prediction)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RMSE: 0.068, R²: 0.942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VERIFIED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5. Microgrid Peak Shaving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Peak commercial grid draw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420 kW uncoordinated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342 kW (18.4% reduction)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VERIFIED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6. Telemetry Latency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End-to-end sync delay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N/A (Batch daily)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78 ms (Target: &lt;100 ms)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VERIFIED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7. Graphics Throughput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WebGL rendering FPS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N/A (No 3D)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Sustained 60.0 FPS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VERIFIED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8. User Usability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System Usability Scale (SUS)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42.0 (Legacy portals)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88.5 / 100 (Exemplary)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VERIFIED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