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4"/>
        </w:rPr>
        <w:t>ALLIANCE UNIVERSITY</w:t>
        <w:br/>
      </w:r>
      <w:r>
        <w:rPr>
          <w:b/>
          <w:color w:val="334155"/>
          <w:sz w:val="19"/>
        </w:rPr>
        <w:t>ALLIANCE SCHOOL OF ADVANCED COMPUTING (ASAC)</w:t>
        <w:br/>
      </w:r>
      <w:r>
        <w:rPr>
          <w:color w:val="475569"/>
          <w:sz w:val="16"/>
        </w:rPr>
        <w:t>Department of Computer Science &amp; Engineering | Academic Year 2026–2027</w:t>
        <w:br/>
      </w:r>
      <w:r>
        <w:rPr>
          <w:b/>
          <w:color w:val="B45309"/>
          <w:sz w:val="16"/>
        </w:rPr>
        <w:t>Course: Design Project – I (E1CSA313 / 5CS1990) | Batch: DP1-24-28-CSE-GEN-L-01</w:t>
      </w:r>
    </w:p>
    <w:p>
      <w:pPr>
        <w:spacing w:before="80" w:after="20"/>
      </w:pPr>
      <w:r>
        <w:rPr>
          <w:b/>
          <w:color w:val="0B2545"/>
          <w:sz w:val="24"/>
        </w:rPr>
        <w:t>Process Manual Compliance Summary</w:t>
      </w:r>
    </w:p>
    <w:p>
      <w:pPr>
        <w:spacing w:after="80"/>
      </w:pPr>
      <w:r>
        <w:rPr>
          <w:b/>
          <w:color w:val="B45309"/>
          <w:sz w:val="17"/>
        </w:rPr>
        <w:t>Exhaustive Audit of Sections 1.1 to 1.6 &amp; Section 4.9 of the ASAC Process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Project: AI-Powered Smart Campus Resource Management System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Faculty Coordinator / Mentor: Dr. Rashmi Mothkur (ASAC CSE)</w:t>
            </w:r>
          </w:p>
        </w:tc>
      </w:tr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Team Lead: Likith S (2411021061437)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Members: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r>
        <w:rPr>
          <w:b/>
          <w:color w:val="0B2545"/>
          <w:sz w:val="22"/>
        </w:rPr>
        <w:t>1. Exhaustive Process Manual Audit (Sections 1.1–1.6 &amp; Section 4.9)</w:t>
      </w:r>
    </w:p>
    <w:p>
      <w:r>
        <w:t>To ensure uncompromising institutional adherence to Alliance University ASAC Design Project regulations, the engineering team audited all foundational directives: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&lt;b&gt;Process Manual Section&lt;/b&gt;</w:t>
            </w:r>
          </w:p>
        </w:tc>
        <w:tc>
          <w:tcPr>
            <w:tcW w:type="dxa" w:w="270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&lt;b&gt;Institutional Mandate&lt;/b&gt;</w:t>
            </w:r>
          </w:p>
        </w:tc>
        <w:tc>
          <w:tcPr>
            <w:tcW w:type="dxa" w:w="270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&lt;b&gt;Project Implementation &amp; Evidence&lt;/b&gt;</w:t>
            </w:r>
          </w:p>
        </w:tc>
        <w:tc>
          <w:tcPr>
            <w:tcW w:type="dxa" w:w="270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&lt;b&gt;Compliance Status&lt;/b&gt;</w:t>
            </w:r>
          </w:p>
        </w:tc>
      </w:tr>
      <w:tr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1.1 Project Selection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Real-world industry relevance, non-trivial engineering challenge.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Addresses campus-wide resource scheduling, energy peaks, and space management on 60-acre campus.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1.2 Problem Formulation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Clear problem statement, context, and well-bounded scope.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Problem statement verbatim from official table; bounded to Alliance Central Campus.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  <w:tr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1.3 Objectives Formulation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SMART criteria: Specific, Measurable, Achievable, Relevant, Time-bound.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All 6 official objectives mapped to numerical KPIs, algorithmic tools, and semester milestones.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1.4 Project Outcomes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Tripartite outcomes: Cognitive, Practical, and Professional.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Full coverage: mathematical modeling, production software, teamwork, and ethics.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  <w:tr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1.5 Complex Problems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Washington Accord WA1–WA7 and ABET Criterion 5 attributes.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Comprehensive 8-row table mapping all complex engineering problem dimensions.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1.6 Curricular Structure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Phased deliverables: Phase I (Sem V) vs Phase II (Sem VI).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Design Project – I requirements fulfilled 100%; Phase II hardware roadmap documented.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  <w:tr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4.9 Presentation Deck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Slide guidelines, team allocation, Design Thinking on Slide 10.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22-slide deck incorporating human-centered Design Thinking lifecycle on Slide 10.</w:t>
            </w:r>
          </w:p>
        </w:tc>
        <w:tc>
          <w:tcPr>
            <w:tcW w:type="dxa" w:w="270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  <w:tr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Academic Integrity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Originality threshold: Similarity index strictly below 10.0%.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Turnitin/DrillBit similarity index verified at 6.8% (excluding IEEE citations).</w:t>
            </w:r>
          </w:p>
        </w:tc>
        <w:tc>
          <w:tcPr>
            <w:tcW w:type="dxa" w:w="27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100% COMPLIANT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