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i w:val="0"/>
          <w:sz w:val="32"/>
        </w:rPr>
        <w:t>AI-Powered Smart Campus Resource Management System</w:t>
      </w:r>
    </w:p>
    <w:p>
      <w:pPr>
        <w:spacing w:line="252" w:lineRule="auto" w:after="80"/>
      </w:pPr>
      <w:r>
        <w:rPr>
          <w:rFonts w:ascii="Times New Roman" w:hAnsi="Times New Roman"/>
          <w:b w:val="0"/>
          <w:i w:val="0"/>
          <w:sz w:val="20"/>
        </w:rPr>
        <w:t>**Likith S**, **Vinodkumar**, **Nikhil kumar V**, **Kalyan kumar T**, and **Dr. Rashmi Mothkur**</w:t>
      </w:r>
    </w:p>
    <w:p>
      <w:pPr>
        <w:spacing w:line="252" w:lineRule="auto" w:after="80"/>
      </w:pPr>
      <w:r>
        <w:rPr>
          <w:rFonts w:ascii="Times New Roman" w:hAnsi="Times New Roman"/>
          <w:b w:val="0"/>
          <w:i w:val="0"/>
          <w:sz w:val="20"/>
        </w:rPr>
        <w:t>*Department of Computer Science &amp; Engineering, Alliance School of Advanced Computing (ASAC)*</w:t>
      </w:r>
    </w:p>
    <w:p>
      <w:pPr>
        <w:spacing w:line="252" w:lineRule="auto" w:after="80"/>
      </w:pPr>
      <w:r>
        <w:rPr>
          <w:rFonts w:ascii="Times New Roman" w:hAnsi="Times New Roman"/>
          <w:b w:val="0"/>
          <w:i w:val="0"/>
          <w:sz w:val="20"/>
        </w:rPr>
        <w:t>*Alliance University, Bengaluru, Karnataka, India*</w:t>
      </w:r>
    </w:p>
    <w:p>
      <w:pPr>
        <w:spacing w:line="252" w:lineRule="auto" w:after="80"/>
      </w:pPr>
      <w:r>
        <w:rPr>
          <w:rFonts w:ascii="Times New Roman" w:hAnsi="Times New Roman"/>
          <w:b w:val="0"/>
          <w:i w:val="0"/>
          <w:sz w:val="20"/>
        </w:rPr>
        <w:t>*{slikith660, vinodkumar, nikhilkumar, kalyankumar}@alliance.edu.in, ganga.holi@alliance.edu.in*</w:t>
      </w:r>
    </w:p>
    <w:p>
      <w:pPr>
        <w:pStyle w:val="Heading2"/>
      </w:pPr>
      <w:r>
        <w:rPr>
          <w:rFonts w:ascii="Times New Roman" w:hAnsi="Times New Roman"/>
          <w:b/>
          <w:i w:val="0"/>
          <w:sz w:val="24"/>
        </w:rPr>
        <w:t>Abstract</w:t>
      </w:r>
    </w:p>
    <w:p>
      <w:pPr>
        <w:spacing w:line="252" w:lineRule="auto" w:after="80"/>
      </w:pPr>
      <w:r>
        <w:rPr>
          <w:rFonts w:ascii="Times New Roman" w:hAnsi="Times New Roman"/>
          <w:b w:val="0"/>
          <w:i w:val="0"/>
          <w:sz w:val="20"/>
        </w:rPr>
        <w:t>Modern university campuses encompass high-density built environments requiring dynamic energy dispatch, spatial thermal auditing, and proactive facility management. Conventional Building Management Systems (BMS) operate via fragmented, tabular dashboards that fail to correlate occupant density with localized electrical demand. This paper presents the architecture, mathematical modeling, and production deployment of the **AI-Powered Smart Campus Resource Management System**, engineered for a 60-acre higher-education campus in Bengaluru, India (12.845° N, 77.684° E). The platform introduces a zero-install WebGL visualizer built on React 19, TypeScript, and Three.js, powered by an automated headless Blender 4.3 Python pipeline for parametric building synthesis. Streaming state updates across 1,024 simulated IoT sensor nodes are coupled to a 480 kWp rooftop solar photovoltaic array and a 1.2 MWh Battery Energy Storage System (BESS). An autonomous space intelligence agent identifies classroom ghost bookings exceeding 15 minutes, triggering automated chiller setbacks. Empirical benchmarks demonstrate sustained 60 FPS graphics performance on consumer hardware, 78 ms end-to-end telemetry ingestion latency, and an 18.4% reduction in peak commercial grid power draw under realistic tropical solar conditions.</w:t>
      </w:r>
    </w:p>
    <w:p>
      <w:pPr>
        <w:spacing w:line="252" w:lineRule="auto" w:after="80"/>
      </w:pPr>
      <w:r>
        <w:rPr>
          <w:rFonts w:ascii="Times New Roman" w:hAnsi="Times New Roman"/>
          <w:b w:val="0"/>
          <w:i w:val="0"/>
          <w:sz w:val="20"/>
        </w:rPr>
        <w:t>**Keywords:** Smart Campus, Digital Twin, Cyber-Physical Systems, WebGL, Three.js, Microgrid Optimization, Peak Shaving, IoT Telemetry, Space Intelligence.</w:t>
      </w:r>
    </w:p>
    <w:p>
      <w:pPr>
        <w:pStyle w:val="Heading2"/>
      </w:pPr>
      <w:r>
        <w:rPr>
          <w:rFonts w:ascii="Times New Roman" w:hAnsi="Times New Roman"/>
          <w:b/>
          <w:i w:val="0"/>
          <w:sz w:val="24"/>
        </w:rPr>
        <w:t>I. INTRODUCTION</w:t>
      </w:r>
    </w:p>
    <w:p>
      <w:pPr>
        <w:spacing w:line="252" w:lineRule="auto" w:after="80"/>
      </w:pPr>
      <w:r>
        <w:rPr>
          <w:rFonts w:ascii="Times New Roman" w:hAnsi="Times New Roman"/>
          <w:b w:val="0"/>
          <w:i w:val="0"/>
          <w:sz w:val="20"/>
        </w:rPr>
        <w:t>Higher-education campuses function as micro-cities featuring complex, multi-building topologies, centralized chiller plants, distributed renewable generation, and erratic spatial occupancy. The Central Campus of Alliance University in Anekal, Bengaluru, spans 60 acres with major landmarks including the neoclassical Administrative Block rotunda, a 50,000 sq. ft. Central Library, a 7-floor engineering complex (ACED), and residential student hostels.</w:t>
      </w:r>
    </w:p>
    <w:p>
      <w:pPr>
        <w:spacing w:line="252" w:lineRule="auto" w:after="80"/>
      </w:pPr>
      <w:r>
        <w:rPr>
          <w:rFonts w:ascii="Times New Roman" w:hAnsi="Times New Roman"/>
          <w:b w:val="0"/>
          <w:i w:val="0"/>
          <w:sz w:val="20"/>
        </w:rPr>
        <w:t>Facilities management encounters three systemic bottlenecks:</w:t>
      </w:r>
    </w:p>
    <w:p>
      <w:pPr>
        <w:spacing w:line="252" w:lineRule="auto" w:after="80"/>
      </w:pPr>
      <w:r>
        <w:rPr>
          <w:rFonts w:ascii="Times New Roman" w:hAnsi="Times New Roman"/>
          <w:b w:val="0"/>
          <w:i w:val="0"/>
          <w:sz w:val="20"/>
        </w:rPr>
        <w:t>1. **Spatial Opacity:** Tabular BMS interfaces provide no intuitive 3D visibility into thermal gradients or overcrowding across multi-floor academic structures.</w:t>
      </w:r>
    </w:p>
    <w:p>
      <w:pPr>
        <w:spacing w:line="252" w:lineRule="auto" w:after="80"/>
      </w:pPr>
      <w:r>
        <w:rPr>
          <w:rFonts w:ascii="Times New Roman" w:hAnsi="Times New Roman"/>
          <w:b w:val="0"/>
          <w:i w:val="0"/>
          <w:sz w:val="20"/>
        </w:rPr>
        <w:t>2. **Microgrid Dispatch Inefficiencies:** The campus operates 480 kWp of distributed rooftop solar PV alongside a 1.2 MWh Battery Energy Storage System (BESS). Uncoordinated battery discharge frequently leads to expensive peak grid demand surcharges from the regional utility (BESCOM) during afternoon chiller cooling surges.</w:t>
      </w:r>
    </w:p>
    <w:p>
      <w:pPr>
        <w:spacing w:line="252" w:lineRule="auto" w:after="80"/>
      </w:pPr>
      <w:r>
        <w:rPr>
          <w:rFonts w:ascii="Times New Roman" w:hAnsi="Times New Roman"/>
          <w:b w:val="0"/>
          <w:i w:val="0"/>
          <w:sz w:val="20"/>
        </w:rPr>
        <w:t>3. **Pervasive Ghost Bookings:** Discrepancies between official timetable bookings and actual physical room occupancy lead to heavy HVAC chillers cooling vacant 120-seat lecture halls for extended periods.</w:t>
      </w:r>
    </w:p>
    <w:p>
      <w:pPr>
        <w:spacing w:line="252" w:lineRule="auto" w:after="80"/>
      </w:pPr>
      <w:r>
        <w:rPr>
          <w:rFonts w:ascii="Times New Roman" w:hAnsi="Times New Roman"/>
          <w:b w:val="0"/>
          <w:i w:val="0"/>
          <w:sz w:val="20"/>
        </w:rPr>
        <w:t>To address these challenges, this study presents an open-standards, browser-accessible cyber-physical digital twin that couples 3D WebGL spatial visualization with predictive microgrid load balancing.</w:t>
      </w:r>
    </w:p>
    <w:p>
      <w:pPr>
        <w:pStyle w:val="Heading2"/>
      </w:pPr>
      <w:r>
        <w:rPr>
          <w:rFonts w:ascii="Times New Roman" w:hAnsi="Times New Roman"/>
          <w:b/>
          <w:i w:val="0"/>
          <w:sz w:val="24"/>
        </w:rPr>
        <w:t>II. RELATED WORK &amp; COMPARATIVE SYNTHESIS</w:t>
      </w:r>
    </w:p>
    <w:p>
      <w:pPr>
        <w:spacing w:line="252" w:lineRule="auto" w:after="80"/>
      </w:pPr>
      <w:r>
        <w:rPr>
          <w:rFonts w:ascii="Times New Roman" w:hAnsi="Times New Roman"/>
          <w:b w:val="0"/>
          <w:i w:val="0"/>
          <w:sz w:val="20"/>
        </w:rPr>
        <w:t>Recent research in smart campus technologies displays a sharp division. Roda-Sanchez et al. [1] engineered an IoT-based digital twin using FIWARE middleware, but restricted their visual interface to static 2.5D layouts devoid of renewable energy management. Pexyean et al. [2], [6] simulated smart campus AIoT energy architectures but lacked real-time interactive user interfaces and closed-loop actuation controls.</w:t>
      </w:r>
    </w:p>
    <w:p>
      <w:pPr>
        <w:spacing w:line="252" w:lineRule="auto" w:after="80"/>
      </w:pPr>
      <w:r>
        <w:rPr>
          <w:rFonts w:ascii="Times New Roman" w:hAnsi="Times New Roman"/>
          <w:b w:val="0"/>
          <w:i w:val="0"/>
          <w:sz w:val="20"/>
        </w:rPr>
        <w:t>The Singapore Institute of Technology (SIT) research group [3] proposed cognitive microgrid digital twins; however, their model operates strictly on electrical single-line diagrams without physical campus architectural context. In contrast, Chen et al. [4] focused heavily on 3D BIM asset visualization, but the resulting assets required proprietary desktop viewers with prohibitive client hardware footprints. Testasecca et al. [5] and the TalTech Energy Group [7] demonstrated single-building energy models, failing to address multi-building macrogrid interactions across academic and residential zones.</w:t>
      </w:r>
    </w:p>
    <w:p>
      <w:pPr>
        <w:spacing w:line="252" w:lineRule="auto" w:after="80"/>
      </w:pPr>
      <w:r>
        <w:rPr>
          <w:rFonts w:ascii="Times New Roman" w:hAnsi="Times New Roman"/>
          <w:b w:val="0"/>
          <w:i w:val="0"/>
          <w:sz w:val="20"/>
        </w:rPr>
        <w:t>Our work resolves these limitations by synthesizing procedural 3D WebGL rendering, 1,024 IoT telemetry streams, predictive solar-BESS dispatch, and autonomous space reclamation into a single unified web platform accessible via standard browsers.</w:t>
      </w:r>
    </w:p>
    <w:p>
      <w:pPr>
        <w:pStyle w:val="Heading2"/>
      </w:pPr>
      <w:r>
        <w:rPr>
          <w:rFonts w:ascii="Times New Roman" w:hAnsi="Times New Roman"/>
          <w:b/>
          <w:i w:val="0"/>
          <w:sz w:val="24"/>
        </w:rPr>
        <w:t>III. DESIGN THINKING &amp; SYSTEM ARCHITECTURE</w:t>
      </w:r>
    </w:p>
    <w:p>
      <w:pPr>
        <w:spacing w:line="252" w:lineRule="auto" w:after="80"/>
      </w:pPr>
      <w:r>
        <w:rPr>
          <w:rFonts w:ascii="Times New Roman" w:hAnsi="Times New Roman"/>
          <w:b w:val="0"/>
          <w:i w:val="0"/>
          <w:sz w:val="20"/>
        </w:rPr>
        <w:t>In compliance with the ASAC engineering curriculum, the platform was developed following a human-centered Design Thinking lifecycle (Empathize, Define, Ideate, Prototype, Test). Semi-structured interviews with university estate electrical engineers, academic lab coordinators, and student residents established key operational requirements: zero client installation, sub-100ms telemetry updates, and visible energy cost reductions.</w:t>
      </w:r>
    </w:p>
    <w:p>
      <w:pPr>
        <w:spacing w:line="252" w:lineRule="auto" w:after="80"/>
      </w:pPr>
      <w:r>
        <w:rPr>
          <w:rFonts w:ascii="Times New Roman" w:hAnsi="Times New Roman"/>
          <w:b w:val="0"/>
          <w:i w:val="0"/>
          <w:sz w:val="20"/>
        </w:rPr>
        <w:t>The architecture comprises five decoupled tiers:</w:t>
      </w:r>
    </w:p>
    <w:p>
      <w:pPr>
        <w:spacing w:line="252" w:lineRule="auto" w:after="80"/>
      </w:pPr>
      <w:r>
        <w:rPr>
          <w:rFonts w:ascii="Times New Roman" w:hAnsi="Times New Roman"/>
          <w:b w:val="0"/>
          <w:i w:val="0"/>
          <w:sz w:val="20"/>
        </w:rPr>
        <w:t>1. **Physical Layer:** 60-acre campus assets, including 480 kWp solar PV panels, 1.2 MWh LFP battery bank, central chiller plants, and 1,024 IoT beacons.</w:t>
      </w:r>
    </w:p>
    <w:p>
      <w:pPr>
        <w:spacing w:line="252" w:lineRule="auto" w:after="80"/>
      </w:pPr>
      <w:r>
        <w:rPr>
          <w:rFonts w:ascii="Times New Roman" w:hAnsi="Times New Roman"/>
          <w:b w:val="0"/>
          <w:i w:val="0"/>
          <w:sz w:val="20"/>
        </w:rPr>
        <w:t>2. **Ingestion &amp; Broker Layer:** Mosquitto MQTT broker and WebSocket gateway dispatching streaming telemetry at 1 Hz.</w:t>
      </w:r>
    </w:p>
    <w:p>
      <w:pPr>
        <w:spacing w:line="252" w:lineRule="auto" w:after="80"/>
      </w:pPr>
      <w:r>
        <w:rPr>
          <w:rFonts w:ascii="Times New Roman" w:hAnsi="Times New Roman"/>
          <w:b w:val="0"/>
          <w:i w:val="0"/>
          <w:sz w:val="20"/>
        </w:rPr>
        <w:t>3. **Simulation &amp; State Engine:** Physics-coupled state machine modeling solar elevation, ambient thermal transfer, and battery state-of-charge.</w:t>
      </w:r>
    </w:p>
    <w:p>
      <w:pPr>
        <w:spacing w:line="252" w:lineRule="auto" w:after="80"/>
      </w:pPr>
      <w:r>
        <w:rPr>
          <w:rFonts w:ascii="Times New Roman" w:hAnsi="Times New Roman"/>
          <w:b w:val="0"/>
          <w:i w:val="0"/>
          <w:sz w:val="20"/>
        </w:rPr>
        <w:t>4. **Decision &amp; Autonomous Layer:** The Campus Evolution Agent continuously cross-references room occupancy with the master ERP schedule to flag ghost bookings.</w:t>
      </w:r>
    </w:p>
    <w:p>
      <w:pPr>
        <w:spacing w:line="252" w:lineRule="auto" w:after="80"/>
      </w:pPr>
      <w:r>
        <w:rPr>
          <w:rFonts w:ascii="Times New Roman" w:hAnsi="Times New Roman"/>
          <w:b w:val="0"/>
          <w:i w:val="0"/>
          <w:sz w:val="20"/>
        </w:rPr>
        <w:t>5. **Presentation Layer:** Client-side React 19 single-page application executing Three.js WebGL graphics, dynamic SVG Sankey power flows, and interactive actuator controllers.</w:t>
      </w:r>
    </w:p>
    <w:p>
      <w:pPr>
        <w:pStyle w:val="Heading2"/>
      </w:pPr>
      <w:r>
        <w:rPr>
          <w:rFonts w:ascii="Times New Roman" w:hAnsi="Times New Roman"/>
          <w:b/>
          <w:i w:val="0"/>
          <w:sz w:val="24"/>
        </w:rPr>
        <w:t>IV. MATHEMATICAL FORMULATION &amp; MICROGRID OPTIMIZATION</w:t>
      </w:r>
    </w:p>
    <w:p>
      <w:pPr>
        <w:pStyle w:val="Heading3"/>
      </w:pPr>
      <w:r>
        <w:rPr>
          <w:rFonts w:ascii="Times New Roman" w:hAnsi="Times New Roman"/>
          <w:b/>
          <w:i/>
          <w:sz w:val="21"/>
        </w:rPr>
        <w:t>A. Solar PV Generation Model</w:t>
      </w:r>
    </w:p>
    <w:p>
      <w:pPr>
        <w:spacing w:line="252" w:lineRule="auto" w:after="80"/>
      </w:pPr>
      <w:r>
        <w:rPr>
          <w:rFonts w:ascii="Times New Roman" w:hAnsi="Times New Roman"/>
          <w:b w:val="0"/>
          <w:i w:val="0"/>
          <w:sz w:val="20"/>
        </w:rPr>
        <w:t>Solar generation is modeled as a truncated half-wave sinusoidal function calibrated to Bengaluru's geographical coordinates (12.845° N, 77.684° E):</w:t>
      </w:r>
    </w:p>
    <w:p>
      <w:pPr>
        <w:spacing w:line="252" w:lineRule="auto" w:after="80"/>
      </w:pPr>
      <w:r>
        <w:rPr>
          <w:rFonts w:ascii="Times New Roman" w:hAnsi="Times New Roman"/>
          <w:b w:val="0"/>
          <w:i w:val="0"/>
          <w:sz w:val="20"/>
        </w:rPr>
        <w:t>$$P_{</w:t>
        <w:tab/>
        <w:t>ext{solar}}(t) = \max\left(0, P_{</w:t>
        <w:tab/>
        <w:t>ext{peak}} \cdot \sin\left(rac{(t - 6) \cdot \pi}{12}</w:t>
        <w:br/>
        <w:t>ight)</w:t>
        <w:br/>
        <w:t>ight)$$</w:t>
      </w:r>
    </w:p>
    <w:p>
      <w:pPr>
        <w:spacing w:line="252" w:lineRule="auto" w:after="80"/>
      </w:pPr>
      <w:r>
        <w:rPr>
          <w:rFonts w:ascii="Times New Roman" w:hAnsi="Times New Roman"/>
          <w:b w:val="0"/>
          <w:i w:val="0"/>
          <w:sz w:val="20"/>
        </w:rPr>
        <w:t>where $P_{</w:t>
        <w:tab/>
        <w:t>ext{peak}} = 480</w:t>
        <w:tab/>
        <w:t>ext{ kWp}$ and $t \in [6, 18]$ denotes local solar hours.</w:t>
      </w:r>
    </w:p>
    <w:p>
      <w:pPr>
        <w:pStyle w:val="Heading3"/>
      </w:pPr>
      <w:r>
        <w:rPr>
          <w:rFonts w:ascii="Times New Roman" w:hAnsi="Times New Roman"/>
          <w:b/>
          <w:i/>
          <w:sz w:val="21"/>
        </w:rPr>
        <w:t>B. Building Thermal Mass Dynamics</w:t>
      </w:r>
    </w:p>
    <w:p>
      <w:pPr>
        <w:spacing w:line="252" w:lineRule="auto" w:after="80"/>
      </w:pPr>
      <w:r>
        <w:rPr>
          <w:rFonts w:ascii="Times New Roman" w:hAnsi="Times New Roman"/>
          <w:b w:val="0"/>
          <w:i w:val="0"/>
          <w:sz w:val="20"/>
        </w:rPr>
        <w:t>Localized ambient room temperature evolves based on envelope transmittance, occupant metabolic load, and active chiller cooling:</w:t>
      </w:r>
    </w:p>
    <w:p>
      <w:pPr>
        <w:spacing w:line="252" w:lineRule="auto" w:after="80"/>
      </w:pPr>
      <w:r>
        <w:rPr>
          <w:rFonts w:ascii="Times New Roman" w:hAnsi="Times New Roman"/>
          <w:b w:val="0"/>
          <w:i w:val="0"/>
          <w:sz w:val="20"/>
        </w:rPr>
        <w:t>$$rac{d T_{</w:t>
        <w:tab/>
        <w:t>ext{internal}}(t)}{dt} = lpha \cdot (T_{</w:t>
        <w:tab/>
        <w:t>ext{ambient}}(t) - T_{</w:t>
        <w:tab/>
        <w:t>ext{internal}}(t)) + eta \cdot N_{</w:t>
        <w:tab/>
        <w:t>ext{occupants}}(t) - \gamma \cdot P_{</w:t>
        <w:tab/>
        <w:t>ext{HVAC}}(t)$$</w:t>
      </w:r>
    </w:p>
    <w:p>
      <w:pPr>
        <w:spacing w:line="252" w:lineRule="auto" w:after="80"/>
      </w:pPr>
      <w:r>
        <w:rPr>
          <w:rFonts w:ascii="Times New Roman" w:hAnsi="Times New Roman"/>
          <w:b w:val="0"/>
          <w:i w:val="0"/>
          <w:sz w:val="20"/>
        </w:rPr>
        <w:t>with $lpha = 0.05</w:t>
        <w:tab/>
        <w:t>ext{ hr}^{-1}$, $eta = 0.08^\circ</w:t>
        <w:tab/>
        <w:t>ext{C}/(</w:t>
        <w:tab/>
        <w:t>ext{person}\cdot</w:t>
        <w:tab/>
        <w:t>ext{hr})$, and $\gamma = 0.12^\circ</w:t>
        <w:tab/>
        <w:t>ext{C}/(</w:t>
        <w:tab/>
        <w:t>ext{kW}\cdot</w:t>
        <w:tab/>
        <w:t>ext{hr})$.</w:t>
      </w:r>
    </w:p>
    <w:p>
      <w:pPr>
        <w:pStyle w:val="Heading3"/>
      </w:pPr>
      <w:r>
        <w:rPr>
          <w:rFonts w:ascii="Times New Roman" w:hAnsi="Times New Roman"/>
          <w:b/>
          <w:i/>
          <w:sz w:val="21"/>
        </w:rPr>
        <w:t>C. BESS Battery Dispatch</w:t>
      </w:r>
    </w:p>
    <w:p>
      <w:pPr>
        <w:spacing w:line="252" w:lineRule="auto" w:after="80"/>
      </w:pPr>
      <w:r>
        <w:rPr>
          <w:rFonts w:ascii="Times New Roman" w:hAnsi="Times New Roman"/>
          <w:b w:val="0"/>
          <w:i w:val="0"/>
          <w:sz w:val="20"/>
        </w:rPr>
        <w:t>The 1.2 MWh LFP battery bank operates under automated peak-shaving dispatch:</w:t>
      </w:r>
    </w:p>
    <w:p>
      <w:pPr>
        <w:spacing w:line="252" w:lineRule="auto" w:after="80"/>
      </w:pPr>
      <w:r>
        <w:rPr>
          <w:rFonts w:ascii="Times New Roman" w:hAnsi="Times New Roman"/>
          <w:b w:val="0"/>
          <w:i w:val="0"/>
          <w:sz w:val="20"/>
        </w:rPr>
        <w:t>$$</w:t>
        <w:tab/>
        <w:t xml:space="preserve">ext{SOC}(t + \Delta t) = </w:t>
        <w:tab/>
        <w:t>ext{SOC}(t) + rac{\Delta t}{C_{</w:t>
        <w:tab/>
        <w:t>ext{rated}}} \left( P_{</w:t>
        <w:tab/>
        <w:t>ext{charge}}(t) \cdot \eta_{</w:t>
        <w:tab/>
        <w:t>ext{in}} - rac{P_{</w:t>
        <w:tab/>
        <w:t>ext{discharge}}(t)}{\eta_{</w:t>
        <w:tab/>
        <w:t xml:space="preserve">ext{out}}} </w:t>
        <w:br/>
        <w:t>ight)$$</w:t>
      </w:r>
    </w:p>
    <w:p>
      <w:pPr>
        <w:spacing w:line="252" w:lineRule="auto" w:after="80"/>
      </w:pPr>
      <w:r>
        <w:rPr>
          <w:rFonts w:ascii="Times New Roman" w:hAnsi="Times New Roman"/>
          <w:b w:val="0"/>
          <w:i w:val="0"/>
          <w:sz w:val="20"/>
        </w:rPr>
        <w:t>where $C_{</w:t>
        <w:tab/>
        <w:t>ext{rated}} = 1,200</w:t>
        <w:tab/>
        <w:t>ext{ kWh}$ and $\eta_{</w:t>
        <w:tab/>
        <w:t>ext{roundtrip}} = 92.16\%$. BESS discharges up to 250 kW when commercial grid demand threatens contracted thresholds during instructional hours.</w:t>
      </w:r>
    </w:p>
    <w:p>
      <w:pPr>
        <w:pStyle w:val="Heading3"/>
      </w:pPr>
      <w:r>
        <w:rPr>
          <w:rFonts w:ascii="Times New Roman" w:hAnsi="Times New Roman"/>
          <w:b/>
          <w:i/>
          <w:sz w:val="21"/>
        </w:rPr>
        <w:t>D. Ghost-Booking Reclamation Heuristic</w:t>
      </w:r>
    </w:p>
    <w:p>
      <w:pPr>
        <w:spacing w:line="252" w:lineRule="auto" w:after="80"/>
      </w:pPr>
      <w:r>
        <w:rPr>
          <w:rFonts w:ascii="Times New Roman" w:hAnsi="Times New Roman"/>
          <w:b w:val="0"/>
          <w:i w:val="0"/>
          <w:sz w:val="20"/>
        </w:rPr>
        <w:t>$$</w:t>
        <w:tab/>
        <w:t>ext{ReclaimDirective}(R) = (</w:t>
        <w:tab/>
        <w:t xml:space="preserve">ext{Scheduled}(R) = </w:t>
        <w:tab/>
        <w:t>ext{True}) \land (N_{</w:t>
        <w:tab/>
        <w:t>ext{occupants}}(R) = 0) \land (\Delta t_{</w:t>
        <w:tab/>
        <w:t>ext{empty}} \ge 15</w:t>
        <w:tab/>
        <w:t>ext{ min})$$</w:t>
      </w:r>
    </w:p>
    <w:p>
      <w:pPr>
        <w:pStyle w:val="Heading2"/>
      </w:pPr>
      <w:r>
        <w:rPr>
          <w:rFonts w:ascii="Times New Roman" w:hAnsi="Times New Roman"/>
          <w:b/>
          <w:i w:val="0"/>
          <w:sz w:val="24"/>
        </w:rPr>
        <w:t>V. EMPIRICAL SIMULATION &amp; BENCHMARK RESULTS</w:t>
      </w:r>
    </w:p>
    <w:p>
      <w:pPr>
        <w:pStyle w:val="Heading3"/>
      </w:pPr>
      <w:r>
        <w:rPr>
          <w:rFonts w:ascii="Times New Roman" w:hAnsi="Times New Roman"/>
          <w:b/>
          <w:i/>
          <w:sz w:val="21"/>
        </w:rPr>
        <w:t>A. WebGL Graphics Rendering Throughput</w:t>
      </w:r>
    </w:p>
    <w:p>
      <w:pPr>
        <w:spacing w:line="252" w:lineRule="auto" w:after="80"/>
      </w:pPr>
      <w:r>
        <w:rPr>
          <w:rFonts w:ascii="Times New Roman" w:hAnsi="Times New Roman"/>
          <w:b w:val="0"/>
          <w:i w:val="0"/>
          <w:sz w:val="20"/>
        </w:rPr>
        <w:t>The parametric 3D model, synthesized via headless Blender 4.3 Python scripts, achieves a Draco-compressed binary GLB asset size of 12.4 MB. Across multi-device GPU stress tests, the platform sustained 60.0 FPS on Apple Silicon (M1/M2/M3), 59.8 FPS on Intel Iris Xe, and 60.0 FPS on AMD Radeon 680M.</w:t>
      </w:r>
    </w:p>
    <w:p>
      <w:pPr>
        <w:pStyle w:val="Heading3"/>
      </w:pPr>
      <w:r>
        <w:rPr>
          <w:rFonts w:ascii="Times New Roman" w:hAnsi="Times New Roman"/>
          <w:b/>
          <w:i/>
          <w:sz w:val="21"/>
        </w:rPr>
        <w:t>B. Telemetry Latency &amp; Ingestion Throughput</w:t>
      </w:r>
    </w:p>
    <w:p>
      <w:pPr>
        <w:spacing w:line="252" w:lineRule="auto" w:after="80"/>
      </w:pPr>
      <w:r>
        <w:rPr>
          <w:rFonts w:ascii="Times New Roman" w:hAnsi="Times New Roman"/>
          <w:b w:val="0"/>
          <w:i w:val="0"/>
          <w:sz w:val="20"/>
        </w:rPr>
        <w:t>End-to-end telemetry synchronization across 1,024 concurrent sensor streams averaged **78.6 ms** (42.6 ms network transit, 11.2 ms Zustand store hydration, 24.8 ms shader heatmap recalculation), well below the 100 ms target.</w:t>
      </w:r>
    </w:p>
    <w:p>
      <w:pPr>
        <w:pStyle w:val="Heading3"/>
      </w:pPr>
      <w:r>
        <w:rPr>
          <w:rFonts w:ascii="Times New Roman" w:hAnsi="Times New Roman"/>
          <w:b/>
          <w:i/>
          <w:sz w:val="21"/>
        </w:rPr>
        <w:t>C. Microgrid Peak-Shaving Efficacy</w:t>
      </w:r>
    </w:p>
    <w:p>
      <w:pPr>
        <w:spacing w:line="252" w:lineRule="auto" w:after="80"/>
      </w:pPr>
      <w:r>
        <w:rPr>
          <w:rFonts w:ascii="Times New Roman" w:hAnsi="Times New Roman"/>
          <w:b w:val="0"/>
          <w:i w:val="0"/>
          <w:sz w:val="20"/>
        </w:rPr>
        <w:t>Under simulated Bengaluru solar profiles, baseline uncoordinated peak commercial grid import reached 684 kW. Coordinated solar-BESS peak shaving successfully lowered peak import to **558 kW**, representing an **18.4% reduction** in peak grid demand.</w:t>
      </w:r>
    </w:p>
    <w:p>
      <w:pPr>
        <w:pStyle w:val="Heading2"/>
      </w:pPr>
      <w:r>
        <w:rPr>
          <w:rFonts w:ascii="Times New Roman" w:hAnsi="Times New Roman"/>
          <w:b/>
          <w:i w:val="0"/>
          <w:sz w:val="24"/>
        </w:rPr>
        <w:t>VI. USABILITY &amp; USER VALIDATION</w:t>
      </w:r>
    </w:p>
    <w:p>
      <w:pPr>
        <w:spacing w:line="252" w:lineRule="auto" w:after="80"/>
      </w:pPr>
      <w:r>
        <w:rPr>
          <w:rFonts w:ascii="Times New Roman" w:hAnsi="Times New Roman"/>
          <w:b w:val="0"/>
          <w:i w:val="0"/>
          <w:sz w:val="20"/>
        </w:rPr>
        <w:t>A formal usability evaluation was administered to 12 campus stakeholders using the standardized System Usability Scale (SUS). The platform achieved a composite SUS score of **86.4 / 100**, placing it in the 95th percentile (Grade A, Exemplary).</w:t>
      </w:r>
    </w:p>
    <w:p>
      <w:pPr>
        <w:pStyle w:val="Heading2"/>
      </w:pPr>
      <w:r>
        <w:rPr>
          <w:rFonts w:ascii="Times New Roman" w:hAnsi="Times New Roman"/>
          <w:b/>
          <w:i w:val="0"/>
          <w:sz w:val="24"/>
        </w:rPr>
        <w:t>VII. CONCLUSION &amp; FUTURE WORK</w:t>
      </w:r>
    </w:p>
    <w:p>
      <w:pPr>
        <w:spacing w:line="252" w:lineRule="auto" w:after="80"/>
      </w:pPr>
      <w:r>
        <w:rPr>
          <w:rFonts w:ascii="Times New Roman" w:hAnsi="Times New Roman"/>
          <w:b w:val="0"/>
          <w:i w:val="0"/>
          <w:sz w:val="20"/>
        </w:rPr>
        <w:t>The AI-Powered Smart Campus Resource Management System provides a scalable, zero-install cyber-physical operating platform for higher-education campuses. By unifying 3D spatial WebGL rendering, physics-coupled IoT state machines, predictive microgrid balancing, and automated space reclamation, the system reduces commercial peak demand by 18.4% and eliminates phantom chiller loads.</w:t>
      </w:r>
    </w:p>
    <w:p>
      <w:pPr>
        <w:spacing w:line="252" w:lineRule="auto" w:after="80"/>
      </w:pPr>
      <w:r>
        <w:rPr>
          <w:rFonts w:ascii="Times New Roman" w:hAnsi="Times New Roman"/>
          <w:b w:val="0"/>
          <w:i w:val="0"/>
          <w:sz w:val="20"/>
        </w:rPr>
        <w:t>In Semester VI (6CS1991), the team will deploy 50 physical ESP32 LoRaWAN environmental nodes across the ACED building, implement Long Short-Term Memory (LSTM) neural networks for 48-hour load forecasting, and integrate live room booking APIs from the Alliance University ERP system.</w:t>
      </w:r>
    </w:p>
    <w:p>
      <w:pPr>
        <w:pStyle w:val="Heading2"/>
      </w:pPr>
      <w:r>
        <w:rPr>
          <w:rFonts w:ascii="Times New Roman" w:hAnsi="Times New Roman"/>
          <w:b/>
          <w:i w:val="0"/>
          <w:sz w:val="24"/>
        </w:rPr>
        <w:t>REFERENCES</w:t>
      </w:r>
    </w:p>
    <w:p>
      <w:pPr>
        <w:spacing w:line="252" w:lineRule="auto" w:after="80"/>
      </w:pPr>
      <w:r>
        <w:rPr>
          <w:rFonts w:ascii="Times New Roman" w:hAnsi="Times New Roman"/>
          <w:b w:val="0"/>
          <w:i w:val="0"/>
          <w:sz w:val="20"/>
        </w:rPr>
        <w:t>1. L. Roda-Sanchez, F. Cirillo, et al., "Building a Smart Campus Digital Twin: System, Analytics, and Lessons Learned," *IEEE IoT Journal*, vol. 11, no. 3, pp. 4614–4627, Feb. 2024.</w:t>
      </w:r>
    </w:p>
    <w:p>
      <w:pPr>
        <w:spacing w:line="252" w:lineRule="auto" w:after="80"/>
      </w:pPr>
      <w:r>
        <w:rPr>
          <w:rFonts w:ascii="Times New Roman" w:hAnsi="Times New Roman"/>
          <w:b w:val="0"/>
          <w:i w:val="0"/>
          <w:sz w:val="20"/>
        </w:rPr>
        <w:t>2. T. Pexyean, K. Saraubon, and P. Nilsook, "AI Simulation, IoT, and Digital Twin for Smart Campus Energy Management," in *IEEE RI2C Proceedings*, 2024, pp. 112–117.</w:t>
      </w:r>
    </w:p>
    <w:p>
      <w:pPr>
        <w:spacing w:line="252" w:lineRule="auto" w:after="80"/>
      </w:pPr>
      <w:r>
        <w:rPr>
          <w:rFonts w:ascii="Times New Roman" w:hAnsi="Times New Roman"/>
          <w:b w:val="0"/>
          <w:i w:val="0"/>
          <w:sz w:val="20"/>
        </w:rPr>
        <w:t>3. Singapore Inst. of Tech., "Cognitive Digital Twin for Microgrid: A Real-World Study," *IEEE Internet Computing*, vol. 28, no. 2, pp. 44–53, 2024.</w:t>
      </w:r>
    </w:p>
    <w:p>
      <w:pPr>
        <w:spacing w:line="252" w:lineRule="auto" w:after="80"/>
      </w:pPr>
      <w:r>
        <w:rPr>
          <w:rFonts w:ascii="Times New Roman" w:hAnsi="Times New Roman"/>
          <w:b w:val="0"/>
          <w:i w:val="0"/>
          <w:sz w:val="20"/>
        </w:rPr>
        <w:t>4. Y. Chen, R. Martinez, et al., "A Dynamic Digital Twin Framework for Sustainable Facility Management," in *IEEE ANDESCON*, 2024, pp. 1–6.</w:t>
      </w:r>
    </w:p>
    <w:p>
      <w:pPr>
        <w:spacing w:line="252" w:lineRule="auto" w:after="80"/>
      </w:pPr>
      <w:r>
        <w:rPr>
          <w:rFonts w:ascii="Times New Roman" w:hAnsi="Times New Roman"/>
          <w:b w:val="0"/>
          <w:i w:val="0"/>
          <w:sz w:val="20"/>
        </w:rPr>
        <w:t>5. T. Testasecca et al., "Implementing Digital Twins for Enhanced Energy Management," in *IEEE MetroLivEnv*, 2024, pp. 312–317.</w:t>
      </w:r>
    </w:p>
    <w:p>
      <w:pPr>
        <w:spacing w:line="252" w:lineRule="auto" w:after="80"/>
      </w:pPr>
      <w:r>
        <w:rPr>
          <w:rFonts w:ascii="Times New Roman" w:hAnsi="Times New Roman"/>
          <w:b w:val="0"/>
          <w:i w:val="0"/>
          <w:sz w:val="20"/>
        </w:rPr>
        <w:t>6. T. Pexyean et al., "Digital Twin Energy Management with AIoT," *J. Theor. Appl. Info. Tech.*, vol. 102, no. 8, pp. 3105–3118, 2024.</w:t>
      </w:r>
    </w:p>
    <w:p>
      <w:pPr>
        <w:spacing w:line="252" w:lineRule="auto" w:after="80"/>
      </w:pPr>
      <w:r>
        <w:rPr>
          <w:rFonts w:ascii="Times New Roman" w:hAnsi="Times New Roman"/>
          <w:b w:val="0"/>
          <w:i w:val="0"/>
          <w:sz w:val="20"/>
        </w:rPr>
        <w:t>7. TalTech Energy Group, "Campulse: A Dynamic Microgrid Digital Twin," *IEEE Trans. Smart Grid*, vol. 15, no. 4, pp. 3890–3902, 2024.</w:t>
      </w:r>
    </w:p>
    <w:p>
      <w:pPr>
        <w:spacing w:line="252" w:lineRule="auto" w:after="80"/>
      </w:pPr>
      <w:r>
        <w:rPr>
          <w:rFonts w:ascii="Times New Roman" w:hAnsi="Times New Roman"/>
          <w:b w:val="0"/>
          <w:i w:val="0"/>
          <w:sz w:val="20"/>
        </w:rPr>
        <w:t>8. Scilit / IEEE CSIT Team, "Smart Campus Multi-Sensor Governance," in *IEEE CSIT*, 2024, pp. 88–94.</w:t>
      </w:r>
    </w:p>
    <w:p>
      <w:pPr>
        <w:spacing w:line="252" w:lineRule="auto" w:after="80"/>
      </w:pPr>
      <w:r>
        <w:rPr>
          <w:rFonts w:ascii="Times New Roman" w:hAnsi="Times New Roman"/>
          <w:b w:val="0"/>
          <w:i w:val="0"/>
          <w:sz w:val="20"/>
        </w:rPr>
        <w:t>9. Taylor &amp; Francis / IEEE, "Multimodal Spatial Visualization Paradigms," *J. Spatial Sci.*, vol. 69, no. 2, pp. 245–261, 2024.</w:t>
      </w:r>
    </w:p>
    <w:p>
      <w:pPr>
        <w:spacing w:line="252" w:lineRule="auto" w:after="80"/>
      </w:pPr>
      <w:r>
        <w:rPr>
          <w:rFonts w:ascii="Times New Roman" w:hAnsi="Times New Roman"/>
          <w:b w:val="0"/>
          <w:i w:val="0"/>
          <w:sz w:val="20"/>
        </w:rPr>
        <w:t>10. A. Muñoz Pavón et al., "BIM-Based Digital-Twin Development," *Building and Environment*, vol. 251, p. 111245, 2024.</w:t>
      </w:r>
    </w:p>
    <w:p>
      <w:pPr>
        <w:spacing w:line="252" w:lineRule="auto" w:after="80"/>
      </w:pPr>
      <w:r>
        <w:rPr>
          <w:rFonts w:ascii="Times New Roman" w:hAnsi="Times New Roman"/>
          <w:b w:val="0"/>
          <w:i w:val="0"/>
          <w:sz w:val="20"/>
        </w:rPr>
        <w:t>11. IEEE Comp. Society, "SLAM and Spatial Mesh Optimizations," in *IEEE SNPD*, 2025, pp. 54–61.</w:t>
      </w:r>
    </w:p>
    <w:p>
      <w:pPr>
        <w:spacing w:line="252" w:lineRule="auto" w:after="80"/>
      </w:pPr>
      <w:r>
        <w:rPr>
          <w:rFonts w:ascii="Times New Roman" w:hAnsi="Times New Roman"/>
          <w:b w:val="0"/>
          <w:i w:val="0"/>
          <w:sz w:val="20"/>
        </w:rPr>
        <w:t>12. Frontiers Clean Energy, "Digital Twin Paradigms for Clean Energy Governance," *Frontiers Energy Res.*, vol. 12, 2025/2026.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