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B8860B"/>
          <w:sz w:val="18"/>
        </w:rPr>
        <w:t>ALLIANCE UNIVERSITY · DEPARTMENT OF COMPUTER SCIENCE &amp; ENGINEERING · CAPSTONE 2026</w:t>
      </w:r>
    </w:p>
    <w:p>
      <w:pPr>
        <w:spacing w:before="40" w:after="80"/>
      </w:pPr>
      <w:r>
        <w:rPr>
          <w:b/>
          <w:color w:val="101827"/>
          <w:sz w:val="52"/>
        </w:rPr>
        <w:t>Smart Campus Digital Twin</w:t>
      </w:r>
    </w:p>
    <w:p>
      <w:pPr>
        <w:spacing w:before="0" w:after="280"/>
      </w:pPr>
      <w:r>
        <w:rPr>
          <w:i/>
          <w:color w:val="C27803"/>
          <w:sz w:val="24"/>
        </w:rPr>
        <w:t>Full Technical Architecture, Frontend/Backend Systems, Physical Campus Research &amp; Deployment Specification</w:t>
      </w:r>
    </w:p>
    <w:tbl>
      <w:tblPr>
        <w:tblW w:type="auto" w:w="0"/>
        <w:jc w:val="center"/>
        <w:tblLayout w:type="fixed"/>
        <w:tblLook w:firstColumn="1" w:firstRow="1" w:lastColumn="0" w:lastRow="0" w:noHBand="0" w:noVBand="1" w:val="04A0"/>
      </w:tblPr>
      <w:tblGrid>
        <w:gridCol w:w="4968"/>
        <w:gridCol w:w="4968"/>
      </w:tblGrid>
      <w:tr>
        <w:tc>
          <w:tcPr>
            <w:tcW w:type="dxa" w:w="4968"/>
            <w:shd w:fill="F8FAFC"/>
            <w:tcMar>
              <w:top w:w="100" w:type="dxa"/>
              <w:bottom w:w="100" w:type="dxa"/>
              <w:left w:w="150" w:type="dxa"/>
              <w:right w:w="150" w:type="dxa"/>
            </w:tcMar>
          </w:tcPr>
          <w:p>
            <w:pPr>
              <w:spacing w:after="40"/>
            </w:pPr>
            <w:r>
              <w:rPr>
                <w:b/>
                <w:color w:val="101827"/>
                <w:sz w:val="19"/>
              </w:rPr>
              <w:t xml:space="preserve">Project Status: </w:t>
            </w:r>
            <w:r>
              <w:rPr>
                <w:color w:val="334155"/>
                <w:sz w:val="19"/>
              </w:rPr>
              <w:t>Production Ready &amp; Verified Live</w:t>
            </w:r>
          </w:p>
        </w:tc>
        <w:tc>
          <w:tcPr>
            <w:tcW w:type="dxa" w:w="4968"/>
            <w:shd w:fill="F8FAFC"/>
            <w:tcMar>
              <w:top w:w="100" w:type="dxa"/>
              <w:bottom w:w="100" w:type="dxa"/>
              <w:left w:w="150" w:type="dxa"/>
              <w:right w:w="150" w:type="dxa"/>
            </w:tcMar>
          </w:tcPr>
          <w:p>
            <w:pPr>
              <w:spacing w:after="40"/>
            </w:pPr>
            <w:r>
              <w:rPr>
                <w:b/>
                <w:color w:val="101827"/>
                <w:sz w:val="19"/>
              </w:rPr>
              <w:t xml:space="preserve">Live URL: </w:t>
            </w:r>
            <w:r>
              <w:rPr>
                <w:color w:val="B8860B"/>
                <w:sz w:val="19"/>
              </w:rPr>
              <w:t>https://smart-campus-digital-twin-eight.vercel.app</w:t>
            </w:r>
          </w:p>
        </w:tc>
      </w:tr>
      <w:tr>
        <w:tc>
          <w:tcPr>
            <w:tcW w:type="dxa" w:w="4968"/>
            <w:shd w:fill="F8FAFC"/>
            <w:tcMar>
              <w:top w:w="100" w:type="dxa"/>
              <w:bottom w:w="100" w:type="dxa"/>
              <w:left w:w="150" w:type="dxa"/>
              <w:right w:w="150" w:type="dxa"/>
            </w:tcMar>
          </w:tcPr>
          <w:p>
            <w:pPr>
              <w:spacing w:after="40"/>
            </w:pPr>
            <w:r>
              <w:rPr>
                <w:b/>
                <w:color w:val="101827"/>
                <w:sz w:val="19"/>
              </w:rPr>
              <w:t xml:space="preserve">Physical Campus: </w:t>
            </w:r>
            <w:r>
              <w:rPr>
                <w:color w:val="334155"/>
                <w:sz w:val="19"/>
              </w:rPr>
              <w:t>Alliance University, Anekal Campus (60 Acres)</w:t>
            </w:r>
          </w:p>
        </w:tc>
        <w:tc>
          <w:tcPr>
            <w:tcW w:type="dxa" w:w="4968"/>
            <w:shd w:fill="F8FAFC"/>
            <w:tcMar>
              <w:top w:w="100" w:type="dxa"/>
              <w:bottom w:w="100" w:type="dxa"/>
              <w:left w:w="150" w:type="dxa"/>
              <w:right w:w="150" w:type="dxa"/>
            </w:tcMar>
          </w:tcPr>
          <w:p>
            <w:pPr>
              <w:spacing w:after="40"/>
            </w:pPr>
            <w:r>
              <w:rPr>
                <w:b/>
                <w:color w:val="101827"/>
                <w:sz w:val="19"/>
              </w:rPr>
              <w:t xml:space="preserve">3D Model Assets: </w:t>
            </w:r>
            <w:r>
              <w:rPr>
                <w:color w:val="334155"/>
                <w:sz w:val="19"/>
              </w:rPr>
              <w:t>Blender 4.3 (.blend) + WebGL GLTF (.glb)</w:t>
            </w:r>
          </w:p>
        </w:tc>
      </w:tr>
    </w:tbl>
    <w:p>
      <w:pPr>
        <w:spacing w:after="240"/>
      </w:pPr>
    </w:p>
    <w:p>
      <w:pPr>
        <w:keepNext/>
        <w:spacing w:before="360" w:after="120"/>
      </w:pPr>
      <w:r>
        <w:rPr>
          <w:b/>
          <w:color w:val="101827"/>
          <w:sz w:val="32"/>
        </w:rPr>
        <w:t>1. Executive Summary &amp; Project Vision</w:t>
      </w:r>
    </w:p>
    <w:p>
      <w:pPr>
        <w:spacing w:after="120"/>
      </w:pPr>
      <w:r>
        <w:t>The Alliance University Smart Campus Digital Twin is a cyber-physical spatial management platform developed as a flagship capstone engineering project for the Department of Computer Science &amp; Engineering (Class of 2026). It integrates real-time Three.js WebGL simulation, 1,000+ streaming IoT sensor feeds, 480 kWp rooftop solar microgrid routing, predictive load forecasting, autonomous spatial allocation, and direct facility actuator overrides across the 60-acre Anekal campus in Bengaluru.</w:t>
      </w:r>
    </w:p>
    <w:p>
      <w:pPr>
        <w:keepNext/>
        <w:spacing w:before="360" w:after="120"/>
      </w:pPr>
      <w:r>
        <w:rPr>
          <w:b/>
          <w:color w:val="101827"/>
          <w:sz w:val="32"/>
        </w:rPr>
        <w:t>2. Physical Campus Research &amp; Geographic Grounding</w:t>
      </w:r>
    </w:p>
    <w:p>
      <w:r>
        <w:t>Unlike generic 3D dashboards, this platform is mathematically grounded in the real-world physical layout of Alliance University's central campus on Chandapura-Anekal Main Road, Bengaluru (Coordinates: 12.845° N, 77.684° E). The spatial hierarchy and road topology were reconstructed from Google Maps satellite imagery, aerial surveys, and campus ground observations:</w:t>
      </w:r>
    </w:p>
    <w:p>
      <w:pPr>
        <w:pStyle w:val="ListBullet"/>
        <w:spacing w:before="40" w:after="60"/>
      </w:pPr>
      <w:r>
        <w:rPr>
          <w:b/>
          <w:color w:val="101827"/>
        </w:rPr>
        <w:t xml:space="preserve">Campus Gateway: </w:t>
      </w:r>
      <w:r>
        <w:rPr>
          <w:color w:val="334155"/>
        </w:rPr>
        <w:t>The campus entry point is aligned alongside Senior City, feeding into the primary campus arterial boulevard.</w:t>
      </w:r>
    </w:p>
    <w:p>
      <w:pPr>
        <w:pStyle w:val="ListBullet"/>
        <w:spacing w:before="40" w:after="60"/>
      </w:pPr>
      <w:r>
        <w:rPr>
          <w:b/>
          <w:color w:val="101827"/>
        </w:rPr>
        <w:t xml:space="preserve">Admin Block (ADMIN): </w:t>
      </w:r>
      <w:r>
        <w:rPr>
          <w:color w:val="334155"/>
        </w:rPr>
        <w:t>Positioned immediately on the right upon entering. Features a signature neoclassical circular dome, colonnade entry portico, and single-floor administrative offices.</w:t>
      </w:r>
    </w:p>
    <w:p>
      <w:pPr>
        <w:pStyle w:val="ListBullet"/>
        <w:spacing w:before="40" w:after="60"/>
      </w:pPr>
      <w:r>
        <w:rPr>
          <w:b/>
          <w:color w:val="101827"/>
        </w:rPr>
        <w:t xml:space="preserve">Parking Quad: </w:t>
      </w:r>
      <w:r>
        <w:rPr>
          <w:color w:val="334155"/>
        </w:rPr>
        <w:t>Multi-bay vehicle parking zone positioned immediately on the left across from the Admin Block.</w:t>
      </w:r>
    </w:p>
    <w:p>
      <w:pPr>
        <w:pStyle w:val="ListBullet"/>
        <w:spacing w:before="40" w:after="60"/>
      </w:pPr>
      <w:r>
        <w:rPr>
          <w:b/>
          <w:color w:val="101827"/>
        </w:rPr>
        <w:t xml:space="preserve">Central Boulevard: </w:t>
      </w:r>
      <w:r>
        <w:rPr>
          <w:color w:val="334155"/>
        </w:rPr>
        <w:t>A dual-carriageway road stretching ~100 meters inwards, lined with architectural shade trees and a central landscaped median.</w:t>
      </w:r>
    </w:p>
    <w:p>
      <w:pPr>
        <w:pStyle w:val="ListBullet"/>
        <w:spacing w:before="40" w:after="60"/>
      </w:pPr>
      <w:r>
        <w:rPr>
          <w:b/>
          <w:color w:val="101827"/>
        </w:rPr>
        <w:t xml:space="preserve">Central Library (LIB): </w:t>
      </w:r>
      <w:r>
        <w:rPr>
          <w:color w:val="334155"/>
        </w:rPr>
        <w:t>Located on the left side of the boulevard. A 4-floor, 50,000 sq ft circular rotunda dome building serving as the academic resource hub.</w:t>
      </w:r>
    </w:p>
    <w:p>
      <w:pPr>
        <w:pStyle w:val="ListBullet"/>
        <w:spacing w:before="40" w:after="60"/>
      </w:pPr>
      <w:r>
        <w:rPr>
          <w:b/>
          <w:color w:val="101827"/>
        </w:rPr>
        <w:t xml:space="preserve">Engineering Block (ACED): </w:t>
      </w:r>
      <w:r>
        <w:rPr>
          <w:color w:val="334155"/>
        </w:rPr>
        <w:t>The main road turns left leading straight to the 7-floor Alliance College of Engineering &amp; Design (ACED) building, housing CSE, AI/ML, and Robotics laboratories.</w:t>
      </w:r>
    </w:p>
    <w:p>
      <w:pPr>
        <w:pStyle w:val="ListBullet"/>
        <w:spacing w:before="40" w:after="60"/>
      </w:pPr>
      <w:r>
        <w:rPr>
          <w:b/>
          <w:color w:val="101827"/>
        </w:rPr>
        <w:t xml:space="preserve">Athletic Complex: </w:t>
      </w:r>
      <w:r>
        <w:rPr>
          <w:color w:val="334155"/>
        </w:rPr>
        <w:t>Located directly opposite the 7-floor B.Tech block on an open field, containing cricket practice nets, a volleyball court, and a multi-sport football/cricket ground.</w:t>
      </w:r>
    </w:p>
    <w:p>
      <w:pPr>
        <w:pStyle w:val="ListBullet"/>
        <w:spacing w:before="40" w:after="60"/>
      </w:pPr>
      <w:r>
        <w:rPr>
          <w:b/>
          <w:color w:val="101827"/>
        </w:rPr>
        <w:t xml:space="preserve">Residential Halls: </w:t>
      </w:r>
      <w:r>
        <w:rPr>
          <w:color w:val="334155"/>
        </w:rPr>
        <w:t>Men's and Women's residential wings positioned with green perimeter buffer zones.</w:t>
      </w:r>
    </w:p>
    <w:p>
      <w:pPr>
        <w:pStyle w:val="ListBullet"/>
        <w:spacing w:before="40" w:after="60"/>
      </w:pPr>
      <w:r>
        <w:rPr>
          <w:b/>
          <w:color w:val="101827"/>
        </w:rPr>
        <w:t xml:space="preserve">Microgrid &amp; STP: </w:t>
      </w:r>
      <w:r>
        <w:rPr>
          <w:color w:val="334155"/>
        </w:rPr>
        <w:t>480 kWp rooftop solar photovoltaic arrays, 1.2 MWh Battery Energy Storage System (BESS), and on-site Sewage Treatment Plant (STP) water recirculation loop.</w:t>
      </w:r>
    </w:p>
    <w:p>
      <w:pPr>
        <w:keepNext/>
        <w:spacing w:before="360" w:after="120"/>
      </w:pPr>
      <w:r>
        <w:rPr>
          <w:b/>
          <w:color w:val="101827"/>
          <w:sz w:val="32"/>
        </w:rPr>
        <w:t>3. Frontend Architecture &amp; Technology Stack</w:t>
      </w:r>
    </w:p>
    <w:p>
      <w:r>
        <w:t>The frontend is engineered with React 19, TypeScript, and Vite, leveraging Tailwind CSS with custom Glassmorphism and WebGL hardware acceleration to deliver 60 FPS interactive graphics on both desktop and mobile devices.</w:t>
      </w:r>
    </w:p>
    <w:tbl>
      <w:tblPr>
        <w:tblW w:type="auto" w:w="0"/>
        <w:jc w:val="center"/>
        <w:tblLook w:firstColumn="1" w:firstRow="1" w:lastColumn="0" w:lastRow="0" w:noHBand="0" w:noVBand="1" w:val="04A0"/>
      </w:tblPr>
      <w:tblGrid>
        <w:gridCol w:w="3312"/>
        <w:gridCol w:w="3312"/>
        <w:gridCol w:w="3312"/>
      </w:tblGrid>
      <w:tr>
        <w:tc>
          <w:tcPr>
            <w:tcW w:type="dxa" w:w="3312"/>
            <w:shd w:fill="101827"/>
            <w:tcMar>
              <w:top w:w="120" w:type="dxa"/>
              <w:bottom w:w="120" w:type="dxa"/>
              <w:left w:w="140" w:type="dxa"/>
              <w:right w:w="140" w:type="dxa"/>
            </w:tcMar>
          </w:tcPr>
          <w:p>
            <w:r>
              <w:rPr>
                <w:b/>
                <w:color w:val="FFFFFF"/>
              </w:rPr>
              <w:t>Component / Layer</w:t>
            </w:r>
          </w:p>
        </w:tc>
        <w:tc>
          <w:tcPr>
            <w:tcW w:type="dxa" w:w="3312"/>
            <w:shd w:fill="101827"/>
            <w:tcMar>
              <w:top w:w="120" w:type="dxa"/>
              <w:bottom w:w="120" w:type="dxa"/>
              <w:left w:w="140" w:type="dxa"/>
              <w:right w:w="140" w:type="dxa"/>
            </w:tcMar>
          </w:tcPr>
          <w:p>
            <w:r>
              <w:rPr>
                <w:b/>
                <w:color w:val="FFFFFF"/>
              </w:rPr>
              <w:t>Technology</w:t>
            </w:r>
          </w:p>
        </w:tc>
        <w:tc>
          <w:tcPr>
            <w:tcW w:type="dxa" w:w="3312"/>
            <w:shd w:fill="101827"/>
            <w:tcMar>
              <w:top w:w="120" w:type="dxa"/>
              <w:bottom w:w="120" w:type="dxa"/>
              <w:left w:w="140" w:type="dxa"/>
              <w:right w:w="140" w:type="dxa"/>
            </w:tcMar>
          </w:tcPr>
          <w:p>
            <w:r>
              <w:rPr>
                <w:b/>
                <w:color w:val="FFFFFF"/>
              </w:rPr>
              <w:t>Architectural Role</w:t>
            </w:r>
          </w:p>
        </w:tc>
      </w:tr>
      <w:tr>
        <w:tc>
          <w:tcPr>
            <w:tcW w:type="dxa" w:w="3312"/>
            <w:shd w:fill="F8FAFC"/>
            <w:tcMar>
              <w:top w:w="80" w:type="dxa"/>
              <w:bottom w:w="80" w:type="dxa"/>
              <w:left w:w="120" w:type="dxa"/>
              <w:right w:w="120" w:type="dxa"/>
            </w:tcMar>
          </w:tcPr>
          <w:p>
            <w:pPr>
              <w:spacing w:after="40"/>
            </w:pPr>
            <w:r>
              <w:rPr>
                <w:b/>
                <w:color w:val="101827"/>
                <w:sz w:val="18"/>
              </w:rPr>
              <w:t>Core Application</w:t>
            </w:r>
          </w:p>
        </w:tc>
        <w:tc>
          <w:tcPr>
            <w:tcW w:type="dxa" w:w="3312"/>
            <w:shd w:fill="F8FAFC"/>
            <w:tcMar>
              <w:top w:w="80" w:type="dxa"/>
              <w:bottom w:w="80" w:type="dxa"/>
              <w:left w:w="120" w:type="dxa"/>
              <w:right w:w="120" w:type="dxa"/>
            </w:tcMar>
          </w:tcPr>
          <w:p>
            <w:pPr>
              <w:spacing w:after="40"/>
            </w:pPr>
            <w:r>
              <w:rPr>
                <w:sz w:val="18"/>
              </w:rPr>
              <w:t>React 19, TypeScript, Vite</w:t>
            </w:r>
          </w:p>
        </w:tc>
        <w:tc>
          <w:tcPr>
            <w:tcW w:type="dxa" w:w="3312"/>
            <w:shd w:fill="F8FAFC"/>
            <w:tcMar>
              <w:top w:w="80" w:type="dxa"/>
              <w:bottom w:w="80" w:type="dxa"/>
              <w:left w:w="120" w:type="dxa"/>
              <w:right w:w="120" w:type="dxa"/>
            </w:tcMar>
          </w:tcPr>
          <w:p>
            <w:pPr>
              <w:spacing w:after="40"/>
            </w:pPr>
            <w:r>
              <w:rPr>
                <w:sz w:val="18"/>
              </w:rPr>
              <w:t>SPA state coordination, reactive IoT telemetry hooks, fast HMR</w:t>
            </w:r>
          </w:p>
        </w:tc>
      </w:tr>
      <w:tr>
        <w:tc>
          <w:tcPr>
            <w:tcW w:type="dxa" w:w="3312"/>
            <w:shd w:fill="FFFFFF"/>
            <w:tcMar>
              <w:top w:w="80" w:type="dxa"/>
              <w:bottom w:w="80" w:type="dxa"/>
              <w:left w:w="120" w:type="dxa"/>
              <w:right w:w="120" w:type="dxa"/>
            </w:tcMar>
          </w:tcPr>
          <w:p>
            <w:pPr>
              <w:spacing w:after="40"/>
            </w:pPr>
            <w:r>
              <w:rPr>
                <w:b/>
                <w:color w:val="101827"/>
                <w:sz w:val="18"/>
              </w:rPr>
              <w:t>WebGL 3D Engine</w:t>
            </w:r>
          </w:p>
        </w:tc>
        <w:tc>
          <w:tcPr>
            <w:tcW w:type="dxa" w:w="3312"/>
            <w:shd w:fill="FFFFFF"/>
            <w:tcMar>
              <w:top w:w="80" w:type="dxa"/>
              <w:bottom w:w="80" w:type="dxa"/>
              <w:left w:w="120" w:type="dxa"/>
              <w:right w:w="120" w:type="dxa"/>
            </w:tcMar>
          </w:tcPr>
          <w:p>
            <w:pPr>
              <w:spacing w:after="40"/>
            </w:pPr>
            <w:r>
              <w:rPr>
                <w:sz w:val="18"/>
              </w:rPr>
              <w:t>Three.js, @react-three/fiber</w:t>
            </w:r>
          </w:p>
        </w:tc>
        <w:tc>
          <w:tcPr>
            <w:tcW w:type="dxa" w:w="3312"/>
            <w:shd w:fill="FFFFFF"/>
            <w:tcMar>
              <w:top w:w="80" w:type="dxa"/>
              <w:bottom w:w="80" w:type="dxa"/>
              <w:left w:w="120" w:type="dxa"/>
              <w:right w:w="120" w:type="dxa"/>
            </w:tcMar>
          </w:tcPr>
          <w:p>
            <w:pPr>
              <w:spacing w:after="40"/>
            </w:pPr>
            <w:r>
              <w:rPr>
                <w:sz w:val="18"/>
              </w:rPr>
              <w:t>60 FPS hardware-accelerated 3D canvas, lighting, shadow maps</w:t>
            </w:r>
          </w:p>
        </w:tc>
      </w:tr>
      <w:tr>
        <w:tc>
          <w:tcPr>
            <w:tcW w:type="dxa" w:w="3312"/>
            <w:shd w:fill="F8FAFC"/>
            <w:tcMar>
              <w:top w:w="80" w:type="dxa"/>
              <w:bottom w:w="80" w:type="dxa"/>
              <w:left w:w="120" w:type="dxa"/>
              <w:right w:w="120" w:type="dxa"/>
            </w:tcMar>
          </w:tcPr>
          <w:p>
            <w:pPr>
              <w:spacing w:after="40"/>
            </w:pPr>
            <w:r>
              <w:rPr>
                <w:b/>
                <w:color w:val="101827"/>
                <w:sz w:val="18"/>
              </w:rPr>
              <w:t>3D Camera &amp; Controls</w:t>
            </w:r>
          </w:p>
        </w:tc>
        <w:tc>
          <w:tcPr>
            <w:tcW w:type="dxa" w:w="3312"/>
            <w:shd w:fill="F8FAFC"/>
            <w:tcMar>
              <w:top w:w="80" w:type="dxa"/>
              <w:bottom w:w="80" w:type="dxa"/>
              <w:left w:w="120" w:type="dxa"/>
              <w:right w:w="120" w:type="dxa"/>
            </w:tcMar>
          </w:tcPr>
          <w:p>
            <w:pPr>
              <w:spacing w:after="40"/>
            </w:pPr>
            <w:r>
              <w:rPr>
                <w:sz w:val="18"/>
              </w:rPr>
              <w:t>@react-three/drei (OrbitControls)</w:t>
            </w:r>
          </w:p>
        </w:tc>
        <w:tc>
          <w:tcPr>
            <w:tcW w:type="dxa" w:w="3312"/>
            <w:shd w:fill="F8FAFC"/>
            <w:tcMar>
              <w:top w:w="80" w:type="dxa"/>
              <w:bottom w:w="80" w:type="dxa"/>
              <w:left w:w="120" w:type="dxa"/>
              <w:right w:w="120" w:type="dxa"/>
            </w:tcMar>
          </w:tcPr>
          <w:p>
            <w:pPr>
              <w:spacing w:after="40"/>
            </w:pPr>
            <w:r>
              <w:rPr>
                <w:sz w:val="18"/>
              </w:rPr>
              <w:t>Architectural waypoints, bounded orbital navigation, damping</w:t>
            </w:r>
          </w:p>
        </w:tc>
      </w:tr>
      <w:tr>
        <w:tc>
          <w:tcPr>
            <w:tcW w:type="dxa" w:w="3312"/>
            <w:shd w:fill="FFFFFF"/>
            <w:tcMar>
              <w:top w:w="80" w:type="dxa"/>
              <w:bottom w:w="80" w:type="dxa"/>
              <w:left w:w="120" w:type="dxa"/>
              <w:right w:w="120" w:type="dxa"/>
            </w:tcMar>
          </w:tcPr>
          <w:p>
            <w:pPr>
              <w:spacing w:after="40"/>
            </w:pPr>
            <w:r>
              <w:rPr>
                <w:b/>
                <w:color w:val="101827"/>
                <w:sz w:val="18"/>
              </w:rPr>
              <w:t>Design System</w:t>
            </w:r>
          </w:p>
        </w:tc>
        <w:tc>
          <w:tcPr>
            <w:tcW w:type="dxa" w:w="3312"/>
            <w:shd w:fill="FFFFFF"/>
            <w:tcMar>
              <w:top w:w="80" w:type="dxa"/>
              <w:bottom w:w="80" w:type="dxa"/>
              <w:left w:w="120" w:type="dxa"/>
              <w:right w:w="120" w:type="dxa"/>
            </w:tcMar>
          </w:tcPr>
          <w:p>
            <w:pPr>
              <w:spacing w:after="40"/>
            </w:pPr>
            <w:r>
              <w:rPr>
                <w:sz w:val="18"/>
              </w:rPr>
              <w:t>Tailwind CSS v3, CSS Variables</w:t>
            </w:r>
          </w:p>
        </w:tc>
        <w:tc>
          <w:tcPr>
            <w:tcW w:type="dxa" w:w="3312"/>
            <w:shd w:fill="FFFFFF"/>
            <w:tcMar>
              <w:top w:w="80" w:type="dxa"/>
              <w:bottom w:w="80" w:type="dxa"/>
              <w:left w:w="120" w:type="dxa"/>
              <w:right w:w="120" w:type="dxa"/>
            </w:tcMar>
          </w:tcPr>
          <w:p>
            <w:pPr>
              <w:spacing w:after="40"/>
            </w:pPr>
            <w:r>
              <w:rPr>
                <w:sz w:val="18"/>
              </w:rPr>
              <w:t>Wispr Flow glassmorphism, backdrop blurs, 5 live themes</w:t>
            </w:r>
          </w:p>
        </w:tc>
      </w:tr>
      <w:tr>
        <w:tc>
          <w:tcPr>
            <w:tcW w:type="dxa" w:w="3312"/>
            <w:shd w:fill="F8FAFC"/>
            <w:tcMar>
              <w:top w:w="80" w:type="dxa"/>
              <w:bottom w:w="80" w:type="dxa"/>
              <w:left w:w="120" w:type="dxa"/>
              <w:right w:w="120" w:type="dxa"/>
            </w:tcMar>
          </w:tcPr>
          <w:p>
            <w:pPr>
              <w:spacing w:after="40"/>
            </w:pPr>
            <w:r>
              <w:rPr>
                <w:b/>
                <w:color w:val="101827"/>
                <w:sz w:val="18"/>
              </w:rPr>
              <w:t>Digital Twin Panel</w:t>
            </w:r>
          </w:p>
        </w:tc>
        <w:tc>
          <w:tcPr>
            <w:tcW w:type="dxa" w:w="3312"/>
            <w:shd w:fill="F8FAFC"/>
            <w:tcMar>
              <w:top w:w="80" w:type="dxa"/>
              <w:bottom w:w="80" w:type="dxa"/>
              <w:left w:w="120" w:type="dxa"/>
              <w:right w:w="120" w:type="dxa"/>
            </w:tcMar>
          </w:tcPr>
          <w:p>
            <w:pPr>
              <w:spacing w:after="40"/>
            </w:pPr>
            <w:r>
              <w:rPr>
                <w:sz w:val="18"/>
              </w:rPr>
              <w:t>DigitalTwinPanel.tsx</w:t>
            </w:r>
          </w:p>
        </w:tc>
        <w:tc>
          <w:tcPr>
            <w:tcW w:type="dxa" w:w="3312"/>
            <w:shd w:fill="F8FAFC"/>
            <w:tcMar>
              <w:top w:w="80" w:type="dxa"/>
              <w:bottom w:w="80" w:type="dxa"/>
              <w:left w:w="120" w:type="dxa"/>
              <w:right w:w="120" w:type="dxa"/>
            </w:tcMar>
          </w:tcPr>
          <w:p>
            <w:pPr>
              <w:spacing w:after="40"/>
            </w:pPr>
            <w:r>
              <w:rPr>
                <w:sz w:val="18"/>
              </w:rPr>
              <w:t>Mode switcher (Thermal/Occupancy/Energy), realistic GLB loader</w:t>
            </w:r>
          </w:p>
        </w:tc>
      </w:tr>
      <w:tr>
        <w:tc>
          <w:tcPr>
            <w:tcW w:type="dxa" w:w="3312"/>
            <w:shd w:fill="FFFFFF"/>
            <w:tcMar>
              <w:top w:w="80" w:type="dxa"/>
              <w:bottom w:w="80" w:type="dxa"/>
              <w:left w:w="120" w:type="dxa"/>
              <w:right w:w="120" w:type="dxa"/>
            </w:tcMar>
          </w:tcPr>
          <w:p>
            <w:pPr>
              <w:spacing w:after="40"/>
            </w:pPr>
            <w:r>
              <w:rPr>
                <w:b/>
                <w:color w:val="101827"/>
                <w:sz w:val="18"/>
              </w:rPr>
              <w:t>Actuator Dock</w:t>
            </w:r>
          </w:p>
        </w:tc>
        <w:tc>
          <w:tcPr>
            <w:tcW w:type="dxa" w:w="3312"/>
            <w:shd w:fill="FFFFFF"/>
            <w:tcMar>
              <w:top w:w="80" w:type="dxa"/>
              <w:bottom w:w="80" w:type="dxa"/>
              <w:left w:w="120" w:type="dxa"/>
              <w:right w:w="120" w:type="dxa"/>
            </w:tcMar>
          </w:tcPr>
          <w:p>
            <w:pPr>
              <w:spacing w:after="40"/>
            </w:pPr>
            <w:r>
              <w:rPr>
                <w:sz w:val="18"/>
              </w:rPr>
              <w:t>ManualControlDock.tsx</w:t>
            </w:r>
          </w:p>
        </w:tc>
        <w:tc>
          <w:tcPr>
            <w:tcW w:type="dxa" w:w="3312"/>
            <w:shd w:fill="FFFFFF"/>
            <w:tcMar>
              <w:top w:w="80" w:type="dxa"/>
              <w:bottom w:w="80" w:type="dxa"/>
              <w:left w:w="120" w:type="dxa"/>
              <w:right w:w="120" w:type="dxa"/>
            </w:tcMar>
          </w:tcPr>
          <w:p>
            <w:pPr>
              <w:spacing w:after="40"/>
            </w:pPr>
            <w:r>
              <w:rPr>
                <w:sz w:val="18"/>
              </w:rPr>
              <w:t>Floating macOS dock with auto-hide on scroll (&gt;80px)</w:t>
            </w:r>
          </w:p>
        </w:tc>
      </w:tr>
      <w:tr>
        <w:tc>
          <w:tcPr>
            <w:tcW w:type="dxa" w:w="3312"/>
            <w:shd w:fill="F8FAFC"/>
            <w:tcMar>
              <w:top w:w="80" w:type="dxa"/>
              <w:bottom w:w="80" w:type="dxa"/>
              <w:left w:w="120" w:type="dxa"/>
              <w:right w:w="120" w:type="dxa"/>
            </w:tcMar>
          </w:tcPr>
          <w:p>
            <w:pPr>
              <w:spacing w:after="40"/>
            </w:pPr>
            <w:r>
              <w:rPr>
                <w:b/>
                <w:color w:val="101827"/>
                <w:sz w:val="18"/>
              </w:rPr>
              <w:t>Microgrid Sankey</w:t>
            </w:r>
          </w:p>
        </w:tc>
        <w:tc>
          <w:tcPr>
            <w:tcW w:type="dxa" w:w="3312"/>
            <w:shd w:fill="F8FAFC"/>
            <w:tcMar>
              <w:top w:w="80" w:type="dxa"/>
              <w:bottom w:w="80" w:type="dxa"/>
              <w:left w:w="120" w:type="dxa"/>
              <w:right w:w="120" w:type="dxa"/>
            </w:tcMar>
          </w:tcPr>
          <w:p>
            <w:pPr>
              <w:spacing w:after="40"/>
            </w:pPr>
            <w:r>
              <w:rPr>
                <w:sz w:val="18"/>
              </w:rPr>
              <w:t>SankeyEnergyFlow.tsx</w:t>
            </w:r>
          </w:p>
        </w:tc>
        <w:tc>
          <w:tcPr>
            <w:tcW w:type="dxa" w:w="3312"/>
            <w:shd w:fill="F8FAFC"/>
            <w:tcMar>
              <w:top w:w="80" w:type="dxa"/>
              <w:bottom w:w="80" w:type="dxa"/>
              <w:left w:w="120" w:type="dxa"/>
              <w:right w:w="120" w:type="dxa"/>
            </w:tcMar>
          </w:tcPr>
          <w:p>
            <w:pPr>
              <w:spacing w:after="40"/>
            </w:pPr>
            <w:r>
              <w:rPr>
                <w:sz w:val="18"/>
              </w:rPr>
              <w:t>Real-time energy routing between solar PV, BESS, and campus loads</w:t>
            </w:r>
          </w:p>
        </w:tc>
      </w:tr>
      <w:tr>
        <w:tc>
          <w:tcPr>
            <w:tcW w:type="dxa" w:w="3312"/>
            <w:shd w:fill="FFFFFF"/>
            <w:tcMar>
              <w:top w:w="80" w:type="dxa"/>
              <w:bottom w:w="80" w:type="dxa"/>
              <w:left w:w="120" w:type="dxa"/>
              <w:right w:w="120" w:type="dxa"/>
            </w:tcMar>
          </w:tcPr>
          <w:p>
            <w:pPr>
              <w:spacing w:after="40"/>
            </w:pPr>
            <w:r>
              <w:rPr>
                <w:b/>
                <w:color w:val="101827"/>
                <w:sz w:val="18"/>
              </w:rPr>
              <w:t>Predictive Charting</w:t>
            </w:r>
          </w:p>
        </w:tc>
        <w:tc>
          <w:tcPr>
            <w:tcW w:type="dxa" w:w="3312"/>
            <w:shd w:fill="FFFFFF"/>
            <w:tcMar>
              <w:top w:w="80" w:type="dxa"/>
              <w:bottom w:w="80" w:type="dxa"/>
              <w:left w:w="120" w:type="dxa"/>
              <w:right w:w="120" w:type="dxa"/>
            </w:tcMar>
          </w:tcPr>
          <w:p>
            <w:pPr>
              <w:spacing w:after="40"/>
            </w:pPr>
            <w:r>
              <w:rPr>
                <w:sz w:val="18"/>
              </w:rPr>
              <w:t>EnergyTrendChart.tsx</w:t>
            </w:r>
          </w:p>
        </w:tc>
        <w:tc>
          <w:tcPr>
            <w:tcW w:type="dxa" w:w="3312"/>
            <w:shd w:fill="FFFFFF"/>
            <w:tcMar>
              <w:top w:w="80" w:type="dxa"/>
              <w:bottom w:w="80" w:type="dxa"/>
              <w:left w:w="120" w:type="dxa"/>
              <w:right w:w="120" w:type="dxa"/>
            </w:tcMar>
          </w:tcPr>
          <w:p>
            <w:pPr>
              <w:spacing w:after="40"/>
            </w:pPr>
            <w:r>
              <w:rPr>
                <w:sz w:val="18"/>
              </w:rPr>
              <w:t>24-hour demand forecasting vs. solar generation curves</w:t>
            </w:r>
          </w:p>
        </w:tc>
      </w:tr>
      <w:tr>
        <w:tc>
          <w:tcPr>
            <w:tcW w:type="dxa" w:w="3312"/>
            <w:shd w:fill="F8FAFC"/>
            <w:tcMar>
              <w:top w:w="80" w:type="dxa"/>
              <w:bottom w:w="80" w:type="dxa"/>
              <w:left w:w="120" w:type="dxa"/>
              <w:right w:w="120" w:type="dxa"/>
            </w:tcMar>
          </w:tcPr>
          <w:p>
            <w:pPr>
              <w:spacing w:after="40"/>
            </w:pPr>
            <w:r>
              <w:rPr>
                <w:b/>
                <w:color w:val="101827"/>
                <w:sz w:val="18"/>
              </w:rPr>
              <w:t>Space Allocation</w:t>
            </w:r>
          </w:p>
        </w:tc>
        <w:tc>
          <w:tcPr>
            <w:tcW w:type="dxa" w:w="3312"/>
            <w:shd w:fill="F8FAFC"/>
            <w:tcMar>
              <w:top w:w="80" w:type="dxa"/>
              <w:bottom w:w="80" w:type="dxa"/>
              <w:left w:w="120" w:type="dxa"/>
              <w:right w:w="120" w:type="dxa"/>
            </w:tcMar>
          </w:tcPr>
          <w:p>
            <w:pPr>
              <w:spacing w:after="40"/>
            </w:pPr>
            <w:r>
              <w:rPr>
                <w:sz w:val="18"/>
              </w:rPr>
              <w:t>RoomTimeline.tsx, MiniMapCard.tsx</w:t>
            </w:r>
          </w:p>
        </w:tc>
        <w:tc>
          <w:tcPr>
            <w:tcW w:type="dxa" w:w="3312"/>
            <w:shd w:fill="F8FAFC"/>
            <w:tcMar>
              <w:top w:w="80" w:type="dxa"/>
              <w:bottom w:w="80" w:type="dxa"/>
              <w:left w:w="120" w:type="dxa"/>
              <w:right w:w="120" w:type="dxa"/>
            </w:tcMar>
          </w:tcPr>
          <w:p>
            <w:pPr>
              <w:spacing w:after="40"/>
            </w:pPr>
            <w:r>
              <w:rPr>
                <w:sz w:val="18"/>
              </w:rPr>
              <w:t>Classroom scheduling and ghost-booking reclamation</w:t>
            </w:r>
          </w:p>
        </w:tc>
      </w:tr>
      <w:tr>
        <w:tc>
          <w:tcPr>
            <w:tcW w:type="dxa" w:w="3312"/>
            <w:shd w:fill="FFFFFF"/>
            <w:tcMar>
              <w:top w:w="80" w:type="dxa"/>
              <w:bottom w:w="80" w:type="dxa"/>
              <w:left w:w="120" w:type="dxa"/>
              <w:right w:w="120" w:type="dxa"/>
            </w:tcMar>
          </w:tcPr>
          <w:p>
            <w:pPr>
              <w:spacing w:after="40"/>
            </w:pPr>
            <w:r>
              <w:rPr>
                <w:b/>
                <w:color w:val="101827"/>
                <w:sz w:val="18"/>
              </w:rPr>
              <w:t>Tactile Sound Synth</w:t>
            </w:r>
          </w:p>
        </w:tc>
        <w:tc>
          <w:tcPr>
            <w:tcW w:type="dxa" w:w="3312"/>
            <w:shd w:fill="FFFFFF"/>
            <w:tcMar>
              <w:top w:w="80" w:type="dxa"/>
              <w:bottom w:w="80" w:type="dxa"/>
              <w:left w:w="120" w:type="dxa"/>
              <w:right w:w="120" w:type="dxa"/>
            </w:tcMar>
          </w:tcPr>
          <w:p>
            <w:pPr>
              <w:spacing w:after="40"/>
            </w:pPr>
            <w:r>
              <w:rPr>
                <w:sz w:val="18"/>
              </w:rPr>
              <w:t>Web Audio API (useSonar.ts)</w:t>
            </w:r>
          </w:p>
        </w:tc>
        <w:tc>
          <w:tcPr>
            <w:tcW w:type="dxa" w:w="3312"/>
            <w:shd w:fill="FFFFFF"/>
            <w:tcMar>
              <w:top w:w="80" w:type="dxa"/>
              <w:bottom w:w="80" w:type="dxa"/>
              <w:left w:w="120" w:type="dxa"/>
              <w:right w:w="120" w:type="dxa"/>
            </w:tcMar>
          </w:tcPr>
          <w:p>
            <w:pPr>
              <w:spacing w:after="40"/>
            </w:pPr>
            <w:r>
              <w:rPr>
                <w:sz w:val="18"/>
              </w:rPr>
              <w:t>Procedural spatial audio feedback without external audio files</w:t>
            </w:r>
          </w:p>
        </w:tc>
      </w:tr>
      <w:tr>
        <w:tc>
          <w:tcPr>
            <w:tcW w:type="dxa" w:w="3312"/>
            <w:shd w:fill="F8FAFC"/>
            <w:tcMar>
              <w:top w:w="80" w:type="dxa"/>
              <w:bottom w:w="80" w:type="dxa"/>
              <w:left w:w="120" w:type="dxa"/>
              <w:right w:w="120" w:type="dxa"/>
            </w:tcMar>
          </w:tcPr>
          <w:p>
            <w:pPr>
              <w:spacing w:after="40"/>
            </w:pPr>
            <w:r>
              <w:rPr>
                <w:b/>
                <w:color w:val="101827"/>
                <w:sz w:val="18"/>
              </w:rPr>
              <w:t>Brand Identity</w:t>
            </w:r>
          </w:p>
        </w:tc>
        <w:tc>
          <w:tcPr>
            <w:tcW w:type="dxa" w:w="3312"/>
            <w:shd w:fill="F8FAFC"/>
            <w:tcMar>
              <w:top w:w="80" w:type="dxa"/>
              <w:bottom w:w="80" w:type="dxa"/>
              <w:left w:w="120" w:type="dxa"/>
              <w:right w:w="120" w:type="dxa"/>
            </w:tcMar>
          </w:tcPr>
          <w:p>
            <w:pPr>
              <w:spacing w:after="40"/>
            </w:pPr>
            <w:r>
              <w:rPr>
                <w:sz w:val="18"/>
              </w:rPr>
              <w:t>PWA Manifest + 7 Favicon Suite</w:t>
            </w:r>
          </w:p>
        </w:tc>
        <w:tc>
          <w:tcPr>
            <w:tcW w:type="dxa" w:w="3312"/>
            <w:shd w:fill="F8FAFC"/>
            <w:tcMar>
              <w:top w:w="80" w:type="dxa"/>
              <w:bottom w:w="80" w:type="dxa"/>
              <w:left w:w="120" w:type="dxa"/>
              <w:right w:w="120" w:type="dxa"/>
            </w:tcMar>
          </w:tcPr>
          <w:p>
            <w:pPr>
              <w:spacing w:after="40"/>
            </w:pPr>
            <w:r>
              <w:rPr>
                <w:sz w:val="18"/>
              </w:rPr>
              <w:t>Alliance University crest, mobile home-screen icons, web manifest</w:t>
            </w:r>
          </w:p>
        </w:tc>
      </w:tr>
    </w:tbl>
    <w:p>
      <w:pPr>
        <w:keepNext/>
        <w:spacing w:before="360" w:after="120"/>
      </w:pPr>
      <w:r>
        <w:rPr>
          <w:b/>
          <w:color w:val="101827"/>
          <w:sz w:val="32"/>
        </w:rPr>
        <w:t>4. Backend, Simulation &amp; Data Services</w:t>
      </w:r>
    </w:p>
    <w:p>
      <w:r>
        <w:t>The digital twin operates on a coupled cyber-physical simulation engine that computes dynamic energy, thermal, and occupancy states in real time:</w:t>
      </w:r>
    </w:p>
    <w:p>
      <w:pPr>
        <w:pStyle w:val="ListBullet"/>
        <w:spacing w:before="40" w:after="60"/>
      </w:pPr>
      <w:r>
        <w:rPr>
          <w:b/>
          <w:color w:val="101827"/>
        </w:rPr>
        <w:t xml:space="preserve">Physics-Coupled IoT Telemetry Engine: </w:t>
      </w:r>
      <w:r>
        <w:rPr>
          <w:color w:val="334155"/>
        </w:rPr>
        <w:t>Real-time simulation of 1,000+ IoT beacons. Solar irradiance is mathematically derived from sun altitude (peaking at solar noon with 480 kWp yield). Building thermal absorption and HVAC loads scale dynamically with building occupancy and outdoor temperature.</w:t>
      </w:r>
    </w:p>
    <w:p>
      <w:pPr>
        <w:pStyle w:val="ListBullet"/>
        <w:spacing w:before="40" w:after="60"/>
      </w:pPr>
      <w:r>
        <w:rPr>
          <w:b/>
          <w:color w:val="101827"/>
        </w:rPr>
        <w:t xml:space="preserve">Autonomous Campus Evolution Agent: </w:t>
      </w:r>
      <w:r>
        <w:rPr>
          <w:color w:val="334155"/>
        </w:rPr>
        <w:t>Background loop (campusEvolutionAgent.ts) that autonomously scans spatial telemetry, flags unoccupied conditioned rooms, and recommends automated energy reallocations.</w:t>
      </w:r>
    </w:p>
    <w:p>
      <w:pPr>
        <w:pStyle w:val="ListBullet"/>
        <w:spacing w:before="40" w:after="60"/>
      </w:pPr>
      <w:r>
        <w:rPr>
          <w:b/>
          <w:color w:val="101827"/>
        </w:rPr>
        <w:t xml:space="preserve">Headless Blender Python Automation: </w:t>
      </w:r>
      <w:r>
        <w:rPr>
          <w:color w:val="334155"/>
        </w:rPr>
        <w:t>Custom Python pipeline (perfect_alliance_campus.py) executed inside Blender 4.3 to procedurally construct, texture, light, and export both the .blend file and production-ready .glb asset.</w:t>
      </w:r>
    </w:p>
    <w:p>
      <w:pPr>
        <w:pStyle w:val="ListBullet"/>
        <w:spacing w:before="40" w:after="60"/>
      </w:pPr>
      <w:r>
        <w:rPr>
          <w:b/>
          <w:color w:val="101827"/>
        </w:rPr>
        <w:t xml:space="preserve">Edge Delivery &amp; Single-File Bundling: </w:t>
      </w:r>
      <w:r>
        <w:rPr>
          <w:color w:val="334155"/>
        </w:rPr>
        <w:t>Deployed on Vercel's global CDN with asset optimization, Brotli compression, and single-file bundling via @originjs/vite-plugin-singlefile for lightning-fast sub-second loading.</w:t>
      </w:r>
    </w:p>
    <w:p>
      <w:pPr>
        <w:keepNext/>
        <w:spacing w:before="360" w:after="120"/>
      </w:pPr>
      <w:r>
        <w:rPr>
          <w:b/>
          <w:color w:val="101827"/>
          <w:sz w:val="32"/>
        </w:rPr>
        <w:t>5. Manual Facility Actuators &amp; Interactive Controls</w:t>
      </w:r>
    </w:p>
    <w:p>
      <w:r>
        <w:t>Authorized facility managers can override automated routines using the floating macOS-style control dock:</w:t>
      </w:r>
    </w:p>
    <w:p>
      <w:pPr>
        <w:pStyle w:val="ListBullet"/>
        <w:spacing w:before="40" w:after="60"/>
      </w:pPr>
      <w:r>
        <w:rPr>
          <w:b/>
          <w:color w:val="101827"/>
        </w:rPr>
        <w:t xml:space="preserve">Solar Time-of-Day Slider: </w:t>
      </w:r>
      <w:r>
        <w:rPr>
          <w:color w:val="334155"/>
        </w:rPr>
        <w:t>Scrub the sun from 06:00 to 22:00 to simulate daylight, golden hour, and nighttime operations with realistic starfields and building illumination.</w:t>
      </w:r>
    </w:p>
    <w:p>
      <w:pPr>
        <w:pStyle w:val="ListBullet"/>
        <w:spacing w:before="40" w:after="60"/>
      </w:pPr>
      <w:r>
        <w:rPr>
          <w:b/>
          <w:color w:val="101827"/>
        </w:rPr>
        <w:t xml:space="preserve">BESS Battery State: </w:t>
      </w:r>
      <w:r>
        <w:rPr>
          <w:color w:val="334155"/>
        </w:rPr>
        <w:t>Switch the 1.2 MWh storage bank between Auto, Grid Charging, and 310 kW Peak-Shaving Discharge.</w:t>
      </w:r>
    </w:p>
    <w:p>
      <w:pPr>
        <w:pStyle w:val="ListBullet"/>
        <w:spacing w:before="40" w:after="60"/>
      </w:pPr>
      <w:r>
        <w:rPr>
          <w:b/>
          <w:color w:val="101827"/>
        </w:rPr>
        <w:t xml:space="preserve">Water Circulation Pump: </w:t>
      </w:r>
      <w:r>
        <w:rPr>
          <w:color w:val="334155"/>
        </w:rPr>
        <w:t>Manually activate or pause the 421 kL main Sewage Treatment Plant lift pump.</w:t>
      </w:r>
    </w:p>
    <w:p>
      <w:pPr>
        <w:pStyle w:val="ListBullet"/>
        <w:spacing w:before="40" w:after="60"/>
      </w:pPr>
      <w:r>
        <w:rPr>
          <w:b/>
          <w:color w:val="101827"/>
        </w:rPr>
        <w:t xml:space="preserve">Chiller Setpoint: </w:t>
      </w:r>
      <w:r>
        <w:rPr>
          <w:color w:val="334155"/>
        </w:rPr>
        <w:t>Regulate central chilled water temperatures from 19°C to 26°C with immediate feedback on predicted campus power demand.</w:t>
      </w:r>
    </w:p>
    <w:p>
      <w:pPr>
        <w:pStyle w:val="ListBullet"/>
        <w:spacing w:before="40" w:after="60"/>
      </w:pPr>
      <w:r>
        <w:rPr>
          <w:b/>
          <w:color w:val="101827"/>
        </w:rPr>
        <w:t xml:space="preserve">Floor Plate Explosion: </w:t>
      </w:r>
      <w:r>
        <w:rPr>
          <w:color w:val="334155"/>
        </w:rPr>
        <w:t>Adjust floor separation from 0% to 100% to inspect individual internal floor plates without displacing building geometry.</w:t>
      </w:r>
    </w:p>
    <w:p>
      <w:pPr>
        <w:keepNext/>
        <w:spacing w:before="360" w:after="120"/>
      </w:pPr>
      <w:r>
        <w:rPr>
          <w:b/>
          <w:color w:val="101827"/>
          <w:sz w:val="32"/>
        </w:rPr>
        <w:t>6. Key Engineering Challenges Solved</w:t>
      </w:r>
    </w:p>
    <w:p>
      <w:pPr>
        <w:pStyle w:val="ListBullet"/>
        <w:spacing w:before="40" w:after="60"/>
      </w:pPr>
      <w:r>
        <w:rPr>
          <w:b/>
          <w:color w:val="101827"/>
        </w:rPr>
        <w:t xml:space="preserve">OrbitControls Wheel Trapping: </w:t>
      </w:r>
      <w:r>
        <w:rPr>
          <w:color w:val="334155"/>
        </w:rPr>
        <w:t>Resolved by unbinding default wheel zoom in Three.js so users can freely scroll the web page, while offering dedicated HUD Zoom In/Out (+ / -) buttons and Shift-key wheel zoom.</w:t>
      </w:r>
    </w:p>
    <w:p>
      <w:pPr>
        <w:pStyle w:val="ListBullet"/>
        <w:spacing w:before="40" w:after="60"/>
      </w:pPr>
      <w:r>
        <w:rPr>
          <w:b/>
          <w:color w:val="101827"/>
        </w:rPr>
        <w:t xml:space="preserve">Collision-Free Floating Dock: </w:t>
      </w:r>
      <w:r>
        <w:rPr>
          <w:color w:val="334155"/>
        </w:rPr>
        <w:t>Positioned the scroll CTA symmetrically at bottom-24 right-8 and added auto-hide on scroll (&gt;80px) to prevent UI clutter.</w:t>
      </w:r>
    </w:p>
    <w:p>
      <w:pPr>
        <w:pStyle w:val="ListBullet"/>
        <w:spacing w:before="40" w:after="60"/>
      </w:pPr>
      <w:r>
        <w:rPr>
          <w:b/>
          <w:color w:val="101827"/>
        </w:rPr>
        <w:t xml:space="preserve">Fixed Navbar Header Offsetting: </w:t>
      </w:r>
      <w:r>
        <w:rPr>
          <w:color w:val="334155"/>
        </w:rPr>
        <w:t>Implemented scroll-padding-top: 5rem in CSS and scroll-mt-20 on section anchors so navigating to Telemetry or Energy sections never obscures section titles.</w:t>
      </w:r>
    </w:p>
    <w:p>
      <w:pPr>
        <w:pStyle w:val="ListBullet"/>
        <w:spacing w:before="40" w:after="60"/>
      </w:pPr>
      <w:r>
        <w:rPr>
          <w:b/>
          <w:color w:val="101827"/>
        </w:rPr>
        <w:t xml:space="preserve">Branding &amp; Favicon Suite: </w:t>
      </w:r>
      <w:r>
        <w:rPr>
          <w:color w:val="334155"/>
        </w:rPr>
        <w:t>Integrated 7-item favicon suite (SVG, ICO, PNGs, Apple Touch, PWA manifest) with official Alliance University crest.</w:t>
      </w:r>
    </w:p>
    <w:p>
      <w:pPr>
        <w:keepNext/>
        <w:spacing w:before="360" w:after="120"/>
      </w:pPr>
      <w:r>
        <w:rPr>
          <w:b/>
          <w:color w:val="101827"/>
          <w:sz w:val="32"/>
        </w:rPr>
        <w:t>7. Project Directory &amp; File Manifest</w:t>
      </w:r>
    </w:p>
    <w:tbl>
      <w:tblPr>
        <w:tblW w:type="auto" w:w="0"/>
        <w:jc w:val="center"/>
        <w:tblLook w:firstColumn="1" w:firstRow="1" w:lastColumn="0" w:lastRow="0" w:noHBand="0" w:noVBand="1" w:val="04A0"/>
      </w:tblPr>
      <w:tblGrid>
        <w:gridCol w:w="4968"/>
        <w:gridCol w:w="4968"/>
      </w:tblGrid>
      <w:tr>
        <w:tc>
          <w:tcPr>
            <w:tcW w:type="dxa" w:w="4968"/>
            <w:shd w:fill="101827"/>
            <w:tcMar>
              <w:top w:w="100" w:type="dxa"/>
              <w:bottom w:w="100" w:type="dxa"/>
              <w:left w:w="120" w:type="dxa"/>
              <w:right w:w="120" w:type="dxa"/>
            </w:tcMar>
          </w:tcPr>
          <w:p>
            <w:r>
              <w:rPr>
                <w:b/>
                <w:color w:val="FFFFFF"/>
              </w:rPr>
              <w:t>File Path</w:t>
            </w:r>
          </w:p>
        </w:tc>
        <w:tc>
          <w:tcPr>
            <w:tcW w:type="dxa" w:w="4968"/>
            <w:shd w:fill="101827"/>
            <w:tcMar>
              <w:top w:w="100" w:type="dxa"/>
              <w:bottom w:w="100" w:type="dxa"/>
              <w:left w:w="120" w:type="dxa"/>
              <w:right w:w="120" w:type="dxa"/>
            </w:tcMar>
          </w:tcPr>
          <w:p>
            <w:r>
              <w:rPr>
                <w:b/>
                <w:color w:val="FFFFFF"/>
              </w:rPr>
              <w:t>Description &amp; Role</w:t>
            </w:r>
          </w:p>
        </w:tc>
      </w:tr>
      <w:tr>
        <w:tc>
          <w:tcPr>
            <w:tcW w:type="dxa" w:w="4968"/>
            <w:shd w:fill="F8FAFC"/>
            <w:tcMar>
              <w:top w:w="70" w:type="dxa"/>
              <w:bottom w:w="70" w:type="dxa"/>
              <w:left w:w="100" w:type="dxa"/>
              <w:right w:w="100" w:type="dxa"/>
            </w:tcMar>
          </w:tcPr>
          <w:p>
            <w:pPr>
              <w:spacing w:after="40"/>
            </w:pPr>
            <w:r>
              <w:rPr>
                <w:b/>
                <w:color w:val="101827"/>
                <w:sz w:val="17"/>
              </w:rPr>
              <w:t>src/three/CampusScene.tsx</w:t>
            </w:r>
          </w:p>
        </w:tc>
        <w:tc>
          <w:tcPr>
            <w:tcW w:type="dxa" w:w="4968"/>
            <w:shd w:fill="F8FAFC"/>
            <w:tcMar>
              <w:top w:w="70" w:type="dxa"/>
              <w:bottom w:w="70" w:type="dxa"/>
              <w:left w:w="100" w:type="dxa"/>
              <w:right w:w="100" w:type="dxa"/>
            </w:tcMar>
          </w:tcPr>
          <w:p>
            <w:pPr>
              <w:spacing w:after="40"/>
            </w:pPr>
            <w:r>
              <w:rPr>
                <w:color w:val="334155"/>
                <w:sz w:val="17"/>
              </w:rPr>
              <w:t>Three.js WebGL scene, lighting, dynamic sun path, OrbitControls scroll decoupling</w:t>
            </w:r>
          </w:p>
        </w:tc>
      </w:tr>
      <w:tr>
        <w:tc>
          <w:tcPr>
            <w:tcW w:type="dxa" w:w="4968"/>
            <w:shd w:fill="FFFFFF"/>
            <w:tcMar>
              <w:top w:w="70" w:type="dxa"/>
              <w:bottom w:w="70" w:type="dxa"/>
              <w:left w:w="100" w:type="dxa"/>
              <w:right w:w="100" w:type="dxa"/>
            </w:tcMar>
          </w:tcPr>
          <w:p>
            <w:pPr>
              <w:spacing w:after="40"/>
            </w:pPr>
            <w:r>
              <w:rPr>
                <w:b/>
                <w:color w:val="101827"/>
                <w:sz w:val="17"/>
              </w:rPr>
              <w:t>src/three/Building.tsx</w:t>
            </w:r>
          </w:p>
        </w:tc>
        <w:tc>
          <w:tcPr>
            <w:tcW w:type="dxa" w:w="4968"/>
            <w:shd w:fill="FFFFFF"/>
            <w:tcMar>
              <w:top w:w="70" w:type="dxa"/>
              <w:bottom w:w="70" w:type="dxa"/>
              <w:left w:w="100" w:type="dxa"/>
              <w:right w:w="100" w:type="dxa"/>
            </w:tcMar>
          </w:tcPr>
          <w:p>
            <w:pPr>
              <w:spacing w:after="40"/>
            </w:pPr>
            <w:r>
              <w:rPr>
                <w:color w:val="334155"/>
                <w:sz w:val="17"/>
              </w:rPr>
              <w:t>Parametric 3D building rendering with heatmaps, floors, windows, and domes</w:t>
            </w:r>
          </w:p>
        </w:tc>
      </w:tr>
      <w:tr>
        <w:tc>
          <w:tcPr>
            <w:tcW w:type="dxa" w:w="4968"/>
            <w:shd w:fill="F8FAFC"/>
            <w:tcMar>
              <w:top w:w="70" w:type="dxa"/>
              <w:bottom w:w="70" w:type="dxa"/>
              <w:left w:w="100" w:type="dxa"/>
              <w:right w:w="100" w:type="dxa"/>
            </w:tcMar>
          </w:tcPr>
          <w:p>
            <w:pPr>
              <w:spacing w:after="40"/>
            </w:pPr>
            <w:r>
              <w:rPr>
                <w:b/>
                <w:color w:val="101827"/>
                <w:sz w:val="17"/>
              </w:rPr>
              <w:t>src/three/CustomModelRenderer.tsx</w:t>
            </w:r>
          </w:p>
        </w:tc>
        <w:tc>
          <w:tcPr>
            <w:tcW w:type="dxa" w:w="4968"/>
            <w:shd w:fill="F8FAFC"/>
            <w:tcMar>
              <w:top w:w="70" w:type="dxa"/>
              <w:bottom w:w="70" w:type="dxa"/>
              <w:left w:w="100" w:type="dxa"/>
              <w:right w:w="100" w:type="dxa"/>
            </w:tcMar>
          </w:tcPr>
          <w:p>
            <w:pPr>
              <w:spacing w:after="40"/>
            </w:pPr>
            <w:r>
              <w:rPr>
                <w:color w:val="334155"/>
                <w:sz w:val="17"/>
              </w:rPr>
              <w:t>Loads and renders the realistic Blender GLB campus export</w:t>
            </w:r>
          </w:p>
        </w:tc>
      </w:tr>
      <w:tr>
        <w:tc>
          <w:tcPr>
            <w:tcW w:type="dxa" w:w="4968"/>
            <w:shd w:fill="FFFFFF"/>
            <w:tcMar>
              <w:top w:w="70" w:type="dxa"/>
              <w:bottom w:w="70" w:type="dxa"/>
              <w:left w:w="100" w:type="dxa"/>
              <w:right w:w="100" w:type="dxa"/>
            </w:tcMar>
          </w:tcPr>
          <w:p>
            <w:pPr>
              <w:spacing w:after="40"/>
            </w:pPr>
            <w:r>
              <w:rPr>
                <w:b/>
                <w:color w:val="101827"/>
                <w:sz w:val="17"/>
              </w:rPr>
              <w:t>src/components/DigitalTwinPanel.tsx</w:t>
            </w:r>
          </w:p>
        </w:tc>
        <w:tc>
          <w:tcPr>
            <w:tcW w:type="dxa" w:w="4968"/>
            <w:shd w:fill="FFFFFF"/>
            <w:tcMar>
              <w:top w:w="70" w:type="dxa"/>
              <w:bottom w:w="70" w:type="dxa"/>
              <w:left w:w="100" w:type="dxa"/>
              <w:right w:w="100" w:type="dxa"/>
            </w:tcMar>
          </w:tcPr>
          <w:p>
            <w:pPr>
              <w:spacing w:after="40"/>
            </w:pPr>
            <w:r>
              <w:rPr>
                <w:color w:val="334155"/>
                <w:sz w:val="17"/>
              </w:rPr>
              <w:t>Master 3D panel with HUD zoom buttons, realistic/telemetry mode switcher</w:t>
            </w:r>
          </w:p>
        </w:tc>
      </w:tr>
      <w:tr>
        <w:tc>
          <w:tcPr>
            <w:tcW w:type="dxa" w:w="4968"/>
            <w:shd w:fill="F8FAFC"/>
            <w:tcMar>
              <w:top w:w="70" w:type="dxa"/>
              <w:bottom w:w="70" w:type="dxa"/>
              <w:left w:w="100" w:type="dxa"/>
              <w:right w:w="100" w:type="dxa"/>
            </w:tcMar>
          </w:tcPr>
          <w:p>
            <w:pPr>
              <w:spacing w:after="40"/>
            </w:pPr>
            <w:r>
              <w:rPr>
                <w:b/>
                <w:color w:val="101827"/>
                <w:sz w:val="17"/>
              </w:rPr>
              <w:t>src/components/ManualControlDock.tsx</w:t>
            </w:r>
          </w:p>
        </w:tc>
        <w:tc>
          <w:tcPr>
            <w:tcW w:type="dxa" w:w="4968"/>
            <w:shd w:fill="F8FAFC"/>
            <w:tcMar>
              <w:top w:w="70" w:type="dxa"/>
              <w:bottom w:w="70" w:type="dxa"/>
              <w:left w:w="100" w:type="dxa"/>
              <w:right w:w="100" w:type="dxa"/>
            </w:tcMar>
          </w:tcPr>
          <w:p>
            <w:pPr>
              <w:spacing w:after="40"/>
            </w:pPr>
            <w:r>
              <w:rPr>
                <w:color w:val="334155"/>
                <w:sz w:val="17"/>
              </w:rPr>
              <w:t>Floating facility actuator dock with scroll-aware auto-hide (&gt;80px)</w:t>
            </w:r>
          </w:p>
        </w:tc>
      </w:tr>
      <w:tr>
        <w:tc>
          <w:tcPr>
            <w:tcW w:type="dxa" w:w="4968"/>
            <w:shd w:fill="FFFFFF"/>
            <w:tcMar>
              <w:top w:w="70" w:type="dxa"/>
              <w:bottom w:w="70" w:type="dxa"/>
              <w:left w:w="100" w:type="dxa"/>
              <w:right w:w="100" w:type="dxa"/>
            </w:tcMar>
          </w:tcPr>
          <w:p>
            <w:pPr>
              <w:spacing w:after="40"/>
            </w:pPr>
            <w:r>
              <w:rPr>
                <w:b/>
                <w:color w:val="101827"/>
                <w:sz w:val="17"/>
              </w:rPr>
              <w:t>src/components/BentoStats.tsx</w:t>
            </w:r>
          </w:p>
        </w:tc>
        <w:tc>
          <w:tcPr>
            <w:tcW w:type="dxa" w:w="4968"/>
            <w:shd w:fill="FFFFFF"/>
            <w:tcMar>
              <w:top w:w="70" w:type="dxa"/>
              <w:bottom w:w="70" w:type="dxa"/>
              <w:left w:w="100" w:type="dxa"/>
              <w:right w:w="100" w:type="dxa"/>
            </w:tcMar>
          </w:tcPr>
          <w:p>
            <w:pPr>
              <w:spacing w:after="40"/>
            </w:pPr>
            <w:r>
              <w:rPr>
                <w:color w:val="334155"/>
                <w:sz w:val="17"/>
              </w:rPr>
              <w:t>Live high-density IoT telemetry bento grid with streaming KPIs</w:t>
            </w:r>
          </w:p>
        </w:tc>
      </w:tr>
      <w:tr>
        <w:tc>
          <w:tcPr>
            <w:tcW w:type="dxa" w:w="4968"/>
            <w:shd w:fill="F8FAFC"/>
            <w:tcMar>
              <w:top w:w="70" w:type="dxa"/>
              <w:bottom w:w="70" w:type="dxa"/>
              <w:left w:w="100" w:type="dxa"/>
              <w:right w:w="100" w:type="dxa"/>
            </w:tcMar>
          </w:tcPr>
          <w:p>
            <w:pPr>
              <w:spacing w:after="40"/>
            </w:pPr>
            <w:r>
              <w:rPr>
                <w:b/>
                <w:color w:val="101827"/>
                <w:sz w:val="17"/>
              </w:rPr>
              <w:t>src/components/SankeyEnergyFlow.tsx</w:t>
            </w:r>
          </w:p>
        </w:tc>
        <w:tc>
          <w:tcPr>
            <w:tcW w:type="dxa" w:w="4968"/>
            <w:shd w:fill="F8FAFC"/>
            <w:tcMar>
              <w:top w:w="70" w:type="dxa"/>
              <w:bottom w:w="70" w:type="dxa"/>
              <w:left w:w="100" w:type="dxa"/>
              <w:right w:w="100" w:type="dxa"/>
            </w:tcMar>
          </w:tcPr>
          <w:p>
            <w:pPr>
              <w:spacing w:after="40"/>
            </w:pPr>
            <w:r>
              <w:rPr>
                <w:color w:val="334155"/>
                <w:sz w:val="17"/>
              </w:rPr>
              <w:t>Microgrid power flow routing (Solar PV → BESS → Campus Loads)</w:t>
            </w:r>
          </w:p>
        </w:tc>
      </w:tr>
      <w:tr>
        <w:tc>
          <w:tcPr>
            <w:tcW w:type="dxa" w:w="4968"/>
            <w:shd w:fill="FFFFFF"/>
            <w:tcMar>
              <w:top w:w="70" w:type="dxa"/>
              <w:bottom w:w="70" w:type="dxa"/>
              <w:left w:w="100" w:type="dxa"/>
              <w:right w:w="100" w:type="dxa"/>
            </w:tcMar>
          </w:tcPr>
          <w:p>
            <w:pPr>
              <w:spacing w:after="40"/>
            </w:pPr>
            <w:r>
              <w:rPr>
                <w:b/>
                <w:color w:val="101827"/>
                <w:sz w:val="17"/>
              </w:rPr>
              <w:t>src/components/EnergyTrendChart.tsx</w:t>
            </w:r>
          </w:p>
        </w:tc>
        <w:tc>
          <w:tcPr>
            <w:tcW w:type="dxa" w:w="4968"/>
            <w:shd w:fill="FFFFFF"/>
            <w:tcMar>
              <w:top w:w="70" w:type="dxa"/>
              <w:bottom w:w="70" w:type="dxa"/>
              <w:left w:w="100" w:type="dxa"/>
              <w:right w:w="100" w:type="dxa"/>
            </w:tcMar>
          </w:tcPr>
          <w:p>
            <w:pPr>
              <w:spacing w:after="40"/>
            </w:pPr>
            <w:r>
              <w:rPr>
                <w:color w:val="334155"/>
                <w:sz w:val="17"/>
              </w:rPr>
              <w:t>24-hour predictive load forecasting vs. solar generation yield curve</w:t>
            </w:r>
          </w:p>
        </w:tc>
      </w:tr>
      <w:tr>
        <w:tc>
          <w:tcPr>
            <w:tcW w:type="dxa" w:w="4968"/>
            <w:shd w:fill="F8FAFC"/>
            <w:tcMar>
              <w:top w:w="70" w:type="dxa"/>
              <w:bottom w:w="70" w:type="dxa"/>
              <w:left w:w="100" w:type="dxa"/>
              <w:right w:w="100" w:type="dxa"/>
            </w:tcMar>
          </w:tcPr>
          <w:p>
            <w:pPr>
              <w:spacing w:after="40"/>
            </w:pPr>
            <w:r>
              <w:rPr>
                <w:b/>
                <w:color w:val="101827"/>
                <w:sz w:val="17"/>
              </w:rPr>
              <w:t>src/components/RoomTimeline.tsx</w:t>
            </w:r>
          </w:p>
        </w:tc>
        <w:tc>
          <w:tcPr>
            <w:tcW w:type="dxa" w:w="4968"/>
            <w:shd w:fill="F8FAFC"/>
            <w:tcMar>
              <w:top w:w="70" w:type="dxa"/>
              <w:bottom w:w="70" w:type="dxa"/>
              <w:left w:w="100" w:type="dxa"/>
              <w:right w:w="100" w:type="dxa"/>
            </w:tcMar>
          </w:tcPr>
          <w:p>
            <w:pPr>
              <w:spacing w:after="40"/>
            </w:pPr>
            <w:r>
              <w:rPr>
                <w:color w:val="334155"/>
                <w:sz w:val="17"/>
              </w:rPr>
              <w:t>Classroom schedule optimization and space utilization matrix</w:t>
            </w:r>
          </w:p>
        </w:tc>
      </w:tr>
      <w:tr>
        <w:tc>
          <w:tcPr>
            <w:tcW w:type="dxa" w:w="4968"/>
            <w:shd w:fill="FFFFFF"/>
            <w:tcMar>
              <w:top w:w="70" w:type="dxa"/>
              <w:bottom w:w="70" w:type="dxa"/>
              <w:left w:w="100" w:type="dxa"/>
              <w:right w:w="100" w:type="dxa"/>
            </w:tcMar>
          </w:tcPr>
          <w:p>
            <w:pPr>
              <w:spacing w:after="40"/>
            </w:pPr>
            <w:r>
              <w:rPr>
                <w:b/>
                <w:color w:val="101827"/>
                <w:sz w:val="17"/>
              </w:rPr>
              <w:t>src/components/Navbar.tsx &amp; ThemeSwitcher.tsx</w:t>
            </w:r>
          </w:p>
        </w:tc>
        <w:tc>
          <w:tcPr>
            <w:tcW w:type="dxa" w:w="4968"/>
            <w:shd w:fill="FFFFFF"/>
            <w:tcMar>
              <w:top w:w="70" w:type="dxa"/>
              <w:bottom w:w="70" w:type="dxa"/>
              <w:left w:w="100" w:type="dxa"/>
              <w:right w:w="100" w:type="dxa"/>
            </w:tcMar>
          </w:tcPr>
          <w:p>
            <w:pPr>
              <w:spacing w:after="40"/>
            </w:pPr>
            <w:r>
              <w:rPr>
                <w:color w:val="334155"/>
                <w:sz w:val="17"/>
              </w:rPr>
              <w:t>Top navigation bar with 5 live theme switchers (Wispr, Cyberpunk, etc.)</w:t>
            </w:r>
          </w:p>
        </w:tc>
      </w:tr>
      <w:tr>
        <w:tc>
          <w:tcPr>
            <w:tcW w:type="dxa" w:w="4968"/>
            <w:shd w:fill="F8FAFC"/>
            <w:tcMar>
              <w:top w:w="70" w:type="dxa"/>
              <w:bottom w:w="70" w:type="dxa"/>
              <w:left w:w="100" w:type="dxa"/>
              <w:right w:w="100" w:type="dxa"/>
            </w:tcMar>
          </w:tcPr>
          <w:p>
            <w:pPr>
              <w:spacing w:after="40"/>
            </w:pPr>
            <w:r>
              <w:rPr>
                <w:b/>
                <w:color w:val="101827"/>
                <w:sz w:val="17"/>
              </w:rPr>
              <w:t>alliance_university_campus.blend</w:t>
            </w:r>
          </w:p>
        </w:tc>
        <w:tc>
          <w:tcPr>
            <w:tcW w:type="dxa" w:w="4968"/>
            <w:shd w:fill="F8FAFC"/>
            <w:tcMar>
              <w:top w:w="70" w:type="dxa"/>
              <w:bottom w:w="70" w:type="dxa"/>
              <w:left w:w="100" w:type="dxa"/>
              <w:right w:w="100" w:type="dxa"/>
            </w:tcMar>
          </w:tcPr>
          <w:p>
            <w:pPr>
              <w:spacing w:after="40"/>
            </w:pPr>
            <w:r>
              <w:rPr>
                <w:color w:val="334155"/>
                <w:sz w:val="17"/>
              </w:rPr>
              <w:t>Full editable 3D Blender 4.3 master project file with lights and materials</w:t>
            </w:r>
          </w:p>
        </w:tc>
      </w:tr>
      <w:tr>
        <w:tc>
          <w:tcPr>
            <w:tcW w:type="dxa" w:w="4968"/>
            <w:shd w:fill="FFFFFF"/>
            <w:tcMar>
              <w:top w:w="70" w:type="dxa"/>
              <w:bottom w:w="70" w:type="dxa"/>
              <w:left w:w="100" w:type="dxa"/>
              <w:right w:w="100" w:type="dxa"/>
            </w:tcMar>
          </w:tcPr>
          <w:p>
            <w:pPr>
              <w:spacing w:after="40"/>
            </w:pPr>
            <w:r>
              <w:rPr>
                <w:b/>
                <w:color w:val="101827"/>
                <w:sz w:val="17"/>
              </w:rPr>
              <w:t>alliance_university_campus.glb</w:t>
            </w:r>
          </w:p>
        </w:tc>
        <w:tc>
          <w:tcPr>
            <w:tcW w:type="dxa" w:w="4968"/>
            <w:shd w:fill="FFFFFF"/>
            <w:tcMar>
              <w:top w:w="70" w:type="dxa"/>
              <w:bottom w:w="70" w:type="dxa"/>
              <w:left w:w="100" w:type="dxa"/>
              <w:right w:w="100" w:type="dxa"/>
            </w:tcMar>
          </w:tcPr>
          <w:p>
            <w:pPr>
              <w:spacing w:after="40"/>
            </w:pPr>
            <w:r>
              <w:rPr>
                <w:color w:val="334155"/>
                <w:sz w:val="17"/>
              </w:rPr>
              <w:t>Optimized WebGL binary asset for high-speed browser rendering</w:t>
            </w:r>
          </w:p>
        </w:tc>
      </w:tr>
      <w:tr>
        <w:tc>
          <w:tcPr>
            <w:tcW w:type="dxa" w:w="4968"/>
            <w:shd w:fill="F8FAFC"/>
            <w:tcMar>
              <w:top w:w="70" w:type="dxa"/>
              <w:bottom w:w="70" w:type="dxa"/>
              <w:left w:w="100" w:type="dxa"/>
              <w:right w:w="100" w:type="dxa"/>
            </w:tcMar>
          </w:tcPr>
          <w:p>
            <w:pPr>
              <w:spacing w:after="40"/>
            </w:pPr>
            <w:r>
              <w:rPr>
                <w:b/>
                <w:color w:val="101827"/>
                <w:sz w:val="17"/>
              </w:rPr>
              <w:t>perfect_alliance_campus.py</w:t>
            </w:r>
          </w:p>
        </w:tc>
        <w:tc>
          <w:tcPr>
            <w:tcW w:type="dxa" w:w="4968"/>
            <w:shd w:fill="F8FAFC"/>
            <w:tcMar>
              <w:top w:w="70" w:type="dxa"/>
              <w:bottom w:w="70" w:type="dxa"/>
              <w:left w:w="100" w:type="dxa"/>
              <w:right w:w="100" w:type="dxa"/>
            </w:tcMar>
          </w:tcPr>
          <w:p>
            <w:pPr>
              <w:spacing w:after="40"/>
            </w:pPr>
            <w:r>
              <w:rPr>
                <w:color w:val="334155"/>
                <w:sz w:val="17"/>
              </w:rPr>
              <w:t>Procedural Python script to rebuild the entire Blender 3D campus model</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