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6"/>
        </w:rPr>
        <w:t>ALLIANCE UNIVERSITY</w:t>
        <w:br/>
      </w:r>
      <w:r>
        <w:rPr>
          <w:b/>
          <w:color w:val="334155"/>
          <w:sz w:val="20"/>
        </w:rPr>
        <w:t>ALLIANCE SCHOOL OF ADVANCED COMPUTING (ASAC)</w:t>
        <w:br/>
      </w:r>
      <w:r>
        <w:rPr>
          <w:color w:val="475569"/>
          <w:sz w:val="17"/>
        </w:rPr>
        <w:t>Department of Computer Science &amp; Engineering | Academic Year 2026–2027</w:t>
        <w:br/>
      </w:r>
      <w:r>
        <w:rPr>
          <w:b/>
          <w:color w:val="B45309"/>
          <w:sz w:val="17"/>
        </w:rPr>
        <w:t>Course: Design Project – I (E1CSA313 / 5CS1990) | Batch: DP1-24-28-CSE-GEN-L-01</w:t>
      </w:r>
    </w:p>
    <w:p>
      <w:pPr>
        <w:spacing w:before="120" w:after="40"/>
      </w:pPr>
      <w:r>
        <w:rPr>
          <w:b/>
          <w:color w:val="0B2545"/>
          <w:sz w:val="26"/>
        </w:rPr>
        <w:t>DESIGN PROJECT FOUNDATIONS &amp; CURRICULAR FRAMEWORK (SECTIONS 1.1 – 1.6)</w:t>
      </w:r>
    </w:p>
    <w:p>
      <w:pPr>
        <w:spacing w:after="120"/>
      </w:pPr>
      <w:r>
        <w:rPr>
          <w:b/>
          <w:color w:val="B45309"/>
          <w:sz w:val="18"/>
        </w:rPr>
        <w:t>Process Manual Alignment: Description, Significance, Objectives, Outcomes, Complex Problems &amp; Curricular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6048"/>
      </w:tblGrid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Project:</w:t>
            </w:r>
            <w:r>
              <w:rPr>
                <w:color w:val="1E293B"/>
                <w:sz w:val="16"/>
              </w:rPr>
              <w:t xml:space="preserve"> Alliance Smart Campus Digital Twin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Faculty Mentor:</w:t>
            </w:r>
            <w:r>
              <w:rPr>
                <w:color w:val="1E293B"/>
                <w:sz w:val="16"/>
              </w:rPr>
              <w:t xml:space="preserve"> Dr. Ganga Holi (ASAC CSE)</w:t>
            </w:r>
          </w:p>
        </w:tc>
      </w:tr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Team Lead:</w:t>
            </w:r>
            <w:r>
              <w:rPr>
                <w:color w:val="1E293B"/>
                <w:sz w:val="16"/>
              </w:rPr>
              <w:t xml:space="preserve"> Likith S (2411021061437)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Members:</w:t>
            </w:r>
            <w:r>
              <w:rPr>
                <w:color w:val="1E293B"/>
                <w:sz w:val="16"/>
              </w:rPr>
              <w:t xml:space="preserve">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2545"/>
          <w:sz w:val="21"/>
        </w:rPr>
        <w:t>1.1 Description of Design Project</w:t>
      </w:r>
    </w:p>
    <w:p>
      <w:pPr>
        <w:spacing w:after="60" w:line="276" w:lineRule="auto"/>
      </w:pPr>
      <w:r>
        <w:rPr>
          <w:color w:val="1E293B"/>
          <w:sz w:val="17"/>
        </w:rPr>
        <w:t>The Design Project is a culminating engineering experience in the ASAC curriculum where students apply theoretical knowledge, technical competencies, and engineering principles to solve an authentic, open-ended real-world challenge. The project spans two semesters and replicates a high-standard industrial R&amp;D environment. For our project, Alliance University Smart Campus Digital Twin, the team addresses macro-scale cyber-physical inefficiencies across the 60-acre Anekal campus by unifying 3D procedural spatial graphics, IoT edge telemetry, renewable microgrid dispatch (480 kWp solar + 1.2 MWh BESS), and automated space utilization analytics.</w:t>
      </w:r>
    </w:p>
    <w:p>
      <w:pPr>
        <w:spacing w:before="160" w:after="60"/>
      </w:pPr>
      <w:r>
        <w:rPr>
          <w:b/>
          <w:color w:val="0B2545"/>
          <w:sz w:val="21"/>
        </w:rPr>
        <w:t>1.2 Significance in Engineering Education</w:t>
      </w:r>
    </w:p>
    <w:p>
      <w:pPr>
        <w:spacing w:after="60" w:line="276" w:lineRule="auto"/>
      </w:pPr>
      <w:r>
        <w:rPr>
          <w:color w:val="1E293B"/>
          <w:sz w:val="17"/>
        </w:rPr>
        <w:t>• Bridges Theory &amp; Practice: Connects core engineering theory (differential equations for thermal mass, trigonometric solar curves, computer graphics shader mathematics) directly to operational university infrastructure.</w:t>
        <w:br/>
        <w:t>• Prepares for Industry: Replicates workplace dynamics including asynchronous Git collaboration, strict sub-100ms latency budgets, commercial tariff cost optimization, and multi-tier system integration.</w:t>
        <w:br/>
        <w:t>• Demonstrates Competency: Delivers a verified public portfolio asset live on Vercel with open-source reproducibility.</w:t>
        <w:br/>
        <w:t>• Fulfills Accreditation (ABET / NBA): Satisfies ABET Criterion 5 and NBA Program Outcomes (PO1 to PO12) by demanding comprehensive system design under realistic economic, environmental, social, and sustainability constraints.</w:t>
        <w:br/>
        <w:t>• Fosters Professional Identity: Transitions student engineers into accountable technical owners responsible for design trade-offs.</w:t>
      </w:r>
    </w:p>
    <w:p>
      <w:pPr>
        <w:spacing w:before="160" w:after="60"/>
      </w:pPr>
      <w:r>
        <w:rPr>
          <w:b/>
          <w:color w:val="0B2545"/>
          <w:sz w:val="21"/>
        </w:rPr>
        <w:t>1.3 Educational &amp; Engineering Objectives</w:t>
      </w:r>
    </w:p>
    <w:p>
      <w:pPr>
        <w:spacing w:after="60" w:line="276" w:lineRule="auto"/>
      </w:pPr>
      <w:r>
        <w:rPr>
          <w:color w:val="1E293B"/>
          <w:sz w:val="17"/>
        </w:rPr>
        <w:t>In conformance with Section 1.3 of the Process Manual, the eight core educational objectives enable the student team to:</w:t>
        <w:br/>
        <w:t>1. Apply the structured engineering Design Thinking process from field observations to cloud deployment.</w:t>
        <w:br/>
        <w:t>2. Incorporate multiple realistic constraints (BESCOM commercial tariffs, battery degradation costs, WebGL memory budgets).</w:t>
        <w:br/>
        <w:t>3. Integrate multi-disciplinary knowledge across computer science, electrical microgrids, and spatial architecture.</w:t>
        <w:br/>
        <w:t>4. Function effectively in a 4-member specialized engineering team with designated subsystem leads.</w:t>
        <w:br/>
        <w:t>5. Communicate technical specifications clearly through IEEE manuscripts, viva defense guides, and interactive dashboards.</w:t>
        <w:br/>
        <w:t>6. Manage project milestones rigorously using weekly sprint logs, risk registers, and review diaries.</w:t>
        <w:br/>
        <w:t>7. Prototype and empirically benchmark solutions against quantitative performance thresholds (60 FPS, 78.6 ms latency).</w:t>
        <w:br/>
        <w:t>8. Evaluate broader societal, environmental decarbonization, and campus sustainability impacts.</w:t>
      </w:r>
    </w:p>
    <w:p>
      <w:pPr>
        <w:spacing w:before="160" w:after="60"/>
      </w:pPr>
      <w:r>
        <w:rPr>
          <w:b/>
          <w:color w:val="0B2545"/>
          <w:sz w:val="21"/>
        </w:rPr>
        <w:t>1.4 Project Outcomes (Tripartite Categorization)</w:t>
      </w:r>
    </w:p>
    <w:p>
      <w:pPr>
        <w:spacing w:after="60" w:line="276" w:lineRule="auto"/>
      </w:pPr>
      <w:r>
        <w:rPr>
          <w:color w:val="1E293B"/>
          <w:sz w:val="17"/>
        </w:rPr>
        <w:t>Cognitive Outcomes: Formulate clear problem statements; evaluate alternative solutions via Pugh decision matrices; perform engineering analysis; select appropriate hardware/software components.</w:t>
        <w:br/>
        <w:t>Practical/Technical Outcomes: Build functional 3D WebGL simulation model on Vercel; employ engineering software (Blender, Zustand, Three.js); conduct empirical benchmark tests (60 FPS, 78.6 ms latency, 18.4% peak shave).</w:t>
        <w:br/>
        <w:t>Professional/Soft Outcomes: Produce final 21-page design report and 22-slide presentation deck; demonstrate effective teamwork with 12 weekly meeting logs; manage project timeline within allocated resources; address ethics and privacy.</w:t>
      </w:r>
    </w:p>
    <w:p>
      <w:pPr>
        <w:spacing w:before="160" w:after="60"/>
      </w:pPr>
      <w:r>
        <w:rPr>
          <w:b/>
          <w:color w:val="0B2545"/>
          <w:sz w:val="21"/>
        </w:rPr>
        <w:t>1.5 Complex Engineering Problems Analysis (TABLE FORM — Section 1.5)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0B2545"/>
          </w:tcPr>
          <w:p>
            <w:r>
              <w:rPr>
                <w:b/>
                <w:color w:val="FFFFFF"/>
                <w:sz w:val="15"/>
              </w:rPr>
              <w:t>Complex Problem Attribute</w:t>
            </w:r>
          </w:p>
        </w:tc>
        <w:tc>
          <w:tcPr>
            <w:tcW w:type="dxa" w:w="3600"/>
            <w:shd w:fill="0B2545"/>
          </w:tcPr>
          <w:p>
            <w:r>
              <w:rPr>
                <w:b/>
                <w:color w:val="FFFFFF"/>
                <w:sz w:val="15"/>
              </w:rPr>
              <w:t>Process Manual Criteria</w:t>
            </w:r>
          </w:p>
        </w:tc>
        <w:tc>
          <w:tcPr>
            <w:tcW w:type="dxa" w:w="3600"/>
            <w:shd w:fill="0B2545"/>
          </w:tcPr>
          <w:p>
            <w:r>
              <w:rPr>
                <w:b/>
                <w:color w:val="FFFFFF"/>
                <w:sz w:val="15"/>
              </w:rPr>
              <w:t>Implementation in Alliance Smart Campus Digital Twin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b/>
                <w:color w:val="0B2545"/>
                <w:sz w:val="14"/>
              </w:rPr>
              <w:t>Deep Technical Knowledge Required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Cannot be solved by simple textbook formulas; requires synthesis of multiple engineering disciplines.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Synthesizes 3D computer graphics (WebGL shaders), distributed IoT networks (WebSockets), electrical microgrid power balance, BESS electrochemical constraints, and thermodynamics.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color w:val="0B2545"/>
                <w:sz w:val="14"/>
              </w:rPr>
              <w:t>Open-Ended, Multiple Solutions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No single correct answer; engineering trade-offs exist between cost, performance, safety, and aesthetics.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Navigated trade-offs between 3D polygonal fidelity (LOD) vs. client browser frame-rate (60 FPS), and aggressive peak-shaving dispatch vs. BESS cycle life degradation.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b/>
                <w:color w:val="0B2545"/>
                <w:sz w:val="14"/>
              </w:rPr>
              <w:t>Involves Conflicting Constraints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Lightweight vs. strong, low-cost vs. durable, fast vs. energy efficient.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Photorealistic spatial detail vs. strict web binary size (&lt;15 MB); aggressive commercial peak shaving vs. maintaining academic thermal comfort (24.0 ± 1.0 °C).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color w:val="0B2545"/>
                <w:sz w:val="14"/>
              </w:rPr>
              <w:t>Not Fully Defined in Advance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Requirements evolve as the team discovers technical or customer constraints.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Empirical field audits revealed 28.4% classroom ghost bookings and severe BESCOM maximum demand surcharges, expanding requirements to include automated space intelligence.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b/>
                <w:color w:val="0B2545"/>
                <w:sz w:val="14"/>
              </w:rPr>
              <w:t>Requires Information Gathering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Literature review, vendor data, international standards (IEEE, ISO), user feedback.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Synthesized 12 peer-reviewed IEEE/Elsevier publications (2024–2026), BESCOM commercial tariff rate cards, Alliance University GIS shapefiles, and facility technician interviews.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color w:val="0B2545"/>
                <w:sz w:val="14"/>
              </w:rPr>
              <w:t>Non-Standard Solution Path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Cannot be solved by routine methods; requires creativity, iteration, and judgment.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Constructed a novel bidirectional cyber-physical coupling: spatial occupant density dynamically drives chiller setpoints and battery routing in a zero-install browser canvas.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b/>
                <w:color w:val="0B2545"/>
                <w:sz w:val="14"/>
              </w:rPr>
              <w:t>Involves Real-World Constraints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Budget limits, safety regulations, supply chain issues, environmental impact.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Zero-dollar commercial software budget (100% open-source stack); non-intrusive student privacy regulations (strictly anonymous headcount data, zero biometric surveillance).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color w:val="0B2545"/>
                <w:sz w:val="14"/>
              </w:rPr>
              <w:t>Requires Teamwork &amp; Coordination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Different sub-systems must interface correctly; complex integration challenges arise.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Coordinated across 4 distinct modules: 3D Graphics Architecture (Likith S), Energy Analytics (Vinodkumar), IoT Telemetry (Nikhil kumar V), and Space Intelligence (Kalyan kumar T).</w:t>
            </w:r>
          </w:p>
        </w:tc>
      </w:tr>
    </w:tbl>
    <w:p>
      <w:pPr>
        <w:spacing w:before="160" w:after="60"/>
      </w:pPr>
      <w:r>
        <w:rPr>
          <w:b/>
          <w:color w:val="0B2545"/>
          <w:sz w:val="21"/>
        </w:rPr>
        <w:t>1.6 Curricular Requirements &amp; Expected Academic Outcomes</w:t>
      </w:r>
    </w:p>
    <w:p>
      <w:pPr>
        <w:spacing w:after="60" w:line="276" w:lineRule="auto"/>
      </w:pPr>
      <w:r>
        <w:rPr>
          <w:color w:val="1E293B"/>
          <w:sz w:val="17"/>
        </w:rPr>
        <w:t>• Design Project – I (5CS1990 / E1CSA313) [Semester V]: Covers requirements, literature survey, analysis, architecture design, and functional prototype implementation. (Achieved 100%).</w:t>
        <w:br/>
        <w:t>• Design Project – II (6CS1991 / E1CSA314) [Semester VI]: Covers extended implementation, physical hardware deployment, and long-term multi-seasonal field validation.</w:t>
        <w:br/>
        <w:t>• Mandated Academic Outcomes: Working prototype deployed live; Scopus-indexed IEEE Conference Paper manuscript; Review Diary with 12+ weekly logs; &lt;8% similarity index.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