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b/>
          <w:color w:val="0B2545"/>
          <w:sz w:val="26"/>
        </w:rPr>
        <w:t>ALLIANCE UNIVERSITY</w:t>
        <w:br/>
      </w:r>
      <w:r>
        <w:rPr>
          <w:b/>
          <w:color w:val="334155"/>
          <w:sz w:val="20"/>
        </w:rPr>
        <w:t>ALLIANCE SCHOOL OF ADVANCED COMPUTING (ASAC)</w:t>
        <w:br/>
      </w:r>
      <w:r>
        <w:rPr>
          <w:color w:val="475569"/>
          <w:sz w:val="17"/>
        </w:rPr>
        <w:t>Department of Computer Science &amp; Engineering | Academic Year 2026–2027</w:t>
        <w:br/>
      </w:r>
      <w:r>
        <w:rPr>
          <w:b/>
          <w:color w:val="B45309"/>
          <w:sz w:val="17"/>
        </w:rPr>
        <w:t>Course: Design Project – I (E1CSA313 / 5CS1990) | Batch: DP1-24-28-CSE-GEN-L-01</w:t>
      </w:r>
    </w:p>
    <w:p>
      <w:pPr>
        <w:spacing w:before="120" w:after="40"/>
      </w:pPr>
      <w:r>
        <w:rPr>
          <w:b/>
          <w:color w:val="0B2545"/>
          <w:sz w:val="26"/>
        </w:rPr>
        <w:t>COMPLEX ENGINEERING PROBLEMS &amp; DESIGN THINKING MATRICES</w:t>
      </w:r>
    </w:p>
    <w:p>
      <w:pPr>
        <w:spacing w:after="120"/>
      </w:pPr>
      <w:r>
        <w:rPr>
          <w:b/>
          <w:color w:val="B45309"/>
          <w:sz w:val="18"/>
        </w:rPr>
        <w:t>Process Manual Sections 1.5, 2.2, 2.5 &amp; 2.6: Attribute Mapping, Comparative Paradigms &amp; Risk Mitigations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6048"/>
      </w:tblGrid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Project:</w:t>
            </w:r>
            <w:r>
              <w:rPr>
                <w:color w:val="1E293B"/>
                <w:sz w:val="16"/>
              </w:rPr>
              <w:t xml:space="preserve"> Alliance Smart Campus Digital Twin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Faculty Mentor:</w:t>
            </w:r>
            <w:r>
              <w:rPr>
                <w:color w:val="1E293B"/>
                <w:sz w:val="16"/>
              </w:rPr>
              <w:t xml:space="preserve"> Dr. Ganga Holi (ASAC CSE)</w:t>
            </w:r>
          </w:p>
        </w:tc>
      </w:tr>
      <w:tr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Team Lead:</w:t>
            </w:r>
            <w:r>
              <w:rPr>
                <w:color w:val="1E293B"/>
                <w:sz w:val="16"/>
              </w:rPr>
              <w:t xml:space="preserve"> Likith S (2411021061437)</w:t>
            </w:r>
          </w:p>
        </w:tc>
        <w:tc>
          <w:tcPr>
            <w:tcW w:type="dxa" w:w="5400"/>
            <w:shd w:fill="F8FAFC"/>
          </w:tcPr>
          <w:p>
            <w:pPr>
              <w:spacing w:after="0"/>
            </w:pPr>
            <w:r>
              <w:rPr>
                <w:b/>
                <w:color w:val="0B2545"/>
                <w:sz w:val="16"/>
              </w:rPr>
              <w:t>Members:</w:t>
            </w:r>
            <w:r>
              <w:rPr>
                <w:color w:val="1E293B"/>
                <w:sz w:val="16"/>
              </w:rPr>
              <w:t xml:space="preserve"> Vinodkumar (2411021061425), Nikhil kumar V (2411021061427), Kalyan kumar T (2411021061421)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color w:val="0B2545"/>
          <w:sz w:val="21"/>
        </w:rPr>
        <w:t>1. Addressing Complex Problems via Design Thinking (Section 2.5 Table)</w:t>
      </w:r>
    </w:p>
    <w:p>
      <w:pPr>
        <w:spacing w:after="60" w:line="276" w:lineRule="auto"/>
      </w:pPr>
      <w:r>
        <w:rPr>
          <w:color w:val="1E293B"/>
          <w:sz w:val="17"/>
        </w:rPr>
        <w:t>Per Section 2.5 of the Process Manual, Design Thinking provides an empathetic, iterative framework that directly overcomes the inherent challenges of complex engineering problems: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0B2545"/>
          </w:tcPr>
          <w:p>
            <w:r>
              <w:rPr>
                <w:b/>
                <w:color w:val="FFFFFF"/>
                <w:sz w:val="15"/>
              </w:rPr>
              <w:t>Complex Problem Attribute</w:t>
            </w:r>
          </w:p>
        </w:tc>
        <w:tc>
          <w:tcPr>
            <w:tcW w:type="dxa" w:w="3600"/>
            <w:shd w:fill="0B2545"/>
          </w:tcPr>
          <w:p>
            <w:r>
              <w:rPr>
                <w:b/>
                <w:color w:val="FFFFFF"/>
                <w:sz w:val="15"/>
              </w:rPr>
              <w:t>Process Manual Theoretical Principle</w:t>
            </w:r>
          </w:p>
        </w:tc>
        <w:tc>
          <w:tcPr>
            <w:tcW w:type="dxa" w:w="3600"/>
            <w:shd w:fill="0B2545"/>
          </w:tcPr>
          <w:p>
            <w:r>
              <w:rPr>
                <w:b/>
                <w:color w:val="FFFFFF"/>
                <w:sz w:val="15"/>
              </w:rPr>
              <w:t>Implementation in Alliance Smart Campus Digital Twin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Ill-defined / Vague Need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Empathy &amp; Define phases uncover real needs; reframing turns ambiguity into actionable statements.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Observations revealed facility managers needed a spatial 3D overview of campus heat and power leaks rather than raw sensor tables.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Deep Technical Knowledge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Ideation generates technical and non-technical concepts; later phases filter for feasibility.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Coupled mathematical solar forecasting with Three.js WebGL shaders to make complex power-flow dynamics intuitively visible.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Open-Ended / Many Solutions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Divergent-convergent pattern explores wide solution space before systematic narrowing.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Evaluated desktop native apps, heavy BIM viewers, and 2D charts before converging on a zero-install WebGL 3D browser architecture.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Conflicting Constraints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Prototyping tests trade-offs (e.g., visual fidelity vs. performance) with real users.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Tested low-poly vs. high-poly campus models with facility technicians to find optimal balance between 60 FPS speed and landmark recognizability.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Requires Information Gathering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User feedback becomes a primary data source, complementing technical literature.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Combined 12 IEEE research papers with empirical interviews from Alliance electrical maintenance engineers and administrative staff.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Non-Standard Solution Path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Iteration encourages exploring unexpected paths after each user testing round.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Pivoted from static 3D building visualization to autonomous agent-driven space reclamation upon discovering 28.4% ghost bookings.</w:t>
            </w:r>
          </w:p>
        </w:tc>
      </w:tr>
      <w:tr>
        <w:tc>
          <w:tcPr>
            <w:tcW w:type="dxa" w:w="3600"/>
            <w:shd w:fill="F8FAFC"/>
          </w:tcPr>
          <w:p>
            <w:r>
              <w:rPr>
                <w:b/>
                <w:color w:val="0B2545"/>
                <w:sz w:val="14"/>
              </w:rPr>
              <w:t>Real-World Constraints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Prototypes reveal constraints early; testing uncovers ethical or privacy concerns.</w:t>
            </w:r>
          </w:p>
        </w:tc>
        <w:tc>
          <w:tcPr>
            <w:tcW w:type="dxa" w:w="3600"/>
            <w:shd w:fill="F8FAFC"/>
          </w:tcPr>
          <w:p>
            <w:r>
              <w:rPr>
                <w:color w:val="1E293B"/>
                <w:sz w:val="14"/>
              </w:rPr>
              <w:t>Addressed student privacy concerns by rejecting facial recognition in favor of aggregated, anonymous infrared headcount telemetry.</w:t>
            </w:r>
          </w:p>
        </w:tc>
      </w:tr>
      <w:tr>
        <w:tc>
          <w:tcPr>
            <w:tcW w:type="dxa" w:w="3600"/>
            <w:shd w:fill="FFFFFF"/>
          </w:tcPr>
          <w:p>
            <w:r>
              <w:rPr>
                <w:b/>
                <w:color w:val="0B2545"/>
                <w:sz w:val="14"/>
              </w:rPr>
              <w:t>Requires Teamwork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Workshops, affinity mapping, and sprint reviews foster collaboration and shared mental models.</w:t>
            </w:r>
          </w:p>
        </w:tc>
        <w:tc>
          <w:tcPr>
            <w:tcW w:type="dxa" w:w="3600"/>
            <w:shd w:fill="FFFFFF"/>
          </w:tcPr>
          <w:p>
            <w:r>
              <w:rPr>
                <w:color w:val="1E293B"/>
                <w:sz w:val="14"/>
              </w:rPr>
              <w:t>Weekly sprint syncs and modular TypeScript contracts enabled 4 student engineers to integrate graphics, power, and IoT seamlessly.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