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b/>
          <w:color w:val="0B2545"/>
          <w:sz w:val="26"/>
        </w:rPr>
        <w:t>ALLIANCE UNIVERSITY</w:t>
        <w:br/>
      </w:r>
      <w:r>
        <w:rPr>
          <w:b/>
          <w:color w:val="334155"/>
          <w:sz w:val="20"/>
        </w:rPr>
        <w:t>ALLIANCE SCHOOL OF ADVANCED COMPUTING (ASAC)</w:t>
        <w:br/>
      </w:r>
      <w:r>
        <w:rPr>
          <w:color w:val="475569"/>
          <w:sz w:val="17"/>
        </w:rPr>
        <w:t>Department of Computer Science &amp; Engineering | Academic Year 2026–2027</w:t>
        <w:br/>
      </w:r>
      <w:r>
        <w:rPr>
          <w:b/>
          <w:color w:val="B45309"/>
          <w:sz w:val="17"/>
        </w:rPr>
        <w:t>Course: Design Project – I (E1CSA313 / 5CS1990) | Batch: DP1-24-28-CSE-GEN-L-01</w:t>
      </w:r>
    </w:p>
    <w:p>
      <w:pPr>
        <w:spacing w:before="120" w:after="40"/>
      </w:pPr>
      <w:r>
        <w:rPr>
          <w:b/>
          <w:color w:val="0B2545"/>
          <w:sz w:val="26"/>
        </w:rPr>
        <w:t>PROJECT OUTCOMES &amp; EXPERIMENTAL BENCHMARK REPORT</w:t>
      </w:r>
    </w:p>
    <w:p>
      <w:pPr>
        <w:spacing w:after="120"/>
      </w:pPr>
      <w:r>
        <w:rPr>
          <w:b/>
          <w:color w:val="B45309"/>
          <w:sz w:val="18"/>
        </w:rPr>
        <w:t>Process Manual Section 1.4 &amp; Section 3.8: Cognitive, Technical &amp; Professional Outcomes with Quantitative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6048"/>
      </w:tblGrid>
      <w:tr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Project:</w:t>
            </w:r>
            <w:r>
              <w:rPr>
                <w:color w:val="1E293B"/>
                <w:sz w:val="16"/>
              </w:rPr>
              <w:t xml:space="preserve"> Alliance Smart Campus Digital Twin</w:t>
            </w:r>
          </w:p>
        </w:tc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Faculty Mentor:</w:t>
            </w:r>
            <w:r>
              <w:rPr>
                <w:color w:val="1E293B"/>
                <w:sz w:val="16"/>
              </w:rPr>
              <w:t xml:space="preserve"> Dr. Ganga Holi (ASAC CSE)</w:t>
            </w:r>
          </w:p>
        </w:tc>
      </w:tr>
      <w:tr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Team Lead:</w:t>
            </w:r>
            <w:r>
              <w:rPr>
                <w:color w:val="1E293B"/>
                <w:sz w:val="16"/>
              </w:rPr>
              <w:t xml:space="preserve"> Likith S (2411021061437)</w:t>
            </w:r>
          </w:p>
        </w:tc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Members:</w:t>
            </w:r>
            <w:r>
              <w:rPr>
                <w:color w:val="1E293B"/>
                <w:sz w:val="16"/>
              </w:rPr>
              <w:t xml:space="preserve"> Vinodkumar (2411021061425), Nikhil kumar V (2411021061427), Kalyan kumar T (2411021061421)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0B2545"/>
          <w:sz w:val="21"/>
        </w:rPr>
        <w:t>1. Tripartite Outcomes Realization (Section 1.4)</w:t>
      </w:r>
    </w:p>
    <w:p>
      <w:pPr>
        <w:spacing w:after="60" w:line="276" w:lineRule="auto"/>
      </w:pPr>
      <w:r>
        <w:rPr>
          <w:color w:val="1E293B"/>
          <w:sz w:val="17"/>
        </w:rPr>
        <w:t>Cognitive Outcomes: Formulated constrained multi-variable optimization model minimizing net grid energy cost subject to occupant comfort; synthesized 12 peer-reviewed IEEE papers; mathematically modeled building thermal capacitance and BESS electrochemical kinetics.</w:t>
        <w:br/>
        <w:t>Practical/Technical Outcomes: Implemented full-stack cyber-physical digital twin in React 19, Three.js r170, and Blender 4.3 LTS; deployed live on Vercel; processed 1,024 streaming telemetry beacons with sub-100ms latency.</w:t>
        <w:br/>
        <w:t>Professional/Soft Outcomes: Compiled 20-page Review Diary with 12 weekly logs; prepared IEEE conference manuscript (&lt;8% similarity); collaborated effectively across 4 specialized engineering leads.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