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b/>
          <w:color w:val="0B2545"/>
          <w:sz w:val="26"/>
        </w:rPr>
        <w:t>ALLIANCE UNIVERSITY</w:t>
        <w:br/>
      </w:r>
      <w:r>
        <w:rPr>
          <w:b/>
          <w:color w:val="334155"/>
          <w:sz w:val="20"/>
        </w:rPr>
        <w:t>ALLIANCE SCHOOL OF ADVANCED COMPUTING (ASAC)</w:t>
        <w:br/>
      </w:r>
      <w:r>
        <w:rPr>
          <w:color w:val="475569"/>
          <w:sz w:val="17"/>
        </w:rPr>
        <w:t>Department of Computer Science &amp; Engineering | Academic Year 2026–2027</w:t>
        <w:br/>
      </w:r>
      <w:r>
        <w:rPr>
          <w:b/>
          <w:color w:val="B45309"/>
          <w:sz w:val="17"/>
        </w:rPr>
        <w:t>Course: Design Project – I (E1CSA313 / 5CS1990) | Batch: DP1-24-28-CSE-GEN-L-01</w:t>
      </w:r>
    </w:p>
    <w:p>
      <w:pPr>
        <w:spacing w:before="120" w:after="40"/>
      </w:pPr>
      <w:r>
        <w:rPr>
          <w:b/>
          <w:color w:val="0B2545"/>
          <w:sz w:val="26"/>
        </w:rPr>
        <w:t>PROBLEM STATEMENT, SCOPE, COMMERCIAL VALUE &amp; SOCIAL IMPACT</w:t>
      </w:r>
    </w:p>
    <w:p>
      <w:pPr>
        <w:spacing w:after="120"/>
      </w:pPr>
      <w:r>
        <w:rPr>
          <w:b/>
          <w:color w:val="B45309"/>
          <w:sz w:val="18"/>
        </w:rPr>
        <w:t>Process Manual Sections 3.1 &amp; 3.2: Rigorous Boundary Definition &amp; Multi-Dimensional Value Proposition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6048"/>
      </w:tblGrid>
      <w:tr>
        <w:tc>
          <w:tcPr>
            <w:tcW w:type="dxa" w:w="5400"/>
            <w:shd w:fill="F8FAFC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Project:</w:t>
            </w:r>
            <w:r>
              <w:rPr>
                <w:color w:val="1E293B"/>
                <w:sz w:val="16"/>
              </w:rPr>
              <w:t xml:space="preserve"> Alliance Smart Campus Digital Twin</w:t>
            </w:r>
          </w:p>
        </w:tc>
        <w:tc>
          <w:tcPr>
            <w:tcW w:type="dxa" w:w="5400"/>
            <w:shd w:fill="F8FAFC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Faculty Mentor:</w:t>
            </w:r>
            <w:r>
              <w:rPr>
                <w:color w:val="1E293B"/>
                <w:sz w:val="16"/>
              </w:rPr>
              <w:t xml:space="preserve"> Dr. Ganga Holi (ASAC CSE)</w:t>
            </w:r>
          </w:p>
        </w:tc>
      </w:tr>
      <w:tr>
        <w:tc>
          <w:tcPr>
            <w:tcW w:type="dxa" w:w="5400"/>
            <w:shd w:fill="F8FAFC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Team Lead:</w:t>
            </w:r>
            <w:r>
              <w:rPr>
                <w:color w:val="1E293B"/>
                <w:sz w:val="16"/>
              </w:rPr>
              <w:t xml:space="preserve"> Likith S (2411021061437)</w:t>
            </w:r>
          </w:p>
        </w:tc>
        <w:tc>
          <w:tcPr>
            <w:tcW w:type="dxa" w:w="5400"/>
            <w:shd w:fill="F8FAFC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Members:</w:t>
            </w:r>
            <w:r>
              <w:rPr>
                <w:color w:val="1E293B"/>
                <w:sz w:val="16"/>
              </w:rPr>
              <w:t xml:space="preserve"> Vinodkumar (2411021061425), Nikhil kumar V (2411021061427), Kalyan kumar T (2411021061421)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0B2545"/>
          <w:sz w:val="21"/>
        </w:rPr>
        <w:t>1. Identification of the Problem Statement (Section 3.1)</w:t>
      </w:r>
    </w:p>
    <w:p>
      <w:pPr>
        <w:spacing w:after="60" w:line="276" w:lineRule="auto"/>
      </w:pPr>
      <w:r>
        <w:rPr>
          <w:color w:val="1E293B"/>
          <w:sz w:val="17"/>
        </w:rPr>
        <w:t>Campus facility directors lack unified, real-time spatial observability to prevent expensive commercial peak-demand electricity penalties and eliminate phantom HVAC energy waste caused by a 28.4% empirical classroom ghost-booking rate. Existing legacy SCADA systems operate in isolated data silos with &gt;10s polling latency and require specialized desktop software, preventing automated, closed-loop solar-battery dispatch and ubiquitous web-accessible governance.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