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6"/>
        </w:rPr>
        <w:t>ALLIANCE UNIVERSITY</w:t>
        <w:br/>
      </w:r>
      <w:r>
        <w:rPr>
          <w:b/>
          <w:color w:val="334155"/>
          <w:sz w:val="20"/>
        </w:rPr>
        <w:t>ALLIANCE SCHOOL OF ADVANCED COMPUTING (ASAC)</w:t>
        <w:br/>
      </w:r>
      <w:r>
        <w:rPr>
          <w:color w:val="475569"/>
          <w:sz w:val="17"/>
        </w:rPr>
        <w:t>Department of Computer Science &amp; Engineering | Academic Year 2026–2027</w:t>
        <w:br/>
      </w:r>
      <w:r>
        <w:rPr>
          <w:b/>
          <w:color w:val="B45309"/>
          <w:sz w:val="17"/>
        </w:rPr>
        <w:t>Course: Design Project – I (E1CSA313 / 5CS1990) | Batch: DP1-24-28-CSE-GEN-L-01</w:t>
      </w:r>
    </w:p>
    <w:p>
      <w:pPr>
        <w:spacing w:before="120" w:after="40"/>
      </w:pPr>
      <w:r>
        <w:rPr>
          <w:b/>
          <w:color w:val="0B2545"/>
          <w:sz w:val="26"/>
        </w:rPr>
        <w:t>SYSTEMATIC LITERATURE REVIEW &amp; RESOURCE PAPER SYNTHESIS</w:t>
      </w:r>
    </w:p>
    <w:p>
      <w:pPr>
        <w:spacing w:after="120"/>
      </w:pPr>
      <w:r>
        <w:rPr>
          <w:b/>
          <w:color w:val="B45309"/>
          <w:sz w:val="18"/>
        </w:rPr>
        <w:t>Process Manual Section 3.3: Systematic Survey of 12 Peer-Reviewed IEEE &amp; Elsevier Research Papers (2024–2026)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6048"/>
      </w:tblGrid>
      <w:tr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Project:</w:t>
            </w:r>
            <w:r>
              <w:rPr>
                <w:color w:val="1E293B"/>
                <w:sz w:val="16"/>
              </w:rPr>
              <w:t xml:space="preserve"> Alliance Smart Campus Digital Twin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Faculty Mentor:</w:t>
            </w:r>
            <w:r>
              <w:rPr>
                <w:color w:val="1E293B"/>
                <w:sz w:val="16"/>
              </w:rPr>
              <w:t xml:space="preserve"> Dr. Ganga Holi (ASAC CSE)</w:t>
            </w:r>
          </w:p>
        </w:tc>
      </w:tr>
      <w:tr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Team Lead:</w:t>
            </w:r>
            <w:r>
              <w:rPr>
                <w:color w:val="1E293B"/>
                <w:sz w:val="16"/>
              </w:rPr>
              <w:t xml:space="preserve"> Likith S (2411021061437)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Members:</w:t>
            </w:r>
            <w:r>
              <w:rPr>
                <w:color w:val="1E293B"/>
                <w:sz w:val="16"/>
              </w:rPr>
              <w:t xml:space="preserve">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2545"/>
          <w:sz w:val="21"/>
        </w:rPr>
        <w:t>1. Literature Review Methodology &amp; Comparative Matrix (Section 3.3)</w:t>
      </w:r>
    </w:p>
    <w:p>
      <w:pPr>
        <w:spacing w:after="60" w:line="276" w:lineRule="auto"/>
      </w:pPr>
      <w:r>
        <w:rPr>
          <w:color w:val="1E293B"/>
          <w:sz w:val="17"/>
        </w:rPr>
        <w:t>Synthesized 12 peer-reviewed IEEE and Elsevier research papers published between 2024 and 2026. The literature survey establishes that existing platforms either focus on high-fidelity 3D geometry without real-time power analytics or electrical single-line diagrams without spatial context. The Alliance Smart Campus Digital Twin directly bridges this gap via bidirectional cyber-physical coupling.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