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E3A5F"/>
          <w:sz w:val="28"/>
          <w:szCs w:val="28"/>
        </w:rPr>
        <w:t xml:space="preserve">Dayananda Sagar University</w:t>
      </w:r>
    </w:p>
    <w:p>
      <w:pPr>
        <w:spacing w:after="60"/>
        <w:jc w:val="center"/>
      </w:pPr>
      <w:r>
        <w:rPr>
          <w:rFonts w:ascii="Arial" w:cs="Arial" w:eastAsia="Arial" w:hAnsi="Arial"/>
          <w:i/>
          <w:iCs/>
          <w:color w:val="2B5FAC"/>
          <w:sz w:val="20"/>
          <w:szCs w:val="20"/>
        </w:rPr>
        <w:t xml:space="preserve">School of Engineering, Department of Computer Science</w:t>
      </w:r>
    </w:p>
    <w:p>
      <w:pPr>
        <w:pBdr>
          <w:bottom w:val="single" w:color="2B5FAC" w:sz="6" w:space="1"/>
        </w:pBdr>
        <w:spacing w:after="160"/>
      </w:pPr>
    </w:p>
    <w:p>
      <w:pPr>
        <w:spacing w:after="120" w:before="240"/>
        <w:jc w:val="center"/>
      </w:pPr>
      <w:r>
        <w:rPr>
          <w:rFonts w:ascii="Arial" w:cs="Arial" w:eastAsia="Arial" w:hAnsi="Arial"/>
          <w:b/>
          <w:bCs/>
          <w:caps/>
          <w:color w:val="2B5FAC"/>
          <w:sz w:val="22"/>
          <w:szCs w:val="22"/>
        </w:rPr>
        <w:t xml:space="preserve">EXPERIENTIAL LEARNING ACTIVITY REPORT</w:t>
      </w:r>
    </w:p>
    <w:p>
      <w:pPr>
        <w:spacing w:after="180" w:before="240"/>
        <w:jc w:val="center"/>
      </w:pPr>
      <w:r>
        <w:rPr>
          <w:rFonts w:ascii="Arial" w:cs="Arial" w:eastAsia="Arial" w:hAnsi="Arial"/>
          <w:b/>
          <w:bCs/>
          <w:color w:val="1E3A5F"/>
          <w:sz w:val="44"/>
          <w:szCs w:val="44"/>
        </w:rPr>
        <w:t xml:space="preserve">Real-World Time Series Analysis and Forecasting</w:t>
      </w:r>
    </w:p>
    <w:p>
      <w:pPr>
        <w:spacing w:after="360"/>
        <w:jc w:val="center"/>
      </w:pPr>
      <w:r>
        <w:rPr>
          <w:rFonts w:ascii="Arial" w:cs="Arial" w:eastAsia="Arial" w:hAnsi="Arial"/>
          <w:i/>
          <w:iCs/>
          <w:color w:val="555577"/>
          <w:sz w:val="26"/>
          <w:szCs w:val="26"/>
        </w:rPr>
        <w:t xml:space="preserve">Wikipedia Page Traffic Prediction using Statistical and Machine Learning Models</w:t>
      </w:r>
    </w:p>
    <w:p>
      <w:pPr>
        <w:pBdr>
          <w:bottom w:val="single" w:color="2B5FAC" w:sz="6" w:space="1"/>
        </w:pBd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C7D9F0" w:sz="4"/>
              <w:left w:val="single" w:color="C7D9F0" w:sz="4"/>
              <w:bottom w:val="single" w:color="C7D9F0" w:sz="4"/>
              <w:right w:val="single" w:color="C7D9F0" w:sz="4"/>
            </w:tcBorders>
            <w:shd w:fill="FFFFFF" w:val="clear"/>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Student Name</w:t>
            </w:r>
          </w:p>
        </w:tc>
        <w:tc>
          <w:tcPr>
            <w:tcW w:type="dxa" w:w="6120"/>
            <w:tcBorders>
              <w:top w:val="single" w:color="C7D9F0" w:sz="4"/>
              <w:left w:val="single" w:color="C7D9F0" w:sz="4"/>
              <w:bottom w:val="single" w:color="C7D9F0" w:sz="4"/>
              <w:right w:val="single" w:color="C7D9F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Likhith</w:t>
            </w:r>
          </w:p>
        </w:tc>
      </w:tr>
      <w:tr>
        <w:tc>
          <w:tcPr>
            <w:tcW w:type="dxa" w:w="3240"/>
            <w:tcBorders>
              <w:top w:val="single" w:color="C7D9F0" w:sz="4"/>
              <w:left w:val="single" w:color="C7D9F0" w:sz="4"/>
              <w:bottom w:val="single" w:color="C7D9F0" w:sz="4"/>
              <w:right w:val="single" w:color="C7D9F0" w:sz="4"/>
            </w:tcBorders>
            <w:shd w:fill="F5F9FD" w:val="clear"/>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USN</w:t>
            </w:r>
          </w:p>
        </w:tc>
        <w:tc>
          <w:tcPr>
            <w:tcW w:type="dxa" w:w="6120"/>
            <w:tcBorders>
              <w:top w:val="single" w:color="C7D9F0" w:sz="4"/>
              <w:left w:val="single" w:color="C7D9F0" w:sz="4"/>
              <w:bottom w:val="single" w:color="C7D9F0" w:sz="4"/>
              <w:right w:val="single" w:color="C7D9F0" w:sz="4"/>
            </w:tcBorders>
            <w:shd w:fill="F5F9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23BTRCL257</w:t>
            </w:r>
          </w:p>
        </w:tc>
      </w:tr>
      <w:tr>
        <w:tc>
          <w:tcPr>
            <w:tcW w:type="dxa" w:w="3240"/>
            <w:tcBorders>
              <w:top w:val="single" w:color="C7D9F0" w:sz="4"/>
              <w:left w:val="single" w:color="C7D9F0" w:sz="4"/>
              <w:bottom w:val="single" w:color="C7D9F0" w:sz="4"/>
              <w:right w:val="single" w:color="C7D9F0" w:sz="4"/>
            </w:tcBorders>
            <w:shd w:fill="FFFFFF" w:val="clear"/>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Branch / Section</w:t>
            </w:r>
          </w:p>
        </w:tc>
        <w:tc>
          <w:tcPr>
            <w:tcW w:type="dxa" w:w="6120"/>
            <w:tcBorders>
              <w:top w:val="single" w:color="C7D9F0" w:sz="4"/>
              <w:left w:val="single" w:color="C7D9F0" w:sz="4"/>
              <w:bottom w:val="single" w:color="C7D9F0" w:sz="4"/>
              <w:right w:val="single" w:color="C7D9F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CSE: AIML-D</w:t>
            </w:r>
          </w:p>
        </w:tc>
      </w:tr>
      <w:tr>
        <w:tc>
          <w:tcPr>
            <w:tcW w:type="dxa" w:w="3240"/>
            <w:tcBorders>
              <w:top w:val="single" w:color="C7D9F0" w:sz="4"/>
              <w:left w:val="single" w:color="C7D9F0" w:sz="4"/>
              <w:bottom w:val="single" w:color="C7D9F0" w:sz="4"/>
              <w:right w:val="single" w:color="C7D9F0" w:sz="4"/>
            </w:tcBorders>
            <w:shd w:fill="F5F9FD" w:val="clear"/>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Semester</w:t>
            </w:r>
          </w:p>
        </w:tc>
        <w:tc>
          <w:tcPr>
            <w:tcW w:type="dxa" w:w="6120"/>
            <w:tcBorders>
              <w:top w:val="single" w:color="C7D9F0" w:sz="4"/>
              <w:left w:val="single" w:color="C7D9F0" w:sz="4"/>
              <w:bottom w:val="single" w:color="C7D9F0" w:sz="4"/>
              <w:right w:val="single" w:color="C7D9F0" w:sz="4"/>
            </w:tcBorders>
            <w:shd w:fill="F5F9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VI</w:t>
            </w:r>
          </w:p>
        </w:tc>
      </w:tr>
      <w:tr>
        <w:tc>
          <w:tcPr>
            <w:tcW w:type="dxa" w:w="3240"/>
            <w:tcBorders>
              <w:top w:val="single" w:color="C7D9F0" w:sz="4"/>
              <w:left w:val="single" w:color="C7D9F0" w:sz="4"/>
              <w:bottom w:val="single" w:color="C7D9F0" w:sz="4"/>
              <w:right w:val="single" w:color="C7D9F0" w:sz="4"/>
            </w:tcBorders>
            <w:shd w:fill="FFFFFF" w:val="clear"/>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Course</w:t>
            </w:r>
          </w:p>
        </w:tc>
        <w:tc>
          <w:tcPr>
            <w:tcW w:type="dxa" w:w="6120"/>
            <w:tcBorders>
              <w:top w:val="single" w:color="C7D9F0" w:sz="4"/>
              <w:left w:val="single" w:color="C7D9F0" w:sz="4"/>
              <w:bottom w:val="single" w:color="C7D9F0" w:sz="4"/>
              <w:right w:val="single" w:color="C7D9F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Time Series Analysis and Forecasting Techniques (23BSCSMA61)</w:t>
            </w:r>
          </w:p>
        </w:tc>
      </w:tr>
      <w:tr>
        <w:tc>
          <w:tcPr>
            <w:tcW w:type="dxa" w:w="3240"/>
            <w:tcBorders>
              <w:top w:val="single" w:color="C7D9F0" w:sz="4"/>
              <w:left w:val="single" w:color="C7D9F0" w:sz="4"/>
              <w:bottom w:val="single" w:color="C7D9F0" w:sz="4"/>
              <w:right w:val="single" w:color="C7D9F0" w:sz="4"/>
            </w:tcBorders>
            <w:shd w:fill="F5F9FD" w:val="clear"/>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Activity</w:t>
            </w:r>
          </w:p>
        </w:tc>
        <w:tc>
          <w:tcPr>
            <w:tcW w:type="dxa" w:w="6120"/>
            <w:tcBorders>
              <w:top w:val="single" w:color="C7D9F0" w:sz="4"/>
              <w:left w:val="single" w:color="C7D9F0" w:sz="4"/>
              <w:bottom w:val="single" w:color="C7D9F0" w:sz="4"/>
              <w:right w:val="single" w:color="C7D9F0" w:sz="4"/>
            </w:tcBorders>
            <w:shd w:fill="F5F9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Experiential Learning Activity — 15 Marks (Group Activity)</w:t>
            </w:r>
          </w:p>
        </w:tc>
      </w:tr>
      <w:tr>
        <w:tc>
          <w:tcPr>
            <w:tcW w:type="dxa" w:w="3240"/>
            <w:tcBorders>
              <w:top w:val="single" w:color="C7D9F0" w:sz="4"/>
              <w:left w:val="single" w:color="C7D9F0" w:sz="4"/>
              <w:bottom w:val="single" w:color="C7D9F0" w:sz="4"/>
              <w:right w:val="single" w:color="C7D9F0" w:sz="4"/>
            </w:tcBorders>
            <w:shd w:fill="FFFFFF" w:val="clear"/>
            <w:tcMar>
              <w:top w:type="dxa" w:w="80"/>
              <w:left w:type="dxa" w:w="140"/>
              <w:bottom w:type="dxa" w:w="80"/>
              <w:right w:type="dxa" w:w="140"/>
            </w:tcMar>
            <w:vAlign w:val="center"/>
          </w:tcPr>
          <w:p>
            <w:pPr>
              <w:jc w:val="left"/>
            </w:pPr>
            <w:r>
              <w:rPr>
                <w:rFonts w:ascii="Arial" w:cs="Arial" w:eastAsia="Arial" w:hAnsi="Arial"/>
                <w:b/>
                <w:bCs/>
                <w:color w:val="1E3A5F"/>
                <w:sz w:val="20"/>
                <w:szCs w:val="20"/>
              </w:rPr>
              <w:t xml:space="preserve">Submission Date</w:t>
            </w:r>
          </w:p>
        </w:tc>
        <w:tc>
          <w:tcPr>
            <w:tcW w:type="dxa" w:w="6120"/>
            <w:tcBorders>
              <w:top w:val="single" w:color="C7D9F0" w:sz="4"/>
              <w:left w:val="single" w:color="C7D9F0" w:sz="4"/>
              <w:bottom w:val="single" w:color="C7D9F0" w:sz="4"/>
              <w:right w:val="single" w:color="C7D9F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On or before March 30, 2026</w:t>
            </w:r>
          </w:p>
        </w:tc>
      </w:tr>
    </w:tbl>
    <w:p>
      <w:pPr>
        <w:spacing w:after="720"/>
      </w:pPr>
      <w:r>
        <w:t xml:space="preserve"/>
      </w:r>
    </w:p>
    <w:p>
      <w:r>
        <w:br w:type="page"/>
      </w:r>
    </w:p>
    <w:p>
      <w:pPr>
        <w:pStyle w:val="Heading1"/>
        <w:spacing w:after="200" w:before="240"/>
      </w:pPr>
      <w:r>
        <w:rPr>
          <w:rFonts w:ascii="Arial" w:cs="Arial" w:eastAsia="Arial" w:hAnsi="Arial"/>
          <w:b/>
          <w:bCs/>
          <w:color w:val="1E3A5F"/>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color w:val="1E3A5F"/>
          <w:sz w:val="32"/>
          <w:szCs w:val="32"/>
        </w:rPr>
        <w:t xml:space="preserve">Abstract</w:t>
      </w:r>
    </w:p>
    <w:p>
      <w:pPr>
        <w:pBdr>
          <w:bottom w:val="single" w:color="2B5FAC" w:sz="6" w:space="1"/>
        </w:pBdr>
        <w:spacing w:after="160"/>
      </w:pPr>
    </w:p>
    <w:p>
      <w:pPr>
        <w:spacing w:after="160" w:before="0"/>
        <w:jc w:val="both"/>
      </w:pPr>
      <w:r>
        <w:rPr>
          <w:rFonts w:ascii="Arial" w:cs="Arial" w:eastAsia="Arial" w:hAnsi="Arial"/>
          <w:color w:val="1A1A2E"/>
          <w:sz w:val="22"/>
          <w:szCs w:val="22"/>
        </w:rPr>
        <w:t xml:space="preserve">This report presents a comprehensive real-world application of time series analysis and forecasting techniques applied to Wikipedia page traffic data from 2015 to 2016. The study analyzes daily pageview patterns for various Wikipedia articles — most notably the Main_Page — using a full-stack data pipeline that integrates MongoDB for storage, Python for analysis and modelling, FastAPI for serving results, and a React dashboard for interactive exploration.</w:t>
      </w:r>
    </w:p>
    <w:p>
      <w:pPr>
        <w:spacing w:after="200" w:before="0"/>
        <w:jc w:val="both"/>
      </w:pPr>
      <w:r>
        <w:rPr>
          <w:rFonts w:ascii="Arial" w:cs="Arial" w:eastAsia="Arial" w:hAnsi="Arial"/>
          <w:color w:val="1A1A2E"/>
          <w:sz w:val="22"/>
          <w:szCs w:val="22"/>
        </w:rPr>
        <w:t xml:space="preserve">Four forecasting models are implemented and evaluated: Linear Trend Regression, Holt-Winters Exponential Smoothing, ARIMA(2,d,2), and SARIMA(1,d,1)×(1,1,0,7). Model performance is assessed using eight accuracy metrics including MAE, RMSE, MAPE, SMAPE, WAPE, R², and Bias. Experimental results demonstrate that SARIMA significantly outperforms all other models, achieving a MAPE of 5.39% and an R² of 0.529 on a 60-day held-out test set, by virtue of explicitly capturing the weekly seasonal periodicity inherent in web traffic data. The findings highlight the critical role of seasonality-aware modelling in high-volume website traffic forecasting.</w:t>
      </w:r>
    </w:p>
    <w:p>
      <w:pPr>
        <w:spacing w:after="200"/>
      </w:pPr>
      <w:r>
        <w:rPr>
          <w:rFonts w:ascii="Arial" w:cs="Arial" w:eastAsia="Arial" w:hAnsi="Arial"/>
          <w:b/>
          <w:bCs/>
          <w:color w:val="2B5FAC"/>
          <w:sz w:val="22"/>
          <w:szCs w:val="22"/>
        </w:rPr>
        <w:t xml:space="preserve">Keywords: </w:t>
      </w:r>
      <w:r>
        <w:rPr>
          <w:rFonts w:ascii="Arial" w:cs="Arial" w:eastAsia="Arial" w:hAnsi="Arial"/>
          <w:color w:val="1A1A2E"/>
          <w:sz w:val="22"/>
          <w:szCs w:val="22"/>
        </w:rPr>
        <w:t xml:space="preserve">Time Series Analysis, Wikipedia Traffic, SARIMA, Holt-Winters, ARIMA, Stationarity, STL Decomposition, FastAPI, MongoDB, React</w:t>
      </w:r>
    </w:p>
    <w:p>
      <w:r>
        <w:br w:type="page"/>
      </w:r>
    </w:p>
    <w:p>
      <w:pPr>
        <w:pStyle w:val="Heading1"/>
      </w:pPr>
      <w:r>
        <w:rPr>
          <w:rFonts w:ascii="Arial" w:cs="Arial" w:eastAsia="Arial" w:hAnsi="Arial"/>
          <w:b/>
          <w:bCs/>
          <w:color w:val="1E3A5F"/>
          <w:sz w:val="32"/>
          <w:szCs w:val="32"/>
        </w:rPr>
        <w:t xml:space="preserve">1. Introduction</w:t>
      </w:r>
    </w:p>
    <w:p>
      <w:pPr>
        <w:pBdr>
          <w:bottom w:val="single" w:color="2B5FAC" w:sz="6" w:space="1"/>
        </w:pBdr>
        <w:spacing w:after="160"/>
      </w:pPr>
    </w:p>
    <w:p>
      <w:pPr>
        <w:pStyle w:val="Heading2"/>
      </w:pPr>
      <w:r>
        <w:rPr>
          <w:rFonts w:ascii="Arial" w:cs="Arial" w:eastAsia="Arial" w:hAnsi="Arial"/>
          <w:b/>
          <w:bCs/>
          <w:color w:val="2B5FAC"/>
          <w:sz w:val="26"/>
          <w:szCs w:val="26"/>
        </w:rPr>
        <w:t xml:space="preserve">1.1 Background and Motivation</w:t>
      </w:r>
    </w:p>
    <w:p>
      <w:pPr>
        <w:spacing w:after="160" w:before="0"/>
        <w:jc w:val="both"/>
      </w:pPr>
      <w:r>
        <w:rPr>
          <w:rFonts w:ascii="Arial" w:cs="Arial" w:eastAsia="Arial" w:hAnsi="Arial"/>
          <w:color w:val="1A1A2E"/>
          <w:sz w:val="22"/>
          <w:szCs w:val="22"/>
        </w:rPr>
        <w:t xml:space="preserve">The internet generates vast quantities of time-indexed data every second. Website traffic, in particular, is a canonical example of a real-world time series: it is sequential, exhibits trends (gradual growth or decline in page relevance), cyclical patterns (day-of-week effects, annual events), and irregular noise. Accurate forecasting of web traffic has significant practical implications for capacity planning, content strategy, anomaly detection, and advertising revenue optimization.</w:t>
      </w:r>
    </w:p>
    <w:p>
      <w:pPr>
        <w:spacing w:after="160" w:before="0"/>
        <w:jc w:val="both"/>
      </w:pPr>
      <w:r>
        <w:rPr>
          <w:rFonts w:ascii="Arial" w:cs="Arial" w:eastAsia="Arial" w:hAnsi="Arial"/>
          <w:color w:val="1A1A2E"/>
          <w:sz w:val="22"/>
          <w:szCs w:val="22"/>
        </w:rPr>
        <w:t xml:space="preserve">Wikipedia, operated by the Wikimedia Foundation, is one of the largest websites on the internet, attracting billions of pageviews per month across hundreds of languages. Its traffic data is publicly accessible via the Wikimedia REST API, making it an excellent domain for time series research. The data exhibits strong weekly seasonality — desktop traffic drops noticeably on weekends — alongside longer-term trends driven by news cycles, academic calendars, and world events.</w:t>
      </w:r>
    </w:p>
    <w:p>
      <w:pPr>
        <w:pStyle w:val="Heading2"/>
      </w:pPr>
      <w:r>
        <w:rPr>
          <w:rFonts w:ascii="Arial" w:cs="Arial" w:eastAsia="Arial" w:hAnsi="Arial"/>
          <w:b/>
          <w:bCs/>
          <w:color w:val="2B5FAC"/>
          <w:sz w:val="26"/>
          <w:szCs w:val="26"/>
        </w:rPr>
        <w:t xml:space="preserve">1.2 Problem Statement</w:t>
      </w:r>
    </w:p>
    <w:p>
      <w:pPr>
        <w:spacing w:after="160" w:before="0"/>
        <w:jc w:val="both"/>
      </w:pPr>
      <w:r>
        <w:rPr>
          <w:rFonts w:ascii="Arial" w:cs="Arial" w:eastAsia="Arial" w:hAnsi="Arial"/>
          <w:color w:val="1A1A2E"/>
          <w:sz w:val="22"/>
          <w:szCs w:val="22"/>
        </w:rPr>
        <w:t xml:space="preserve">Given a historical daily time series of Wikipedia article pageviews spanning 2015–2016, the core research question is: which time series forecasting model most accurately predicts future daily traffic 30 days ahead? The study further investigates the statistical properties of the data (stationarity, autocorrelation structure, seasonal decomposition) to inform model selection, and evaluates four candidate models across eight evaluation criteria.</w:t>
      </w:r>
    </w:p>
    <w:p>
      <w:pPr>
        <w:pStyle w:val="Heading2"/>
      </w:pPr>
      <w:r>
        <w:rPr>
          <w:rFonts w:ascii="Arial" w:cs="Arial" w:eastAsia="Arial" w:hAnsi="Arial"/>
          <w:b/>
          <w:bCs/>
          <w:color w:val="2B5FAC"/>
          <w:sz w:val="26"/>
          <w:szCs w:val="26"/>
        </w:rPr>
        <w:t xml:space="preserve">1.3 Objectives</w:t>
      </w:r>
    </w:p>
    <w:p>
      <w:pPr>
        <w:pStyle w:val="ListParagraph"/>
        <w:numPr>
          <w:ilvl w:val="0"/>
          <w:numId w:val="2"/>
        </w:numPr>
        <w:spacing w:after="100"/>
      </w:pPr>
      <w:r>
        <w:rPr>
          <w:rFonts w:ascii="Arial" w:cs="Arial" w:eastAsia="Arial" w:hAnsi="Arial"/>
          <w:color w:val="1A1A2E"/>
          <w:sz w:val="22"/>
          <w:szCs w:val="22"/>
        </w:rPr>
        <w:t xml:space="preserve">Collect and store Wikipedia daily pageview data in a structured MongoDB database.</w:t>
      </w:r>
    </w:p>
    <w:p>
      <w:pPr>
        <w:pStyle w:val="ListParagraph"/>
        <w:numPr>
          <w:ilvl w:val="0"/>
          <w:numId w:val="2"/>
        </w:numPr>
        <w:spacing w:after="100"/>
      </w:pPr>
      <w:r>
        <w:rPr>
          <w:rFonts w:ascii="Arial" w:cs="Arial" w:eastAsia="Arial" w:hAnsi="Arial"/>
          <w:color w:val="1A1A2E"/>
          <w:sz w:val="22"/>
          <w:szCs w:val="22"/>
        </w:rPr>
        <w:t xml:space="preserve">Perform comprehensive exploratory time series analysis including trend, seasonality, and autocorrelation studies.</w:t>
      </w:r>
    </w:p>
    <w:p>
      <w:pPr>
        <w:pStyle w:val="ListParagraph"/>
        <w:numPr>
          <w:ilvl w:val="0"/>
          <w:numId w:val="2"/>
        </w:numPr>
        <w:spacing w:after="100"/>
      </w:pPr>
      <w:r>
        <w:rPr>
          <w:rFonts w:ascii="Arial" w:cs="Arial" w:eastAsia="Arial" w:hAnsi="Arial"/>
          <w:color w:val="1A1A2E"/>
          <w:sz w:val="22"/>
          <w:szCs w:val="22"/>
        </w:rPr>
        <w:t xml:space="preserve">Test for stationarity using the Augmented Dickey-Fuller (ADF) and KPSS tests, and apply differencing as required.</w:t>
      </w:r>
    </w:p>
    <w:p>
      <w:pPr>
        <w:pStyle w:val="ListParagraph"/>
        <w:numPr>
          <w:ilvl w:val="0"/>
          <w:numId w:val="2"/>
        </w:numPr>
        <w:spacing w:after="100"/>
      </w:pPr>
      <w:r>
        <w:rPr>
          <w:rFonts w:ascii="Arial" w:cs="Arial" w:eastAsia="Arial" w:hAnsi="Arial"/>
          <w:color w:val="1A1A2E"/>
          <w:sz w:val="22"/>
          <w:szCs w:val="22"/>
        </w:rPr>
        <w:t xml:space="preserve">Implement four forecasting models: Linear Trend Regression, Holt-Winters Exponential Smoothing, ARIMA, and SARIMA.</w:t>
      </w:r>
    </w:p>
    <w:p>
      <w:pPr>
        <w:pStyle w:val="ListParagraph"/>
        <w:numPr>
          <w:ilvl w:val="0"/>
          <w:numId w:val="2"/>
        </w:numPr>
        <w:spacing w:after="100"/>
      </w:pPr>
      <w:r>
        <w:rPr>
          <w:rFonts w:ascii="Arial" w:cs="Arial" w:eastAsia="Arial" w:hAnsi="Arial"/>
          <w:color w:val="1A1A2E"/>
          <w:sz w:val="22"/>
          <w:szCs w:val="22"/>
        </w:rPr>
        <w:t xml:space="preserve">Evaluate all models against eight accuracy metrics on a common 60-day held-out test set.</w:t>
      </w:r>
    </w:p>
    <w:p>
      <w:pPr>
        <w:pStyle w:val="ListParagraph"/>
        <w:numPr>
          <w:ilvl w:val="0"/>
          <w:numId w:val="2"/>
        </w:numPr>
        <w:spacing w:after="100"/>
      </w:pPr>
      <w:r>
        <w:rPr>
          <w:rFonts w:ascii="Arial" w:cs="Arial" w:eastAsia="Arial" w:hAnsi="Arial"/>
          <w:color w:val="1A1A2E"/>
          <w:sz w:val="22"/>
          <w:szCs w:val="22"/>
        </w:rPr>
        <w:t xml:space="preserve">Build a full-stack interactive dashboard to present findings in a user-friendly interface.</w:t>
      </w:r>
    </w:p>
    <w:p>
      <w:pPr>
        <w:spacing w:after="160"/>
      </w:pPr>
      <w:r>
        <w:t xml:space="preserve"/>
      </w:r>
    </w:p>
    <w:p>
      <w:pPr>
        <w:pStyle w:val="Heading2"/>
      </w:pPr>
      <w:r>
        <w:rPr>
          <w:rFonts w:ascii="Arial" w:cs="Arial" w:eastAsia="Arial" w:hAnsi="Arial"/>
          <w:b/>
          <w:bCs/>
          <w:color w:val="2B5FAC"/>
          <w:sz w:val="26"/>
          <w:szCs w:val="26"/>
        </w:rPr>
        <w:t xml:space="preserve">1.4 Scope and Significance</w:t>
      </w:r>
    </w:p>
    <w:p>
      <w:pPr>
        <w:spacing w:after="160" w:before="0"/>
        <w:jc w:val="both"/>
      </w:pPr>
      <w:r>
        <w:rPr>
          <w:rFonts w:ascii="Arial" w:cs="Arial" w:eastAsia="Arial" w:hAnsi="Arial"/>
          <w:color w:val="1A1A2E"/>
          <w:sz w:val="22"/>
          <w:szCs w:val="22"/>
        </w:rPr>
        <w:t xml:space="preserve">While focused on Wikipedia, the methodology generalizes to any large-scale web platform. The techniques applied — seasonal decomposition, stationarity testing, ARIMA-family modelling, and exponential smoothing — are foundational tools used in e-commerce (demand forecasting), finance (stock volume prediction), telecommunications (network load balancing), and public health (disease surveillance). This experiential project therefore builds transferable skills with immediate industry relevance.</w:t>
      </w:r>
    </w:p>
    <w:p>
      <w:r>
        <w:br w:type="page"/>
      </w:r>
    </w:p>
    <w:p>
      <w:pPr>
        <w:pStyle w:val="Heading1"/>
      </w:pPr>
      <w:r>
        <w:rPr>
          <w:rFonts w:ascii="Arial" w:cs="Arial" w:eastAsia="Arial" w:hAnsi="Arial"/>
          <w:b/>
          <w:bCs/>
          <w:color w:val="1E3A5F"/>
          <w:sz w:val="32"/>
          <w:szCs w:val="32"/>
        </w:rPr>
        <w:t xml:space="preserve">2. Literature Review</w:t>
      </w:r>
    </w:p>
    <w:p>
      <w:pPr>
        <w:pBdr>
          <w:bottom w:val="single" w:color="2B5FAC" w:sz="6" w:space="1"/>
        </w:pBdr>
        <w:spacing w:after="160"/>
      </w:pPr>
    </w:p>
    <w:p>
      <w:pPr>
        <w:pStyle w:val="Heading2"/>
      </w:pPr>
      <w:r>
        <w:rPr>
          <w:rFonts w:ascii="Arial" w:cs="Arial" w:eastAsia="Arial" w:hAnsi="Arial"/>
          <w:b/>
          <w:bCs/>
          <w:color w:val="2B5FAC"/>
          <w:sz w:val="26"/>
          <w:szCs w:val="26"/>
        </w:rPr>
        <w:t xml:space="preserve">2.1 Classical Time Series Methods</w:t>
      </w:r>
    </w:p>
    <w:p>
      <w:pPr>
        <w:spacing w:after="160" w:before="0"/>
        <w:jc w:val="both"/>
      </w:pPr>
      <w:r>
        <w:rPr>
          <w:rFonts w:ascii="Arial" w:cs="Arial" w:eastAsia="Arial" w:hAnsi="Arial"/>
          <w:color w:val="1A1A2E"/>
          <w:sz w:val="22"/>
          <w:szCs w:val="22"/>
        </w:rPr>
        <w:t xml:space="preserve">The Box-Jenkins methodology, introduced in the 1970s, established ARIMA (AutoRegressive Integrated Moving Average) models as the gold standard for univariate time series forecasting. The seasonal extension, SARIMA, adds multiplicative seasonal components and has been widely applied in domains with strong periodic patterns such as retail sales (monthly/annual cycles) and internet traffic (daily/weekly cycles).</w:t>
      </w:r>
    </w:p>
    <w:p>
      <w:pPr>
        <w:spacing w:after="160" w:before="0"/>
        <w:jc w:val="both"/>
      </w:pPr>
      <w:r>
        <w:rPr>
          <w:rFonts w:ascii="Arial" w:cs="Arial" w:eastAsia="Arial" w:hAnsi="Arial"/>
          <w:color w:val="1A1A2E"/>
          <w:sz w:val="22"/>
          <w:szCs w:val="22"/>
        </w:rPr>
        <w:t xml:space="preserve">Holt-Winters exponential smoothing, developed by Holt (1957) and Winters (1960), extends simple exponential smoothing with trend and seasonal correction components. It is favoured for its computational simplicity, interpretability, and robustness to short data histories. The additive variant, used in this project, is most appropriate when seasonal fluctuations remain relatively constant in absolute terms.</w:t>
      </w:r>
    </w:p>
    <w:p>
      <w:pPr>
        <w:pStyle w:val="Heading2"/>
      </w:pPr>
      <w:r>
        <w:rPr>
          <w:rFonts w:ascii="Arial" w:cs="Arial" w:eastAsia="Arial" w:hAnsi="Arial"/>
          <w:b/>
          <w:bCs/>
          <w:color w:val="2B5FAC"/>
          <w:sz w:val="26"/>
          <w:szCs w:val="26"/>
        </w:rPr>
        <w:t xml:space="preserve">2.2 Web Traffic Forecasting Literature</w:t>
      </w:r>
    </w:p>
    <w:p>
      <w:pPr>
        <w:spacing w:after="160" w:before="0"/>
        <w:jc w:val="both"/>
      </w:pPr>
      <w:r>
        <w:rPr>
          <w:rFonts w:ascii="Arial" w:cs="Arial" w:eastAsia="Arial" w:hAnsi="Arial"/>
          <w:color w:val="1A1A2E"/>
          <w:sz w:val="22"/>
          <w:szCs w:val="22"/>
        </w:rPr>
        <w:t xml:space="preserve">Prior work on Wikipedia traffic has demonstrated strong weekly periodicity and event-driven spikes. Radinsky et al. (2012) showed that Wikipedia traffic exhibits power-law bursts associated with real-world events. Kaggle's 2017 Web Traffic Time Series Forecasting competition, based on the same Wikimedia dataset, found that hybrid recurrent neural network approaches dominated leaderboards, though SARIMA remained competitive for individual article forecasting at short horizons. This project demonstrates that for 30-day horizons on daily aggregated traffic, SARIMA achieves strong accuracy without requiring deep learning infrastructure.</w:t>
      </w:r>
    </w:p>
    <w:p>
      <w:pPr>
        <w:pStyle w:val="Heading2"/>
      </w:pPr>
      <w:r>
        <w:rPr>
          <w:rFonts w:ascii="Arial" w:cs="Arial" w:eastAsia="Arial" w:hAnsi="Arial"/>
          <w:b/>
          <w:bCs/>
          <w:color w:val="2B5FAC"/>
          <w:sz w:val="26"/>
          <w:szCs w:val="26"/>
        </w:rPr>
        <w:t xml:space="preserve">2.3 Seasonal Decomposition</w:t>
      </w:r>
    </w:p>
    <w:p>
      <w:pPr>
        <w:spacing w:after="160" w:before="0"/>
        <w:jc w:val="both"/>
      </w:pPr>
      <w:r>
        <w:rPr>
          <w:rFonts w:ascii="Arial" w:cs="Arial" w:eastAsia="Arial" w:hAnsi="Arial"/>
          <w:color w:val="1A1A2E"/>
          <w:sz w:val="22"/>
          <w:szCs w:val="22"/>
        </w:rPr>
        <w:t xml:space="preserve">STL (Seasonal and Trend decomposition using Loess), proposed by Cleveland et al. (1990), provides a robust non-parametric decomposition that handles outliers gracefully — critical for Wikipedia data where breaking-news events create extreme spikes. Unlike classical additive decomposition, STL allows the seasonal component to evolve over time, making it better suited to multi-year datasets with changing seasonality.</w:t>
      </w:r>
    </w:p>
    <w:p>
      <w:r>
        <w:br w:type="page"/>
      </w:r>
    </w:p>
    <w:p>
      <w:pPr>
        <w:pStyle w:val="Heading1"/>
      </w:pPr>
      <w:r>
        <w:rPr>
          <w:rFonts w:ascii="Arial" w:cs="Arial" w:eastAsia="Arial" w:hAnsi="Arial"/>
          <w:b/>
          <w:bCs/>
          <w:color w:val="1E3A5F"/>
          <w:sz w:val="32"/>
          <w:szCs w:val="32"/>
        </w:rPr>
        <w:t xml:space="preserve">3. Data Collection and Description</w:t>
      </w:r>
    </w:p>
    <w:p>
      <w:pPr>
        <w:pBdr>
          <w:bottom w:val="single" w:color="2B5FAC" w:sz="6" w:space="1"/>
        </w:pBdr>
        <w:spacing w:after="160"/>
      </w:pPr>
    </w:p>
    <w:p>
      <w:pPr>
        <w:pStyle w:val="Heading2"/>
      </w:pPr>
      <w:r>
        <w:rPr>
          <w:rFonts w:ascii="Arial" w:cs="Arial" w:eastAsia="Arial" w:hAnsi="Arial"/>
          <w:b/>
          <w:bCs/>
          <w:color w:val="2B5FAC"/>
          <w:sz w:val="26"/>
          <w:szCs w:val="26"/>
        </w:rPr>
        <w:t xml:space="preserve">3.1 Data Source</w:t>
      </w:r>
    </w:p>
    <w:p>
      <w:pPr>
        <w:spacing w:after="160" w:before="0"/>
        <w:jc w:val="both"/>
      </w:pPr>
      <w:r>
        <w:rPr>
          <w:rFonts w:ascii="Arial" w:cs="Arial" w:eastAsia="Arial" w:hAnsi="Arial"/>
          <w:color w:val="1A1A2E"/>
          <w:sz w:val="22"/>
          <w:szCs w:val="22"/>
        </w:rPr>
        <w:t xml:space="preserve">The dataset is sourced from the Wikimedia REST API, a publicly available research repository that exposes historical daily pageview counts for all Wikipedia articles across multiple languages and access types. The data covers the period from January 1, 2015 to December 31, 2016 — a span of approximately 730 daily observations per article.</w:t>
      </w:r>
    </w:p>
    <w:p>
      <w:pPr>
        <w:pStyle w:val="Heading2"/>
      </w:pPr>
      <w:r>
        <w:rPr>
          <w:rFonts w:ascii="Arial" w:cs="Arial" w:eastAsia="Arial" w:hAnsi="Arial"/>
          <w:b/>
          <w:bCs/>
          <w:color w:val="2B5FAC"/>
          <w:sz w:val="26"/>
          <w:szCs w:val="26"/>
        </w:rPr>
        <w:t xml:space="preserve">3.2 Data Schema and Storage</w:t>
      </w:r>
    </w:p>
    <w:p>
      <w:pPr>
        <w:spacing w:after="160" w:before="0"/>
        <w:jc w:val="both"/>
      </w:pPr>
      <w:r>
        <w:rPr>
          <w:rFonts w:ascii="Arial" w:cs="Arial" w:eastAsia="Arial" w:hAnsi="Arial"/>
          <w:color w:val="1A1A2E"/>
          <w:sz w:val="22"/>
          <w:szCs w:val="22"/>
        </w:rPr>
        <w:t xml:space="preserve">Raw data is transformed from CSV format into JSONL (JSON Lines) via the data/transform_to_mongo.py pipeline script, then imported into a MongoDB collection (wikipedia_traffic.pageviews) using mongoimport. MongoDB was selected for its flexible document model, efficient date-range queries, and native support for the Polars-based data loader. Indexes are defined on (article, date) for fast single-article time series retrieval and on (date) for aggregated cross-article queries.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1E6DB4" w:sz="8"/>
              <w:left w:val="single" w:color="1E6DB4" w:sz="8"/>
              <w:bottom w:val="single" w:color="1E6DB4" w:sz="8"/>
              <w:right w:val="single" w:color="1E6DB4" w:sz="8"/>
            </w:tcBorders>
            <w:shd w:fill="1E6DB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Field</w:t>
            </w:r>
          </w:p>
        </w:tc>
        <w:tc>
          <w:tcPr>
            <w:tcW w:type="dxa" w:w="2000"/>
            <w:tcBorders>
              <w:top w:val="single" w:color="1E6DB4" w:sz="8"/>
              <w:left w:val="single" w:color="1E6DB4" w:sz="8"/>
              <w:bottom w:val="single" w:color="1E6DB4" w:sz="8"/>
              <w:right w:val="single" w:color="1E6DB4" w:sz="8"/>
            </w:tcBorders>
            <w:shd w:fill="1E6DB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w:t>
            </w:r>
          </w:p>
        </w:tc>
        <w:tc>
          <w:tcPr>
            <w:tcW w:type="dxa" w:w="5160"/>
            <w:tcBorders>
              <w:top w:val="single" w:color="1E6DB4" w:sz="8"/>
              <w:left w:val="single" w:color="1E6DB4" w:sz="8"/>
              <w:bottom w:val="single" w:color="1E6DB4" w:sz="8"/>
              <w:right w:val="single" w:color="1E6DB4" w:sz="8"/>
            </w:tcBorders>
            <w:shd w:fill="1E6DB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7D9F0" w:sz="4"/>
              <w:left w:val="single" w:color="C7D9F0" w:sz="4"/>
              <w:bottom w:val="single" w:color="C7D9F0" w:sz="4"/>
              <w:right w:val="single" w:color="C7D9F0" w:sz="4"/>
            </w:tcBorders>
            <w:shd w:fill="FFFFFF" w:val="clear"/>
            <w:tcMar>
              <w:top w:type="dxa" w:w="80"/>
              <w:left w:type="dxa" w:w="140"/>
              <w:bottom w:type="dxa" w:w="80"/>
              <w:right w:type="dxa" w:w="140"/>
            </w:tcMar>
            <w:vAlign w:val="center"/>
          </w:tcPr>
          <w:p>
            <w:pPr>
              <w:jc w:val="left"/>
            </w:pPr>
            <w:r>
              <w:rPr>
                <w:rFonts w:ascii="Arial" w:cs="Arial" w:eastAsia="Arial" w:hAnsi="Arial"/>
                <w:b/>
                <w:bCs/>
                <w:color w:val="2B5FAC"/>
                <w:sz w:val="20"/>
                <w:szCs w:val="20"/>
              </w:rPr>
              <w:t xml:space="preserve">article</w:t>
            </w:r>
          </w:p>
        </w:tc>
        <w:tc>
          <w:tcPr>
            <w:tcW w:type="dxa" w:w="2000"/>
            <w:tcBorders>
              <w:top w:val="single" w:color="C7D9F0" w:sz="4"/>
              <w:left w:val="single" w:color="C7D9F0" w:sz="4"/>
              <w:bottom w:val="single" w:color="C7D9F0" w:sz="4"/>
              <w:right w:val="single" w:color="C7D9F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String</w:t>
            </w:r>
          </w:p>
        </w:tc>
        <w:tc>
          <w:tcPr>
            <w:tcW w:type="dxa" w:w="5160"/>
            <w:tcBorders>
              <w:top w:val="single" w:color="C7D9F0" w:sz="4"/>
              <w:left w:val="single" w:color="C7D9F0" w:sz="4"/>
              <w:bottom w:val="single" w:color="C7D9F0" w:sz="4"/>
              <w:right w:val="single" w:color="C7D9F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Wikipedia article title (underscores replace spaces)</w:t>
            </w:r>
          </w:p>
        </w:tc>
      </w:tr>
      <w:tr>
        <w:tc>
          <w:tcPr>
            <w:tcW w:type="dxa" w:w="2200"/>
            <w:tcBorders>
              <w:top w:val="single" w:color="C7D9F0" w:sz="4"/>
              <w:left w:val="single" w:color="C7D9F0" w:sz="4"/>
              <w:bottom w:val="single" w:color="C7D9F0" w:sz="4"/>
              <w:right w:val="single" w:color="C7D9F0" w:sz="4"/>
            </w:tcBorders>
            <w:shd w:fill="F5F9FD" w:val="clear"/>
            <w:tcMar>
              <w:top w:type="dxa" w:w="80"/>
              <w:left w:type="dxa" w:w="140"/>
              <w:bottom w:type="dxa" w:w="80"/>
              <w:right w:type="dxa" w:w="140"/>
            </w:tcMar>
            <w:vAlign w:val="center"/>
          </w:tcPr>
          <w:p>
            <w:pPr>
              <w:jc w:val="left"/>
            </w:pPr>
            <w:r>
              <w:rPr>
                <w:rFonts w:ascii="Arial" w:cs="Arial" w:eastAsia="Arial" w:hAnsi="Arial"/>
                <w:b/>
                <w:bCs/>
                <w:color w:val="2B5FAC"/>
                <w:sz w:val="20"/>
                <w:szCs w:val="20"/>
              </w:rPr>
              <w:t xml:space="preserve">project</w:t>
            </w:r>
          </w:p>
        </w:tc>
        <w:tc>
          <w:tcPr>
            <w:tcW w:type="dxa" w:w="2000"/>
            <w:tcBorders>
              <w:top w:val="single" w:color="C7D9F0" w:sz="4"/>
              <w:left w:val="single" w:color="C7D9F0" w:sz="4"/>
              <w:bottom w:val="single" w:color="C7D9F0" w:sz="4"/>
              <w:right w:val="single" w:color="C7D9F0" w:sz="4"/>
            </w:tcBorders>
            <w:shd w:fill="F5F9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String</w:t>
            </w:r>
          </w:p>
        </w:tc>
        <w:tc>
          <w:tcPr>
            <w:tcW w:type="dxa" w:w="5160"/>
            <w:tcBorders>
              <w:top w:val="single" w:color="C7D9F0" w:sz="4"/>
              <w:left w:val="single" w:color="C7D9F0" w:sz="4"/>
              <w:bottom w:val="single" w:color="C7D9F0" w:sz="4"/>
              <w:right w:val="single" w:color="C7D9F0" w:sz="4"/>
            </w:tcBorders>
            <w:shd w:fill="F5F9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Wikipedia language project (e.g., en.wikipedia)</w:t>
            </w:r>
          </w:p>
        </w:tc>
      </w:tr>
      <w:tr>
        <w:tc>
          <w:tcPr>
            <w:tcW w:type="dxa" w:w="2200"/>
            <w:tcBorders>
              <w:top w:val="single" w:color="C7D9F0" w:sz="4"/>
              <w:left w:val="single" w:color="C7D9F0" w:sz="4"/>
              <w:bottom w:val="single" w:color="C7D9F0" w:sz="4"/>
              <w:right w:val="single" w:color="C7D9F0" w:sz="4"/>
            </w:tcBorders>
            <w:shd w:fill="FFFFFF" w:val="clear"/>
            <w:tcMar>
              <w:top w:type="dxa" w:w="80"/>
              <w:left w:type="dxa" w:w="140"/>
              <w:bottom w:type="dxa" w:w="80"/>
              <w:right w:type="dxa" w:w="140"/>
            </w:tcMar>
            <w:vAlign w:val="center"/>
          </w:tcPr>
          <w:p>
            <w:pPr>
              <w:jc w:val="left"/>
            </w:pPr>
            <w:r>
              <w:rPr>
                <w:rFonts w:ascii="Arial" w:cs="Arial" w:eastAsia="Arial" w:hAnsi="Arial"/>
                <w:b/>
                <w:bCs/>
                <w:color w:val="2B5FAC"/>
                <w:sz w:val="20"/>
                <w:szCs w:val="20"/>
              </w:rPr>
              <w:t xml:space="preserve">access</w:t>
            </w:r>
          </w:p>
        </w:tc>
        <w:tc>
          <w:tcPr>
            <w:tcW w:type="dxa" w:w="2000"/>
            <w:tcBorders>
              <w:top w:val="single" w:color="C7D9F0" w:sz="4"/>
              <w:left w:val="single" w:color="C7D9F0" w:sz="4"/>
              <w:bottom w:val="single" w:color="C7D9F0" w:sz="4"/>
              <w:right w:val="single" w:color="C7D9F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String</w:t>
            </w:r>
          </w:p>
        </w:tc>
        <w:tc>
          <w:tcPr>
            <w:tcW w:type="dxa" w:w="5160"/>
            <w:tcBorders>
              <w:top w:val="single" w:color="C7D9F0" w:sz="4"/>
              <w:left w:val="single" w:color="C7D9F0" w:sz="4"/>
              <w:bottom w:val="single" w:color="C7D9F0" w:sz="4"/>
              <w:right w:val="single" w:color="C7D9F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Access type: desktop, mobile-web, mobile-app</w:t>
            </w:r>
          </w:p>
        </w:tc>
      </w:tr>
      <w:tr>
        <w:tc>
          <w:tcPr>
            <w:tcW w:type="dxa" w:w="2200"/>
            <w:tcBorders>
              <w:top w:val="single" w:color="C7D9F0" w:sz="4"/>
              <w:left w:val="single" w:color="C7D9F0" w:sz="4"/>
              <w:bottom w:val="single" w:color="C7D9F0" w:sz="4"/>
              <w:right w:val="single" w:color="C7D9F0" w:sz="4"/>
            </w:tcBorders>
            <w:shd w:fill="F5F9FD" w:val="clear"/>
            <w:tcMar>
              <w:top w:type="dxa" w:w="80"/>
              <w:left w:type="dxa" w:w="140"/>
              <w:bottom w:type="dxa" w:w="80"/>
              <w:right w:type="dxa" w:w="140"/>
            </w:tcMar>
            <w:vAlign w:val="center"/>
          </w:tcPr>
          <w:p>
            <w:pPr>
              <w:jc w:val="left"/>
            </w:pPr>
            <w:r>
              <w:rPr>
                <w:rFonts w:ascii="Arial" w:cs="Arial" w:eastAsia="Arial" w:hAnsi="Arial"/>
                <w:b/>
                <w:bCs/>
                <w:color w:val="2B5FAC"/>
                <w:sz w:val="20"/>
                <w:szCs w:val="20"/>
              </w:rPr>
              <w:t xml:space="preserve">agent</w:t>
            </w:r>
          </w:p>
        </w:tc>
        <w:tc>
          <w:tcPr>
            <w:tcW w:type="dxa" w:w="2000"/>
            <w:tcBorders>
              <w:top w:val="single" w:color="C7D9F0" w:sz="4"/>
              <w:left w:val="single" w:color="C7D9F0" w:sz="4"/>
              <w:bottom w:val="single" w:color="C7D9F0" w:sz="4"/>
              <w:right w:val="single" w:color="C7D9F0" w:sz="4"/>
            </w:tcBorders>
            <w:shd w:fill="F5F9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String</w:t>
            </w:r>
          </w:p>
        </w:tc>
        <w:tc>
          <w:tcPr>
            <w:tcW w:type="dxa" w:w="5160"/>
            <w:tcBorders>
              <w:top w:val="single" w:color="C7D9F0" w:sz="4"/>
              <w:left w:val="single" w:color="C7D9F0" w:sz="4"/>
              <w:bottom w:val="single" w:color="C7D9F0" w:sz="4"/>
              <w:right w:val="single" w:color="C7D9F0" w:sz="4"/>
            </w:tcBorders>
            <w:shd w:fill="F5F9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Agent type: user, spider, automated</w:t>
            </w:r>
          </w:p>
        </w:tc>
      </w:tr>
      <w:tr>
        <w:tc>
          <w:tcPr>
            <w:tcW w:type="dxa" w:w="2200"/>
            <w:tcBorders>
              <w:top w:val="single" w:color="C7D9F0" w:sz="4"/>
              <w:left w:val="single" w:color="C7D9F0" w:sz="4"/>
              <w:bottom w:val="single" w:color="C7D9F0" w:sz="4"/>
              <w:right w:val="single" w:color="C7D9F0" w:sz="4"/>
            </w:tcBorders>
            <w:shd w:fill="FFFFFF" w:val="clear"/>
            <w:tcMar>
              <w:top w:type="dxa" w:w="80"/>
              <w:left w:type="dxa" w:w="140"/>
              <w:bottom w:type="dxa" w:w="80"/>
              <w:right w:type="dxa" w:w="140"/>
            </w:tcMar>
            <w:vAlign w:val="center"/>
          </w:tcPr>
          <w:p>
            <w:pPr>
              <w:jc w:val="left"/>
            </w:pPr>
            <w:r>
              <w:rPr>
                <w:rFonts w:ascii="Arial" w:cs="Arial" w:eastAsia="Arial" w:hAnsi="Arial"/>
                <w:b/>
                <w:bCs/>
                <w:color w:val="2B5FAC"/>
                <w:sz w:val="20"/>
                <w:szCs w:val="20"/>
              </w:rPr>
              <w:t xml:space="preserve">date</w:t>
            </w:r>
          </w:p>
        </w:tc>
        <w:tc>
          <w:tcPr>
            <w:tcW w:type="dxa" w:w="2000"/>
            <w:tcBorders>
              <w:top w:val="single" w:color="C7D9F0" w:sz="4"/>
              <w:left w:val="single" w:color="C7D9F0" w:sz="4"/>
              <w:bottom w:val="single" w:color="C7D9F0" w:sz="4"/>
              <w:right w:val="single" w:color="C7D9F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Date</w:t>
            </w:r>
          </w:p>
        </w:tc>
        <w:tc>
          <w:tcPr>
            <w:tcW w:type="dxa" w:w="5160"/>
            <w:tcBorders>
              <w:top w:val="single" w:color="C7D9F0" w:sz="4"/>
              <w:left w:val="single" w:color="C7D9F0" w:sz="4"/>
              <w:bottom w:val="single" w:color="C7D9F0" w:sz="4"/>
              <w:right w:val="single" w:color="C7D9F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Daily timestamp (YYYY-MM-DD)</w:t>
            </w:r>
          </w:p>
        </w:tc>
      </w:tr>
      <w:tr>
        <w:tc>
          <w:tcPr>
            <w:tcW w:type="dxa" w:w="2200"/>
            <w:tcBorders>
              <w:top w:val="single" w:color="C7D9F0" w:sz="4"/>
              <w:left w:val="single" w:color="C7D9F0" w:sz="4"/>
              <w:bottom w:val="single" w:color="C7D9F0" w:sz="4"/>
              <w:right w:val="single" w:color="C7D9F0" w:sz="4"/>
            </w:tcBorders>
            <w:shd w:fill="F5F9FD" w:val="clear"/>
            <w:tcMar>
              <w:top w:type="dxa" w:w="80"/>
              <w:left w:type="dxa" w:w="140"/>
              <w:bottom w:type="dxa" w:w="80"/>
              <w:right w:type="dxa" w:w="140"/>
            </w:tcMar>
            <w:vAlign w:val="center"/>
          </w:tcPr>
          <w:p>
            <w:pPr>
              <w:jc w:val="left"/>
            </w:pPr>
            <w:r>
              <w:rPr>
                <w:rFonts w:ascii="Arial" w:cs="Arial" w:eastAsia="Arial" w:hAnsi="Arial"/>
                <w:b/>
                <w:bCs/>
                <w:color w:val="2B5FAC"/>
                <w:sz w:val="20"/>
                <w:szCs w:val="20"/>
              </w:rPr>
              <w:t xml:space="preserve">views</w:t>
            </w:r>
          </w:p>
        </w:tc>
        <w:tc>
          <w:tcPr>
            <w:tcW w:type="dxa" w:w="2000"/>
            <w:tcBorders>
              <w:top w:val="single" w:color="C7D9F0" w:sz="4"/>
              <w:left w:val="single" w:color="C7D9F0" w:sz="4"/>
              <w:bottom w:val="single" w:color="C7D9F0" w:sz="4"/>
              <w:right w:val="single" w:color="C7D9F0" w:sz="4"/>
            </w:tcBorders>
            <w:shd w:fill="F5F9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Integer</w:t>
            </w:r>
          </w:p>
        </w:tc>
        <w:tc>
          <w:tcPr>
            <w:tcW w:type="dxa" w:w="5160"/>
            <w:tcBorders>
              <w:top w:val="single" w:color="C7D9F0" w:sz="4"/>
              <w:left w:val="single" w:color="C7D9F0" w:sz="4"/>
              <w:bottom w:val="single" w:color="C7D9F0" w:sz="4"/>
              <w:right w:val="single" w:color="C7D9F0" w:sz="4"/>
            </w:tcBorders>
            <w:shd w:fill="F5F9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Daily pageview count</w:t>
            </w:r>
          </w:p>
        </w:tc>
      </w:tr>
      <w:tr>
        <w:tc>
          <w:tcPr>
            <w:tcW w:type="dxa" w:w="2200"/>
            <w:tcBorders>
              <w:top w:val="single" w:color="C7D9F0" w:sz="4"/>
              <w:left w:val="single" w:color="C7D9F0" w:sz="4"/>
              <w:bottom w:val="single" w:color="C7D9F0" w:sz="4"/>
              <w:right w:val="single" w:color="C7D9F0" w:sz="4"/>
            </w:tcBorders>
            <w:shd w:fill="FFFFFF" w:val="clear"/>
            <w:tcMar>
              <w:top w:type="dxa" w:w="80"/>
              <w:left w:type="dxa" w:w="140"/>
              <w:bottom w:type="dxa" w:w="80"/>
              <w:right w:type="dxa" w:w="140"/>
            </w:tcMar>
            <w:vAlign w:val="center"/>
          </w:tcPr>
          <w:p>
            <w:pPr>
              <w:jc w:val="left"/>
            </w:pPr>
            <w:r>
              <w:rPr>
                <w:rFonts w:ascii="Arial" w:cs="Arial" w:eastAsia="Arial" w:hAnsi="Arial"/>
                <w:b/>
                <w:bCs/>
                <w:color w:val="2B5FAC"/>
                <w:sz w:val="20"/>
                <w:szCs w:val="20"/>
              </w:rPr>
              <w:t xml:space="preserve">year</w:t>
            </w:r>
          </w:p>
        </w:tc>
        <w:tc>
          <w:tcPr>
            <w:tcW w:type="dxa" w:w="2000"/>
            <w:tcBorders>
              <w:top w:val="single" w:color="C7D9F0" w:sz="4"/>
              <w:left w:val="single" w:color="C7D9F0" w:sz="4"/>
              <w:bottom w:val="single" w:color="C7D9F0" w:sz="4"/>
              <w:right w:val="single" w:color="C7D9F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Integer</w:t>
            </w:r>
          </w:p>
        </w:tc>
        <w:tc>
          <w:tcPr>
            <w:tcW w:type="dxa" w:w="5160"/>
            <w:tcBorders>
              <w:top w:val="single" w:color="C7D9F0" w:sz="4"/>
              <w:left w:val="single" w:color="C7D9F0" w:sz="4"/>
              <w:bottom w:val="single" w:color="C7D9F0" w:sz="4"/>
              <w:right w:val="single" w:color="C7D9F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Calendar year (derived from date)</w:t>
            </w:r>
          </w:p>
        </w:tc>
      </w:tr>
      <w:tr>
        <w:tc>
          <w:tcPr>
            <w:tcW w:type="dxa" w:w="2200"/>
            <w:tcBorders>
              <w:top w:val="single" w:color="C7D9F0" w:sz="4"/>
              <w:left w:val="single" w:color="C7D9F0" w:sz="4"/>
              <w:bottom w:val="single" w:color="C7D9F0" w:sz="4"/>
              <w:right w:val="single" w:color="C7D9F0" w:sz="4"/>
            </w:tcBorders>
            <w:shd w:fill="F5F9FD" w:val="clear"/>
            <w:tcMar>
              <w:top w:type="dxa" w:w="80"/>
              <w:left w:type="dxa" w:w="140"/>
              <w:bottom w:type="dxa" w:w="80"/>
              <w:right w:type="dxa" w:w="140"/>
            </w:tcMar>
            <w:vAlign w:val="center"/>
          </w:tcPr>
          <w:p>
            <w:pPr>
              <w:jc w:val="left"/>
            </w:pPr>
            <w:r>
              <w:rPr>
                <w:rFonts w:ascii="Arial" w:cs="Arial" w:eastAsia="Arial" w:hAnsi="Arial"/>
                <w:b/>
                <w:bCs/>
                <w:color w:val="2B5FAC"/>
                <w:sz w:val="20"/>
                <w:szCs w:val="20"/>
              </w:rPr>
              <w:t xml:space="preserve">month</w:t>
            </w:r>
          </w:p>
        </w:tc>
        <w:tc>
          <w:tcPr>
            <w:tcW w:type="dxa" w:w="2000"/>
            <w:tcBorders>
              <w:top w:val="single" w:color="C7D9F0" w:sz="4"/>
              <w:left w:val="single" w:color="C7D9F0" w:sz="4"/>
              <w:bottom w:val="single" w:color="C7D9F0" w:sz="4"/>
              <w:right w:val="single" w:color="C7D9F0" w:sz="4"/>
            </w:tcBorders>
            <w:shd w:fill="F5F9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Integer</w:t>
            </w:r>
          </w:p>
        </w:tc>
        <w:tc>
          <w:tcPr>
            <w:tcW w:type="dxa" w:w="5160"/>
            <w:tcBorders>
              <w:top w:val="single" w:color="C7D9F0" w:sz="4"/>
              <w:left w:val="single" w:color="C7D9F0" w:sz="4"/>
              <w:bottom w:val="single" w:color="C7D9F0" w:sz="4"/>
              <w:right w:val="single" w:color="C7D9F0" w:sz="4"/>
            </w:tcBorders>
            <w:shd w:fill="F5F9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Calendar month 1–12 (derived from date)</w:t>
            </w:r>
          </w:p>
        </w:tc>
      </w:tr>
      <w:tr>
        <w:tc>
          <w:tcPr>
            <w:tcW w:type="dxa" w:w="2200"/>
            <w:tcBorders>
              <w:top w:val="single" w:color="C7D9F0" w:sz="4"/>
              <w:left w:val="single" w:color="C7D9F0" w:sz="4"/>
              <w:bottom w:val="single" w:color="C7D9F0" w:sz="4"/>
              <w:right w:val="single" w:color="C7D9F0" w:sz="4"/>
            </w:tcBorders>
            <w:shd w:fill="FFFFFF" w:val="clear"/>
            <w:tcMar>
              <w:top w:type="dxa" w:w="80"/>
              <w:left w:type="dxa" w:w="140"/>
              <w:bottom w:type="dxa" w:w="80"/>
              <w:right w:type="dxa" w:w="140"/>
            </w:tcMar>
            <w:vAlign w:val="center"/>
          </w:tcPr>
          <w:p>
            <w:pPr>
              <w:jc w:val="left"/>
            </w:pPr>
            <w:r>
              <w:rPr>
                <w:rFonts w:ascii="Arial" w:cs="Arial" w:eastAsia="Arial" w:hAnsi="Arial"/>
                <w:b/>
                <w:bCs/>
                <w:color w:val="2B5FAC"/>
                <w:sz w:val="20"/>
                <w:szCs w:val="20"/>
              </w:rPr>
              <w:t xml:space="preserve">day</w:t>
            </w:r>
          </w:p>
        </w:tc>
        <w:tc>
          <w:tcPr>
            <w:tcW w:type="dxa" w:w="2000"/>
            <w:tcBorders>
              <w:top w:val="single" w:color="C7D9F0" w:sz="4"/>
              <w:left w:val="single" w:color="C7D9F0" w:sz="4"/>
              <w:bottom w:val="single" w:color="C7D9F0" w:sz="4"/>
              <w:right w:val="single" w:color="C7D9F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Integer</w:t>
            </w:r>
          </w:p>
        </w:tc>
        <w:tc>
          <w:tcPr>
            <w:tcW w:type="dxa" w:w="5160"/>
            <w:tcBorders>
              <w:top w:val="single" w:color="C7D9F0" w:sz="4"/>
              <w:left w:val="single" w:color="C7D9F0" w:sz="4"/>
              <w:bottom w:val="single" w:color="C7D9F0" w:sz="4"/>
              <w:right w:val="single" w:color="C7D9F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Day of month 1–31 (derived from date)</w:t>
            </w:r>
          </w:p>
        </w:tc>
      </w:tr>
      <w:tr>
        <w:tc>
          <w:tcPr>
            <w:tcW w:type="dxa" w:w="2200"/>
            <w:tcBorders>
              <w:top w:val="single" w:color="C7D9F0" w:sz="4"/>
              <w:left w:val="single" w:color="C7D9F0" w:sz="4"/>
              <w:bottom w:val="single" w:color="C7D9F0" w:sz="4"/>
              <w:right w:val="single" w:color="C7D9F0" w:sz="4"/>
            </w:tcBorders>
            <w:shd w:fill="F5F9FD" w:val="clear"/>
            <w:tcMar>
              <w:top w:type="dxa" w:w="80"/>
              <w:left w:type="dxa" w:w="140"/>
              <w:bottom w:type="dxa" w:w="80"/>
              <w:right w:type="dxa" w:w="140"/>
            </w:tcMar>
            <w:vAlign w:val="center"/>
          </w:tcPr>
          <w:p>
            <w:pPr>
              <w:jc w:val="left"/>
            </w:pPr>
            <w:r>
              <w:rPr>
                <w:rFonts w:ascii="Arial" w:cs="Arial" w:eastAsia="Arial" w:hAnsi="Arial"/>
                <w:b/>
                <w:bCs/>
                <w:color w:val="2B5FAC"/>
                <w:sz w:val="20"/>
                <w:szCs w:val="20"/>
              </w:rPr>
              <w:t xml:space="preserve">day_of_week</w:t>
            </w:r>
          </w:p>
        </w:tc>
        <w:tc>
          <w:tcPr>
            <w:tcW w:type="dxa" w:w="2000"/>
            <w:tcBorders>
              <w:top w:val="single" w:color="C7D9F0" w:sz="4"/>
              <w:left w:val="single" w:color="C7D9F0" w:sz="4"/>
              <w:bottom w:val="single" w:color="C7D9F0" w:sz="4"/>
              <w:right w:val="single" w:color="C7D9F0" w:sz="4"/>
            </w:tcBorders>
            <w:shd w:fill="F5F9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Integer</w:t>
            </w:r>
          </w:p>
        </w:tc>
        <w:tc>
          <w:tcPr>
            <w:tcW w:type="dxa" w:w="5160"/>
            <w:tcBorders>
              <w:top w:val="single" w:color="C7D9F0" w:sz="4"/>
              <w:left w:val="single" w:color="C7D9F0" w:sz="4"/>
              <w:bottom w:val="single" w:color="C7D9F0" w:sz="4"/>
              <w:right w:val="single" w:color="C7D9F0" w:sz="4"/>
            </w:tcBorders>
            <w:shd w:fill="F5F9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Day of week 0=Monday … 6=Sunday</w:t>
            </w:r>
          </w:p>
        </w:tc>
      </w:tr>
      <w:tr>
        <w:tc>
          <w:tcPr>
            <w:tcW w:type="dxa" w:w="2200"/>
            <w:tcBorders>
              <w:top w:val="single" w:color="C7D9F0" w:sz="4"/>
              <w:left w:val="single" w:color="C7D9F0" w:sz="4"/>
              <w:bottom w:val="single" w:color="C7D9F0" w:sz="4"/>
              <w:right w:val="single" w:color="C7D9F0" w:sz="4"/>
            </w:tcBorders>
            <w:shd w:fill="FFFFFF" w:val="clear"/>
            <w:tcMar>
              <w:top w:type="dxa" w:w="80"/>
              <w:left w:type="dxa" w:w="140"/>
              <w:bottom w:type="dxa" w:w="80"/>
              <w:right w:type="dxa" w:w="140"/>
            </w:tcMar>
            <w:vAlign w:val="center"/>
          </w:tcPr>
          <w:p>
            <w:pPr>
              <w:jc w:val="left"/>
            </w:pPr>
            <w:r>
              <w:rPr>
                <w:rFonts w:ascii="Arial" w:cs="Arial" w:eastAsia="Arial" w:hAnsi="Arial"/>
                <w:b/>
                <w:bCs/>
                <w:color w:val="2B5FAC"/>
                <w:sz w:val="20"/>
                <w:szCs w:val="20"/>
              </w:rPr>
              <w:t xml:space="preserve">week</w:t>
            </w:r>
          </w:p>
        </w:tc>
        <w:tc>
          <w:tcPr>
            <w:tcW w:type="dxa" w:w="2000"/>
            <w:tcBorders>
              <w:top w:val="single" w:color="C7D9F0" w:sz="4"/>
              <w:left w:val="single" w:color="C7D9F0" w:sz="4"/>
              <w:bottom w:val="single" w:color="C7D9F0" w:sz="4"/>
              <w:right w:val="single" w:color="C7D9F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Integer</w:t>
            </w:r>
          </w:p>
        </w:tc>
        <w:tc>
          <w:tcPr>
            <w:tcW w:type="dxa" w:w="5160"/>
            <w:tcBorders>
              <w:top w:val="single" w:color="C7D9F0" w:sz="4"/>
              <w:left w:val="single" w:color="C7D9F0" w:sz="4"/>
              <w:bottom w:val="single" w:color="C7D9F0" w:sz="4"/>
              <w:right w:val="single" w:color="C7D9F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ISO week number</w:t>
            </w:r>
          </w:p>
        </w:tc>
      </w:tr>
    </w:tbl>
    <w:p>
      <w:pPr>
        <w:spacing w:after="240" w:before="80"/>
        <w:jc w:val="center"/>
      </w:pPr>
      <w:r>
        <w:rPr>
          <w:rFonts w:ascii="Arial" w:cs="Arial" w:eastAsia="Arial" w:hAnsi="Arial"/>
          <w:i/>
          <w:iCs/>
          <w:color w:val="555577"/>
          <w:sz w:val="20"/>
          <w:szCs w:val="20"/>
        </w:rPr>
        <w:t xml:space="preserve">Table 1: MongoDB document schema for the pageviews collection</w:t>
      </w:r>
    </w:p>
    <w:p>
      <w:pPr>
        <w:pStyle w:val="Heading2"/>
      </w:pPr>
      <w:r>
        <w:rPr>
          <w:rFonts w:ascii="Arial" w:cs="Arial" w:eastAsia="Arial" w:hAnsi="Arial"/>
          <w:b/>
          <w:bCs/>
          <w:color w:val="2B5FAC"/>
          <w:sz w:val="26"/>
          <w:szCs w:val="26"/>
        </w:rPr>
        <w:t xml:space="preserve">3.3 Data Characteristics</w:t>
      </w:r>
    </w:p>
    <w:p>
      <w:pPr>
        <w:spacing w:after="160" w:before="0"/>
        <w:jc w:val="both"/>
      </w:pPr>
      <w:r>
        <w:rPr>
          <w:rFonts w:ascii="Arial" w:cs="Arial" w:eastAsia="Arial" w:hAnsi="Arial"/>
          <w:color w:val="1A1A2E"/>
          <w:sz w:val="22"/>
          <w:szCs w:val="22"/>
        </w:rPr>
        <w:t xml:space="preserve">The Main_Page article aggregates traffic across all Wikipedia language editions and consistently records tens of millions of daily views. The aggregated daily series exhibits a pronounced weekly cycle — views peak mid-week (Tuesday–Thursday) and trough on weekends — alongside a slow secular decline over 2015–2016, likely reflecting shifts in mobile browsing behaviour and search engine referral changes. Event-driven spikes are observable around major news events.</w:t>
      </w:r>
    </w:p>
    <w:p>
      <w:pPr>
        <w:spacing w:after="160" w:before="0"/>
        <w:jc w:val="both"/>
      </w:pPr>
      <w:r>
        <w:rPr>
          <w:rFonts w:ascii="Arial" w:cs="Arial" w:eastAsia="Arial" w:hAnsi="Arial"/>
          <w:color w:val="1A1A2E"/>
          <w:sz w:val="22"/>
          <w:szCs w:val="22"/>
        </w:rPr>
        <w:t xml:space="preserve">Missing dates (holidays, API gaps) are forward-filled using the fill_missing_dates utility to ensure a complete, contiguous daily frequency series compatible with statsmodels time series estimators, which require regularly-spaced data.</w:t>
      </w:r>
    </w:p>
    <w:p>
      <w:r>
        <w:br w:type="page"/>
      </w:r>
    </w:p>
    <w:p>
      <w:pPr>
        <w:pStyle w:val="Heading1"/>
      </w:pPr>
      <w:r>
        <w:rPr>
          <w:rFonts w:ascii="Arial" w:cs="Arial" w:eastAsia="Arial" w:hAnsi="Arial"/>
          <w:b/>
          <w:bCs/>
          <w:color w:val="1E3A5F"/>
          <w:sz w:val="32"/>
          <w:szCs w:val="32"/>
        </w:rPr>
        <w:t xml:space="preserve">4. Methodology</w:t>
      </w:r>
    </w:p>
    <w:p>
      <w:pPr>
        <w:pBdr>
          <w:bottom w:val="single" w:color="2B5FAC" w:sz="6" w:space="1"/>
        </w:pBdr>
        <w:spacing w:after="160"/>
      </w:pPr>
    </w:p>
    <w:p>
      <w:pPr>
        <w:pStyle w:val="Heading2"/>
      </w:pPr>
      <w:r>
        <w:rPr>
          <w:rFonts w:ascii="Arial" w:cs="Arial" w:eastAsia="Arial" w:hAnsi="Arial"/>
          <w:b/>
          <w:bCs/>
          <w:color w:val="2B5FAC"/>
          <w:sz w:val="26"/>
          <w:szCs w:val="26"/>
        </w:rPr>
        <w:t xml:space="preserve">4.1 Time Series Analysis Pipeline</w:t>
      </w:r>
    </w:p>
    <w:p>
      <w:pPr>
        <w:spacing w:after="160" w:before="0"/>
        <w:jc w:val="both"/>
      </w:pPr>
      <w:r>
        <w:rPr>
          <w:rFonts w:ascii="Arial" w:cs="Arial" w:eastAsia="Arial" w:hAnsi="Arial"/>
          <w:color w:val="1A1A2E"/>
          <w:sz w:val="22"/>
          <w:szCs w:val="22"/>
        </w:rPr>
        <w:t xml:space="preserve">All analytical computations are performed in src/analysis.py. The module loads the daily series from MongoDB via a Polars-based data loader, converts it to a pandas Series with daily frequency, and executes the following analysis chain in sequence:</w:t>
      </w:r>
    </w:p>
    <w:p>
      <w:pPr>
        <w:pStyle w:val="Heading3"/>
      </w:pPr>
      <w:r>
        <w:rPr>
          <w:rFonts w:ascii="Arial" w:cs="Arial" w:eastAsia="Arial" w:hAnsi="Arial"/>
          <w:b/>
          <w:bCs/>
          <w:color w:val="555577"/>
          <w:sz w:val="24"/>
          <w:szCs w:val="24"/>
        </w:rPr>
        <w:t xml:space="preserve">4.1.1 Time Plot and Moving Averages</w:t>
      </w:r>
    </w:p>
    <w:p>
      <w:pPr>
        <w:spacing w:after="160" w:before="0"/>
        <w:jc w:val="both"/>
      </w:pPr>
      <w:r>
        <w:rPr>
          <w:rFonts w:ascii="Arial" w:cs="Arial" w:eastAsia="Arial" w:hAnsi="Arial"/>
          <w:color w:val="1A1A2E"/>
          <w:sz w:val="22"/>
          <w:szCs w:val="22"/>
        </w:rPr>
        <w:t xml:space="preserve">The raw series is plotted alongside 7-day (short-term noise smoothing), 30-day (monthly trend), and 90-day (quarterly trend) simple moving averages. A semi-average trend line — computed by splitting the series at its midpoint, averaging each half, and connecting the two mean points with a straight line — provides a linear trend proxy. These plots are saved as outputs/plots/02_moving_averages.png and rendered in both light and dark themes to match the React dashboard's theming system.</w:t>
      </w:r>
    </w:p>
    <w:p>
      <w:pPr>
        <w:pStyle w:val="Heading3"/>
      </w:pPr>
      <w:r>
        <w:rPr>
          <w:rFonts w:ascii="Arial" w:cs="Arial" w:eastAsia="Arial" w:hAnsi="Arial"/>
          <w:b/>
          <w:bCs/>
          <w:color w:val="555577"/>
          <w:sz w:val="24"/>
          <w:szCs w:val="24"/>
        </w:rPr>
        <w:t xml:space="preserve">4.1.2 STL Decomposition</w:t>
      </w:r>
    </w:p>
    <w:p>
      <w:pPr>
        <w:spacing w:after="160" w:before="0"/>
        <w:jc w:val="both"/>
      </w:pPr>
      <w:r>
        <w:rPr>
          <w:rFonts w:ascii="Arial" w:cs="Arial" w:eastAsia="Arial" w:hAnsi="Arial"/>
          <w:color w:val="1A1A2E"/>
          <w:sz w:val="22"/>
          <w:szCs w:val="22"/>
        </w:rPr>
        <w:t xml:space="preserve">Seasonal-Trend decomposition using Loess (STL) is applied with a seasonal period of 7 (weekly). This decomposes the series into three additive components: Trend (the low-frequency underlying direction), Seasonal (recurring weekly pattern), and Residual (irregular noise, including event-driven spikes). The residual component is especially informative for identifying anomalies such as sudden traffic surges caused by news events.</w:t>
      </w:r>
    </w:p>
    <w:p>
      <w:pPr>
        <w:pStyle w:val="Heading3"/>
      </w:pPr>
      <w:r>
        <w:rPr>
          <w:rFonts w:ascii="Arial" w:cs="Arial" w:eastAsia="Arial" w:hAnsi="Arial"/>
          <w:b/>
          <w:bCs/>
          <w:color w:val="555577"/>
          <w:sz w:val="24"/>
          <w:szCs w:val="24"/>
        </w:rPr>
        <w:t xml:space="preserve">4.1.3 Autocorrelation Analysis (ACF / PACF)</w:t>
      </w:r>
    </w:p>
    <w:p>
      <w:pPr>
        <w:spacing w:after="160" w:before="0"/>
        <w:jc w:val="both"/>
      </w:pPr>
      <w:r>
        <w:rPr>
          <w:rFonts w:ascii="Arial" w:cs="Arial" w:eastAsia="Arial" w:hAnsi="Arial"/>
          <w:color w:val="1A1A2E"/>
          <w:sz w:val="22"/>
          <w:szCs w:val="22"/>
        </w:rPr>
        <w:t xml:space="preserve">The Autocorrelation Function (ACF) and Partial Autocorrelation Function (PACF) are computed at up to 40 lags. The ACF reveals the correlation of the series with itself at varying time delays, informing the MA order q for ARIMA modelling. The PACF isolates direct lag-to-lag effects, informing the AR order p. For Wikipedia traffic, both ACF and PACF exhibit significant spikes at lag 7 and multiples thereof, confirming the weekly seasonal structure.</w:t>
      </w:r>
    </w:p>
    <w:p>
      <w:pPr>
        <w:pStyle w:val="Heading3"/>
      </w:pPr>
      <w:r>
        <w:rPr>
          <w:rFonts w:ascii="Arial" w:cs="Arial" w:eastAsia="Arial" w:hAnsi="Arial"/>
          <w:b/>
          <w:bCs/>
          <w:color w:val="555577"/>
          <w:sz w:val="24"/>
          <w:szCs w:val="24"/>
        </w:rPr>
        <w:t xml:space="preserve">4.1.4 Seasonal Subseries Analysis</w:t>
      </w:r>
    </w:p>
    <w:p>
      <w:pPr>
        <w:spacing w:after="160" w:before="0"/>
        <w:jc w:val="both"/>
      </w:pPr>
      <w:r>
        <w:rPr>
          <w:rFonts w:ascii="Arial" w:cs="Arial" w:eastAsia="Arial" w:hAnsi="Arial"/>
          <w:color w:val="1A1A2E"/>
          <w:sz w:val="22"/>
          <w:szCs w:val="22"/>
        </w:rPr>
        <w:t xml:space="preserve">Seasonal subseries plots are generated for two granularities: day-of-week (Monday through Sunday) and calendar month (January through December). These visualizations aggregate all observations belonging to each group and display within-group variation alongside between-group means, providing an intuitive picture of the seasonal structure at both weekly and annual scales.</w:t>
      </w:r>
    </w:p>
    <w:p>
      <w:pPr>
        <w:pStyle w:val="Heading3"/>
      </w:pPr>
      <w:r>
        <w:rPr>
          <w:rFonts w:ascii="Arial" w:cs="Arial" w:eastAsia="Arial" w:hAnsi="Arial"/>
          <w:b/>
          <w:bCs/>
          <w:color w:val="555577"/>
          <w:sz w:val="24"/>
          <w:szCs w:val="24"/>
        </w:rPr>
        <w:t xml:space="preserve">4.1.5 Lag/Lead Correlation Analysis</w:t>
      </w:r>
    </w:p>
    <w:p>
      <w:pPr>
        <w:spacing w:after="160" w:before="0"/>
        <w:jc w:val="both"/>
      </w:pPr>
      <w:r>
        <w:rPr>
          <w:rFonts w:ascii="Arial" w:cs="Arial" w:eastAsia="Arial" w:hAnsi="Arial"/>
          <w:color w:val="1A1A2E"/>
          <w:sz w:val="22"/>
          <w:szCs w:val="22"/>
        </w:rPr>
        <w:t xml:space="preserve">Scatter plots of the series against lagged versions of itself (at lags 1, 7, 14, and 30 days) are produced with Pearson correlation coefficients annotated. The lag-7 scatter plot is expected to show the strongest linear relationship, quantifying the strength of the weekly autoregressive dependence. Lag-30 correlation reveals the presence or absence of a monthly effect.</w:t>
      </w:r>
    </w:p>
    <w:p>
      <w:pPr>
        <w:pStyle w:val="Heading2"/>
      </w:pPr>
      <w:r>
        <w:rPr>
          <w:rFonts w:ascii="Arial" w:cs="Arial" w:eastAsia="Arial" w:hAnsi="Arial"/>
          <w:b/>
          <w:bCs/>
          <w:color w:val="2B5FAC"/>
          <w:sz w:val="26"/>
          <w:szCs w:val="26"/>
        </w:rPr>
        <w:t xml:space="preserve">4.2 Stationarity Testing and Differencing</w:t>
      </w:r>
    </w:p>
    <w:p>
      <w:pPr>
        <w:spacing w:after="160" w:before="0"/>
        <w:jc w:val="both"/>
      </w:pPr>
      <w:r>
        <w:rPr>
          <w:rFonts w:ascii="Arial" w:cs="Arial" w:eastAsia="Arial" w:hAnsi="Arial"/>
          <w:color w:val="1A1A2E"/>
          <w:sz w:val="22"/>
          <w:szCs w:val="22"/>
        </w:rPr>
        <w:t xml:space="preserve">ARIMA-family models require the input series to be (weakly) stationary — that is, having constant mean and variance over time. Stationarity is assessed using two complementary tests:</w:t>
      </w:r>
    </w:p>
    <w:p>
      <w:pPr>
        <w:pStyle w:val="ListParagraph"/>
        <w:numPr>
          <w:ilvl w:val="0"/>
          <w:numId w:val="3"/>
        </w:numPr>
        <w:spacing w:after="100"/>
      </w:pPr>
      <w:r>
        <w:rPr>
          <w:rFonts w:ascii="Arial" w:cs="Arial" w:eastAsia="Arial" w:hAnsi="Arial"/>
          <w:color w:val="1A1A2E"/>
          <w:sz w:val="22"/>
          <w:szCs w:val="22"/>
        </w:rPr>
        <w:t xml:space="preserve">Augmented Dickey-Fuller (ADF) Test: Null hypothesis is that a unit root is present (non-stationary). Rejection (p &lt; 0.05) supports stationarity.</w:t>
      </w:r>
    </w:p>
    <w:p>
      <w:pPr>
        <w:pStyle w:val="ListParagraph"/>
        <w:numPr>
          <w:ilvl w:val="0"/>
          <w:numId w:val="3"/>
        </w:numPr>
        <w:spacing w:after="100"/>
      </w:pPr>
      <w:r>
        <w:rPr>
          <w:rFonts w:ascii="Arial" w:cs="Arial" w:eastAsia="Arial" w:hAnsi="Arial"/>
          <w:color w:val="1A1A2E"/>
          <w:sz w:val="22"/>
          <w:szCs w:val="22"/>
        </w:rPr>
        <w:t xml:space="preserve">KPSS Test: Null hypothesis is stationarity. Rejection (p &lt; 0.05) implies non-stationarity.</w:t>
      </w:r>
    </w:p>
    <w:p>
      <w:pPr>
        <w:spacing w:after="160" w:before="0"/>
        <w:jc w:val="both"/>
      </w:pPr>
      <w:r>
        <w:rPr>
          <w:rFonts w:ascii="Arial" w:cs="Arial" w:eastAsia="Arial" w:hAnsi="Arial"/>
          <w:color w:val="1A1A2E"/>
          <w:sz w:val="22"/>
          <w:szCs w:val="22"/>
        </w:rPr>
        <w:t xml:space="preserve">The differencing order d is determined automatically by the make_stationary function, which iteratively differences the series (up to order 3) until the ADF test rejects the null hypothesis. For the Main_Page aggregated series, d = 0 was found (the raw series is already stationary in first-order ADF terms), while individual articles may require d = 1.</w:t>
      </w:r>
    </w:p>
    <w:p>
      <w:pPr>
        <w:pStyle w:val="Heading2"/>
      </w:pPr>
      <w:r>
        <w:rPr>
          <w:rFonts w:ascii="Arial" w:cs="Arial" w:eastAsia="Arial" w:hAnsi="Arial"/>
          <w:b/>
          <w:bCs/>
          <w:color w:val="2B5FAC"/>
          <w:sz w:val="26"/>
          <w:szCs w:val="26"/>
        </w:rPr>
        <w:t xml:space="preserve">4.3 Forecasting Models</w:t>
      </w:r>
    </w:p>
    <w:p>
      <w:pPr>
        <w:pStyle w:val="Heading3"/>
      </w:pPr>
      <w:r>
        <w:rPr>
          <w:rFonts w:ascii="Arial" w:cs="Arial" w:eastAsia="Arial" w:hAnsi="Arial"/>
          <w:b/>
          <w:bCs/>
          <w:color w:val="555577"/>
          <w:sz w:val="24"/>
          <w:szCs w:val="24"/>
        </w:rPr>
        <w:t xml:space="preserve">4.3.1 Linear Trend Regression</w:t>
      </w:r>
    </w:p>
    <w:p>
      <w:pPr>
        <w:spacing w:after="160" w:before="0"/>
        <w:jc w:val="both"/>
      </w:pPr>
      <w:r>
        <w:rPr>
          <w:rFonts w:ascii="Arial" w:cs="Arial" w:eastAsia="Arial" w:hAnsi="Arial"/>
          <w:color w:val="1A1A2E"/>
          <w:sz w:val="22"/>
          <w:szCs w:val="22"/>
        </w:rPr>
        <w:t xml:space="preserve">A simple linear regression is fitted with integer time index as the predictor and daily pageviews as the response. This model captures only the long-run linear trend and ignores all seasonal structure, making it a useful naive baseline. Implemented via sklearn.linear_model.LinearRegression on an integer time index derived from the series dates.</w:t>
      </w:r>
    </w:p>
    <w:p>
      <w:pPr>
        <w:pStyle w:val="Heading3"/>
      </w:pPr>
      <w:r>
        <w:rPr>
          <w:rFonts w:ascii="Arial" w:cs="Arial" w:eastAsia="Arial" w:hAnsi="Arial"/>
          <w:b/>
          <w:bCs/>
          <w:color w:val="555577"/>
          <w:sz w:val="24"/>
          <w:szCs w:val="24"/>
        </w:rPr>
        <w:t xml:space="preserve">4.3.2 Holt-Winters Exponential Smoothing</w:t>
      </w:r>
    </w:p>
    <w:p>
      <w:pPr>
        <w:spacing w:after="160" w:before="0"/>
        <w:jc w:val="both"/>
      </w:pPr>
      <w:r>
        <w:rPr>
          <w:rFonts w:ascii="Arial" w:cs="Arial" w:eastAsia="Arial" w:hAnsi="Arial"/>
          <w:color w:val="1A1A2E"/>
          <w:sz w:val="22"/>
          <w:szCs w:val="22"/>
        </w:rPr>
        <w:t xml:space="preserve">The Holt-Winters additive model (statsmodels.tsa.holtwinters.ExponentialSmoothing) is fitted with trend='add', seasonal='add', and seasonal_periods=7. This model tracks level, trend, and weekly seasonal components through three separate smoothing equations, each governed by a smoothing parameter (alpha, beta, gamma) estimated via maximum likelihood. It represents a step up from linear regression by explicitly modelling weekly seasonality.</w:t>
      </w:r>
    </w:p>
    <w:p>
      <w:pPr>
        <w:pStyle w:val="Heading3"/>
      </w:pPr>
      <w:r>
        <w:rPr>
          <w:rFonts w:ascii="Arial" w:cs="Arial" w:eastAsia="Arial" w:hAnsi="Arial"/>
          <w:b/>
          <w:bCs/>
          <w:color w:val="555577"/>
          <w:sz w:val="24"/>
          <w:szCs w:val="24"/>
        </w:rPr>
        <w:t xml:space="preserve">4.3.3 ARIMA(2, d, 2)</w:t>
      </w:r>
    </w:p>
    <w:p>
      <w:pPr>
        <w:spacing w:after="160" w:before="0"/>
        <w:jc w:val="both"/>
      </w:pPr>
      <w:r>
        <w:rPr>
          <w:rFonts w:ascii="Arial" w:cs="Arial" w:eastAsia="Arial" w:hAnsi="Arial"/>
          <w:color w:val="1A1A2E"/>
          <w:sz w:val="22"/>
          <w:szCs w:val="22"/>
        </w:rPr>
        <w:t xml:space="preserve">ARIMA(2, d, 2) — an AutoRegressive Integrated Moving Average model with AR order p=2, differencing order d (auto-detected), and MA order q=2 — is fitted using statsmodels.tsa.arima.model.ARIMA. This model captures short-term momentum (AR component) and shock persistence (MA component) but does not model weekly seasonality explicitly, unlike SARIMA.</w:t>
      </w:r>
    </w:p>
    <w:p>
      <w:pPr>
        <w:pStyle w:val="Heading3"/>
      </w:pPr>
      <w:r>
        <w:rPr>
          <w:rFonts w:ascii="Arial" w:cs="Arial" w:eastAsia="Arial" w:hAnsi="Arial"/>
          <w:b/>
          <w:bCs/>
          <w:color w:val="555577"/>
          <w:sz w:val="24"/>
          <w:szCs w:val="24"/>
        </w:rPr>
        <w:t xml:space="preserve">4.3.4 SARIMA(1, d, 1)×(1, 1, 0, 7)</w:t>
      </w:r>
    </w:p>
    <w:p>
      <w:pPr>
        <w:spacing w:after="160" w:before="0"/>
        <w:jc w:val="both"/>
      </w:pPr>
      <w:r>
        <w:rPr>
          <w:rFonts w:ascii="Arial" w:cs="Arial" w:eastAsia="Arial" w:hAnsi="Arial"/>
          <w:color w:val="1A1A2E"/>
          <w:sz w:val="22"/>
          <w:szCs w:val="22"/>
        </w:rPr>
        <w:t xml:space="preserve">SARIMA — Seasonal ARIMA — extends ARIMA with multiplicative seasonal components. The specification SARIMA(1,d,1)×(1,1,0,7) means: non-seasonal AR(1), MA(1), and d-order differencing for the short-term component; seasonal AR(1), one seasonal difference (D=1), and no seasonal MA for the weekly (period S=7) component. Implemented via statsmodels.tsa.statespace.sarimax.SARIMAX. The seasonal first difference (D=1) explicitly removes the weekly seasonal pattern from the series, making SARIMA the only model in this study that natively handles the dominant source of dependence in Wikipedia traffic.</w:t>
      </w:r>
    </w:p>
    <w:p>
      <w:r>
        <w:br w:type="page"/>
      </w:r>
    </w:p>
    <w:p>
      <w:pPr>
        <w:pStyle w:val="Heading1"/>
      </w:pPr>
      <w:r>
        <w:rPr>
          <w:rFonts w:ascii="Arial" w:cs="Arial" w:eastAsia="Arial" w:hAnsi="Arial"/>
          <w:b/>
          <w:bCs/>
          <w:color w:val="1E3A5F"/>
          <w:sz w:val="32"/>
          <w:szCs w:val="32"/>
        </w:rPr>
        <w:t xml:space="preserve">5. Evaluation Metrics</w:t>
      </w:r>
    </w:p>
    <w:p>
      <w:pPr>
        <w:pBdr>
          <w:bottom w:val="single" w:color="2B5FAC" w:sz="6" w:space="1"/>
        </w:pBdr>
        <w:spacing w:after="160"/>
      </w:pPr>
    </w:p>
    <w:p>
      <w:pPr>
        <w:spacing w:after="160" w:before="0"/>
        <w:jc w:val="both"/>
      </w:pPr>
      <w:r>
        <w:rPr>
          <w:rFonts w:ascii="Arial" w:cs="Arial" w:eastAsia="Arial" w:hAnsi="Arial"/>
          <w:color w:val="1A1A2E"/>
          <w:sz w:val="22"/>
          <w:szCs w:val="22"/>
        </w:rPr>
        <w:t xml:space="preserve">All four models are evaluated on a common 60-day held-out test set (the final 60 observations of the series) using eight complementary error metrics. The best model is selected by lowest MAPE, as this scale-independent metric allows fair comparison across articles with different view magnitudes.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1E6DB4" w:sz="8"/>
              <w:left w:val="single" w:color="1E6DB4" w:sz="8"/>
              <w:bottom w:val="single" w:color="1E6DB4" w:sz="8"/>
              <w:right w:val="single" w:color="1E6DB4" w:sz="8"/>
            </w:tcBorders>
            <w:shd w:fill="1E6DB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w:t>
            </w:r>
          </w:p>
        </w:tc>
        <w:tc>
          <w:tcPr>
            <w:tcW w:type="dxa" w:w="1600"/>
            <w:tcBorders>
              <w:top w:val="single" w:color="1E6DB4" w:sz="8"/>
              <w:left w:val="single" w:color="1E6DB4" w:sz="8"/>
              <w:bottom w:val="single" w:color="1E6DB4" w:sz="8"/>
              <w:right w:val="single" w:color="1E6DB4" w:sz="8"/>
            </w:tcBorders>
            <w:shd w:fill="1E6DB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Formula</w:t>
            </w:r>
          </w:p>
        </w:tc>
        <w:tc>
          <w:tcPr>
            <w:tcW w:type="dxa" w:w="5760"/>
            <w:tcBorders>
              <w:top w:val="single" w:color="1E6DB4" w:sz="8"/>
              <w:left w:val="single" w:color="1E6DB4" w:sz="8"/>
              <w:bottom w:val="single" w:color="1E6DB4" w:sz="8"/>
              <w:right w:val="single" w:color="1E6DB4" w:sz="8"/>
            </w:tcBorders>
            <w:shd w:fill="1E6DB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Interpretation</w:t>
            </w:r>
          </w:p>
        </w:tc>
      </w:tr>
      <w:tr>
        <w:tc>
          <w:tcPr>
            <w:tcW w:type="dxa" w:w="2000"/>
            <w:tcBorders>
              <w:top w:val="single" w:color="C7D9F0" w:sz="4"/>
              <w:left w:val="single" w:color="C7D9F0" w:sz="4"/>
              <w:bottom w:val="single" w:color="C7D9F0" w:sz="4"/>
              <w:right w:val="single" w:color="C7D9F0" w:sz="4"/>
            </w:tcBorders>
            <w:shd w:fill="FFFFFF" w:val="clear"/>
            <w:tcMar>
              <w:top w:type="dxa" w:w="80"/>
              <w:left w:type="dxa" w:w="140"/>
              <w:bottom w:type="dxa" w:w="80"/>
              <w:right w:type="dxa" w:w="140"/>
            </w:tcMar>
            <w:vAlign w:val="center"/>
          </w:tcPr>
          <w:p>
            <w:pPr>
              <w:jc w:val="left"/>
            </w:pPr>
            <w:r>
              <w:rPr>
                <w:rFonts w:ascii="Arial" w:cs="Arial" w:eastAsia="Arial" w:hAnsi="Arial"/>
                <w:b/>
                <w:bCs/>
                <w:color w:val="2B5FAC"/>
                <w:sz w:val="20"/>
                <w:szCs w:val="20"/>
              </w:rPr>
              <w:t xml:space="preserve">MAE</w:t>
            </w:r>
          </w:p>
        </w:tc>
        <w:tc>
          <w:tcPr>
            <w:tcW w:type="dxa" w:w="1600"/>
            <w:tcBorders>
              <w:top w:val="single" w:color="C7D9F0" w:sz="4"/>
              <w:left w:val="single" w:color="C7D9F0" w:sz="4"/>
              <w:bottom w:val="single" w:color="C7D9F0" w:sz="4"/>
              <w:right w:val="single" w:color="C7D9F0"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Σ|yᵢ − ŷᵢ| / n</w:t>
            </w:r>
          </w:p>
        </w:tc>
        <w:tc>
          <w:tcPr>
            <w:tcW w:type="dxa" w:w="5760"/>
            <w:tcBorders>
              <w:top w:val="single" w:color="C7D9F0" w:sz="4"/>
              <w:left w:val="single" w:color="C7D9F0" w:sz="4"/>
              <w:bottom w:val="single" w:color="C7D9F0" w:sz="4"/>
              <w:right w:val="single" w:color="C7D9F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Mean absolute error in original units; intuitive magnitude of error</w:t>
            </w:r>
          </w:p>
        </w:tc>
      </w:tr>
      <w:tr>
        <w:tc>
          <w:tcPr>
            <w:tcW w:type="dxa" w:w="2000"/>
            <w:tcBorders>
              <w:top w:val="single" w:color="C7D9F0" w:sz="4"/>
              <w:left w:val="single" w:color="C7D9F0" w:sz="4"/>
              <w:bottom w:val="single" w:color="C7D9F0" w:sz="4"/>
              <w:right w:val="single" w:color="C7D9F0" w:sz="4"/>
            </w:tcBorders>
            <w:shd w:fill="F5F9FD" w:val="clear"/>
            <w:tcMar>
              <w:top w:type="dxa" w:w="80"/>
              <w:left w:type="dxa" w:w="140"/>
              <w:bottom w:type="dxa" w:w="80"/>
              <w:right w:type="dxa" w:w="140"/>
            </w:tcMar>
            <w:vAlign w:val="center"/>
          </w:tcPr>
          <w:p>
            <w:pPr>
              <w:jc w:val="left"/>
            </w:pPr>
            <w:r>
              <w:rPr>
                <w:rFonts w:ascii="Arial" w:cs="Arial" w:eastAsia="Arial" w:hAnsi="Arial"/>
                <w:b/>
                <w:bCs/>
                <w:color w:val="2B5FAC"/>
                <w:sz w:val="20"/>
                <w:szCs w:val="20"/>
              </w:rPr>
              <w:t xml:space="preserve">MSE</w:t>
            </w:r>
          </w:p>
        </w:tc>
        <w:tc>
          <w:tcPr>
            <w:tcW w:type="dxa" w:w="1600"/>
            <w:tcBorders>
              <w:top w:val="single" w:color="C7D9F0" w:sz="4"/>
              <w:left w:val="single" w:color="C7D9F0" w:sz="4"/>
              <w:bottom w:val="single" w:color="C7D9F0" w:sz="4"/>
              <w:right w:val="single" w:color="C7D9F0" w:sz="4"/>
            </w:tcBorders>
            <w:shd w:fill="F5F9FD"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Σ(yᵢ − ŷᵢ)² / n</w:t>
            </w:r>
          </w:p>
        </w:tc>
        <w:tc>
          <w:tcPr>
            <w:tcW w:type="dxa" w:w="5760"/>
            <w:tcBorders>
              <w:top w:val="single" w:color="C7D9F0" w:sz="4"/>
              <w:left w:val="single" w:color="C7D9F0" w:sz="4"/>
              <w:bottom w:val="single" w:color="C7D9F0" w:sz="4"/>
              <w:right w:val="single" w:color="C7D9F0" w:sz="4"/>
            </w:tcBorders>
            <w:shd w:fill="F5F9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Penalises large errors quadratically; sensitive to outliers</w:t>
            </w:r>
          </w:p>
        </w:tc>
      </w:tr>
      <w:tr>
        <w:tc>
          <w:tcPr>
            <w:tcW w:type="dxa" w:w="2000"/>
            <w:tcBorders>
              <w:top w:val="single" w:color="C7D9F0" w:sz="4"/>
              <w:left w:val="single" w:color="C7D9F0" w:sz="4"/>
              <w:bottom w:val="single" w:color="C7D9F0" w:sz="4"/>
              <w:right w:val="single" w:color="C7D9F0" w:sz="4"/>
            </w:tcBorders>
            <w:shd w:fill="FFFFFF" w:val="clear"/>
            <w:tcMar>
              <w:top w:type="dxa" w:w="80"/>
              <w:left w:type="dxa" w:w="140"/>
              <w:bottom w:type="dxa" w:w="80"/>
              <w:right w:type="dxa" w:w="140"/>
            </w:tcMar>
            <w:vAlign w:val="center"/>
          </w:tcPr>
          <w:p>
            <w:pPr>
              <w:jc w:val="left"/>
            </w:pPr>
            <w:r>
              <w:rPr>
                <w:rFonts w:ascii="Arial" w:cs="Arial" w:eastAsia="Arial" w:hAnsi="Arial"/>
                <w:b/>
                <w:bCs/>
                <w:color w:val="2B5FAC"/>
                <w:sz w:val="20"/>
                <w:szCs w:val="20"/>
              </w:rPr>
              <w:t xml:space="preserve">RMSE</w:t>
            </w:r>
          </w:p>
        </w:tc>
        <w:tc>
          <w:tcPr>
            <w:tcW w:type="dxa" w:w="1600"/>
            <w:tcBorders>
              <w:top w:val="single" w:color="C7D9F0" w:sz="4"/>
              <w:left w:val="single" w:color="C7D9F0" w:sz="4"/>
              <w:bottom w:val="single" w:color="C7D9F0" w:sz="4"/>
              <w:right w:val="single" w:color="C7D9F0"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√MSE</w:t>
            </w:r>
          </w:p>
        </w:tc>
        <w:tc>
          <w:tcPr>
            <w:tcW w:type="dxa" w:w="5760"/>
            <w:tcBorders>
              <w:top w:val="single" w:color="C7D9F0" w:sz="4"/>
              <w:left w:val="single" w:color="C7D9F0" w:sz="4"/>
              <w:bottom w:val="single" w:color="C7D9F0" w:sz="4"/>
              <w:right w:val="single" w:color="C7D9F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Root MSE; same units as series, commonly reported</w:t>
            </w:r>
          </w:p>
        </w:tc>
      </w:tr>
      <w:tr>
        <w:tc>
          <w:tcPr>
            <w:tcW w:type="dxa" w:w="2000"/>
            <w:tcBorders>
              <w:top w:val="single" w:color="C7D9F0" w:sz="4"/>
              <w:left w:val="single" w:color="C7D9F0" w:sz="4"/>
              <w:bottom w:val="single" w:color="C7D9F0" w:sz="4"/>
              <w:right w:val="single" w:color="C7D9F0" w:sz="4"/>
            </w:tcBorders>
            <w:shd w:fill="F5F9FD" w:val="clear"/>
            <w:tcMar>
              <w:top w:type="dxa" w:w="80"/>
              <w:left w:type="dxa" w:w="140"/>
              <w:bottom w:type="dxa" w:w="80"/>
              <w:right w:type="dxa" w:w="140"/>
            </w:tcMar>
            <w:vAlign w:val="center"/>
          </w:tcPr>
          <w:p>
            <w:pPr>
              <w:jc w:val="left"/>
            </w:pPr>
            <w:r>
              <w:rPr>
                <w:rFonts w:ascii="Arial" w:cs="Arial" w:eastAsia="Arial" w:hAnsi="Arial"/>
                <w:b/>
                <w:bCs/>
                <w:color w:val="2B5FAC"/>
                <w:sz w:val="20"/>
                <w:szCs w:val="20"/>
              </w:rPr>
              <w:t xml:space="preserve">MAPE</w:t>
            </w:r>
          </w:p>
        </w:tc>
        <w:tc>
          <w:tcPr>
            <w:tcW w:type="dxa" w:w="1600"/>
            <w:tcBorders>
              <w:top w:val="single" w:color="C7D9F0" w:sz="4"/>
              <w:left w:val="single" w:color="C7D9F0" w:sz="4"/>
              <w:bottom w:val="single" w:color="C7D9F0" w:sz="4"/>
              <w:right w:val="single" w:color="C7D9F0" w:sz="4"/>
            </w:tcBorders>
            <w:shd w:fill="F5F9FD"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100·Σ|eᵢ/yᵢ| / n</w:t>
            </w:r>
          </w:p>
        </w:tc>
        <w:tc>
          <w:tcPr>
            <w:tcW w:type="dxa" w:w="5760"/>
            <w:tcBorders>
              <w:top w:val="single" w:color="C7D9F0" w:sz="4"/>
              <w:left w:val="single" w:color="C7D9F0" w:sz="4"/>
              <w:bottom w:val="single" w:color="C7D9F0" w:sz="4"/>
              <w:right w:val="single" w:color="C7D9F0" w:sz="4"/>
            </w:tcBorders>
            <w:shd w:fill="F5F9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Percentage error; scale-independent, used for model selection</w:t>
            </w:r>
          </w:p>
        </w:tc>
      </w:tr>
      <w:tr>
        <w:tc>
          <w:tcPr>
            <w:tcW w:type="dxa" w:w="2000"/>
            <w:tcBorders>
              <w:top w:val="single" w:color="C7D9F0" w:sz="4"/>
              <w:left w:val="single" w:color="C7D9F0" w:sz="4"/>
              <w:bottom w:val="single" w:color="C7D9F0" w:sz="4"/>
              <w:right w:val="single" w:color="C7D9F0" w:sz="4"/>
            </w:tcBorders>
            <w:shd w:fill="FFFFFF" w:val="clear"/>
            <w:tcMar>
              <w:top w:type="dxa" w:w="80"/>
              <w:left w:type="dxa" w:w="140"/>
              <w:bottom w:type="dxa" w:w="80"/>
              <w:right w:type="dxa" w:w="140"/>
            </w:tcMar>
            <w:vAlign w:val="center"/>
          </w:tcPr>
          <w:p>
            <w:pPr>
              <w:jc w:val="left"/>
            </w:pPr>
            <w:r>
              <w:rPr>
                <w:rFonts w:ascii="Arial" w:cs="Arial" w:eastAsia="Arial" w:hAnsi="Arial"/>
                <w:b/>
                <w:bCs/>
                <w:color w:val="2B5FAC"/>
                <w:sz w:val="20"/>
                <w:szCs w:val="20"/>
              </w:rPr>
              <w:t xml:space="preserve">SMAPE</w:t>
            </w:r>
          </w:p>
        </w:tc>
        <w:tc>
          <w:tcPr>
            <w:tcW w:type="dxa" w:w="1600"/>
            <w:tcBorders>
              <w:top w:val="single" w:color="C7D9F0" w:sz="4"/>
              <w:left w:val="single" w:color="C7D9F0" w:sz="4"/>
              <w:bottom w:val="single" w:color="C7D9F0" w:sz="4"/>
              <w:right w:val="single" w:color="C7D9F0"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200·Σ|eᵢ|/(|yᵢ|+|ŷᵢ|) / n</w:t>
            </w:r>
          </w:p>
        </w:tc>
        <w:tc>
          <w:tcPr>
            <w:tcW w:type="dxa" w:w="5760"/>
            <w:tcBorders>
              <w:top w:val="single" w:color="C7D9F0" w:sz="4"/>
              <w:left w:val="single" w:color="C7D9F0" w:sz="4"/>
              <w:bottom w:val="single" w:color="C7D9F0" w:sz="4"/>
              <w:right w:val="single" w:color="C7D9F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Symmetric MAPE; avoids asymmetry of MAPE when actuals near zero</w:t>
            </w:r>
          </w:p>
        </w:tc>
      </w:tr>
      <w:tr>
        <w:tc>
          <w:tcPr>
            <w:tcW w:type="dxa" w:w="2000"/>
            <w:tcBorders>
              <w:top w:val="single" w:color="C7D9F0" w:sz="4"/>
              <w:left w:val="single" w:color="C7D9F0" w:sz="4"/>
              <w:bottom w:val="single" w:color="C7D9F0" w:sz="4"/>
              <w:right w:val="single" w:color="C7D9F0" w:sz="4"/>
            </w:tcBorders>
            <w:shd w:fill="F5F9FD" w:val="clear"/>
            <w:tcMar>
              <w:top w:type="dxa" w:w="80"/>
              <w:left w:type="dxa" w:w="140"/>
              <w:bottom w:type="dxa" w:w="80"/>
              <w:right w:type="dxa" w:w="140"/>
            </w:tcMar>
            <w:vAlign w:val="center"/>
          </w:tcPr>
          <w:p>
            <w:pPr>
              <w:jc w:val="left"/>
            </w:pPr>
            <w:r>
              <w:rPr>
                <w:rFonts w:ascii="Arial" w:cs="Arial" w:eastAsia="Arial" w:hAnsi="Arial"/>
                <w:b/>
                <w:bCs/>
                <w:color w:val="2B5FAC"/>
                <w:sz w:val="20"/>
                <w:szCs w:val="20"/>
              </w:rPr>
              <w:t xml:space="preserve">WAPE</w:t>
            </w:r>
          </w:p>
        </w:tc>
        <w:tc>
          <w:tcPr>
            <w:tcW w:type="dxa" w:w="1600"/>
            <w:tcBorders>
              <w:top w:val="single" w:color="C7D9F0" w:sz="4"/>
              <w:left w:val="single" w:color="C7D9F0" w:sz="4"/>
              <w:bottom w:val="single" w:color="C7D9F0" w:sz="4"/>
              <w:right w:val="single" w:color="C7D9F0" w:sz="4"/>
            </w:tcBorders>
            <w:shd w:fill="F5F9FD"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Σ|eᵢ| / Σ|yᵢ|</w:t>
            </w:r>
          </w:p>
        </w:tc>
        <w:tc>
          <w:tcPr>
            <w:tcW w:type="dxa" w:w="5760"/>
            <w:tcBorders>
              <w:top w:val="single" w:color="C7D9F0" w:sz="4"/>
              <w:left w:val="single" w:color="C7D9F0" w:sz="4"/>
              <w:bottom w:val="single" w:color="C7D9F0" w:sz="4"/>
              <w:right w:val="single" w:color="C7D9F0" w:sz="4"/>
            </w:tcBorders>
            <w:shd w:fill="F5F9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Weighted absolute percentage error; robust to zero-value periods</w:t>
            </w:r>
          </w:p>
        </w:tc>
      </w:tr>
      <w:tr>
        <w:tc>
          <w:tcPr>
            <w:tcW w:type="dxa" w:w="2000"/>
            <w:tcBorders>
              <w:top w:val="single" w:color="C7D9F0" w:sz="4"/>
              <w:left w:val="single" w:color="C7D9F0" w:sz="4"/>
              <w:bottom w:val="single" w:color="C7D9F0" w:sz="4"/>
              <w:right w:val="single" w:color="C7D9F0" w:sz="4"/>
            </w:tcBorders>
            <w:shd w:fill="FFFFFF" w:val="clear"/>
            <w:tcMar>
              <w:top w:type="dxa" w:w="80"/>
              <w:left w:type="dxa" w:w="140"/>
              <w:bottom w:type="dxa" w:w="80"/>
              <w:right w:type="dxa" w:w="140"/>
            </w:tcMar>
            <w:vAlign w:val="center"/>
          </w:tcPr>
          <w:p>
            <w:pPr>
              <w:jc w:val="left"/>
            </w:pPr>
            <w:r>
              <w:rPr>
                <w:rFonts w:ascii="Arial" w:cs="Arial" w:eastAsia="Arial" w:hAnsi="Arial"/>
                <w:b/>
                <w:bCs/>
                <w:color w:val="2B5FAC"/>
                <w:sz w:val="20"/>
                <w:szCs w:val="20"/>
              </w:rPr>
              <w:t xml:space="preserve">R²</w:t>
            </w:r>
          </w:p>
        </w:tc>
        <w:tc>
          <w:tcPr>
            <w:tcW w:type="dxa" w:w="1600"/>
            <w:tcBorders>
              <w:top w:val="single" w:color="C7D9F0" w:sz="4"/>
              <w:left w:val="single" w:color="C7D9F0" w:sz="4"/>
              <w:bottom w:val="single" w:color="C7D9F0" w:sz="4"/>
              <w:right w:val="single" w:color="C7D9F0" w:sz="4"/>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1 − SS_res/SS_tot</w:t>
            </w:r>
          </w:p>
        </w:tc>
        <w:tc>
          <w:tcPr>
            <w:tcW w:type="dxa" w:w="5760"/>
            <w:tcBorders>
              <w:top w:val="single" w:color="C7D9F0" w:sz="4"/>
              <w:left w:val="single" w:color="C7D9F0" w:sz="4"/>
              <w:bottom w:val="single" w:color="C7D9F0" w:sz="4"/>
              <w:right w:val="single" w:color="C7D9F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Variance explained; 1=perfect, 0=mean baseline, &lt;0=worse than mean</w:t>
            </w:r>
          </w:p>
        </w:tc>
      </w:tr>
      <w:tr>
        <w:tc>
          <w:tcPr>
            <w:tcW w:type="dxa" w:w="2000"/>
            <w:tcBorders>
              <w:top w:val="single" w:color="C7D9F0" w:sz="4"/>
              <w:left w:val="single" w:color="C7D9F0" w:sz="4"/>
              <w:bottom w:val="single" w:color="C7D9F0" w:sz="4"/>
              <w:right w:val="single" w:color="C7D9F0" w:sz="4"/>
            </w:tcBorders>
            <w:shd w:fill="F5F9FD" w:val="clear"/>
            <w:tcMar>
              <w:top w:type="dxa" w:w="80"/>
              <w:left w:type="dxa" w:w="140"/>
              <w:bottom w:type="dxa" w:w="80"/>
              <w:right w:type="dxa" w:w="140"/>
            </w:tcMar>
            <w:vAlign w:val="center"/>
          </w:tcPr>
          <w:p>
            <w:pPr>
              <w:jc w:val="left"/>
            </w:pPr>
            <w:r>
              <w:rPr>
                <w:rFonts w:ascii="Arial" w:cs="Arial" w:eastAsia="Arial" w:hAnsi="Arial"/>
                <w:b/>
                <w:bCs/>
                <w:color w:val="2B5FAC"/>
                <w:sz w:val="20"/>
                <w:szCs w:val="20"/>
              </w:rPr>
              <w:t xml:space="preserve">Bias</w:t>
            </w:r>
          </w:p>
        </w:tc>
        <w:tc>
          <w:tcPr>
            <w:tcW w:type="dxa" w:w="1600"/>
            <w:tcBorders>
              <w:top w:val="single" w:color="C7D9F0" w:sz="4"/>
              <w:left w:val="single" w:color="C7D9F0" w:sz="4"/>
              <w:bottom w:val="single" w:color="C7D9F0" w:sz="4"/>
              <w:right w:val="single" w:color="C7D9F0" w:sz="4"/>
            </w:tcBorders>
            <w:shd w:fill="F5F9FD"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Σ(yᵢ − ŷᵢ) / n</w:t>
            </w:r>
          </w:p>
        </w:tc>
        <w:tc>
          <w:tcPr>
            <w:tcW w:type="dxa" w:w="5760"/>
            <w:tcBorders>
              <w:top w:val="single" w:color="C7D9F0" w:sz="4"/>
              <w:left w:val="single" w:color="C7D9F0" w:sz="4"/>
              <w:bottom w:val="single" w:color="C7D9F0" w:sz="4"/>
              <w:right w:val="single" w:color="C7D9F0" w:sz="4"/>
            </w:tcBorders>
            <w:shd w:fill="F5F9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Signed mean error; positive = systematic under-forecast</w:t>
            </w:r>
          </w:p>
        </w:tc>
      </w:tr>
    </w:tbl>
    <w:p>
      <w:pPr>
        <w:spacing w:after="240" w:before="80"/>
        <w:jc w:val="center"/>
      </w:pPr>
      <w:r>
        <w:rPr>
          <w:rFonts w:ascii="Arial" w:cs="Arial" w:eastAsia="Arial" w:hAnsi="Arial"/>
          <w:i/>
          <w:iCs/>
          <w:color w:val="555577"/>
          <w:sz w:val="20"/>
          <w:szCs w:val="20"/>
        </w:rPr>
        <w:t xml:space="preserve">Table 2: Evaluation metrics used in model comparison</w:t>
      </w:r>
    </w:p>
    <w:p>
      <w:r>
        <w:br w:type="page"/>
      </w:r>
    </w:p>
    <w:p>
      <w:pPr>
        <w:pStyle w:val="Heading1"/>
      </w:pPr>
      <w:r>
        <w:rPr>
          <w:rFonts w:ascii="Arial" w:cs="Arial" w:eastAsia="Arial" w:hAnsi="Arial"/>
          <w:b/>
          <w:bCs/>
          <w:color w:val="1E3A5F"/>
          <w:sz w:val="32"/>
          <w:szCs w:val="32"/>
        </w:rPr>
        <w:t xml:space="preserve">6. System Architecture</w:t>
      </w:r>
    </w:p>
    <w:p>
      <w:pPr>
        <w:pBdr>
          <w:bottom w:val="single" w:color="2B5FAC" w:sz="6" w:space="1"/>
        </w:pBdr>
        <w:spacing w:after="160"/>
      </w:pPr>
    </w:p>
    <w:p>
      <w:pPr>
        <w:pStyle w:val="Heading2"/>
      </w:pPr>
      <w:r>
        <w:rPr>
          <w:rFonts w:ascii="Arial" w:cs="Arial" w:eastAsia="Arial" w:hAnsi="Arial"/>
          <w:b/>
          <w:bCs/>
          <w:color w:val="2B5FAC"/>
          <w:sz w:val="26"/>
          <w:szCs w:val="26"/>
        </w:rPr>
        <w:t xml:space="preserve">6.1 Overall Architecture</w:t>
      </w:r>
    </w:p>
    <w:p>
      <w:pPr>
        <w:spacing w:after="160" w:before="0"/>
        <w:jc w:val="both"/>
      </w:pPr>
      <w:r>
        <w:rPr>
          <w:rFonts w:ascii="Arial" w:cs="Arial" w:eastAsia="Arial" w:hAnsi="Arial"/>
          <w:color w:val="1A1A2E"/>
          <w:sz w:val="22"/>
          <w:szCs w:val="22"/>
        </w:rPr>
        <w:t xml:space="preserve">The project is structured as a three-tier full-stack application: a data/analysis tier (Python + MongoDB), a service tier (FastAPI backend), and a presentation tier (React + Vite frontend). The three layers communicate via a RESTful HTTP API and a Server-Sent Events (SSE) stream for real-time pipeline execution feedback.</w:t>
      </w:r>
    </w:p>
    <w:p>
      <w:pPr>
        <w:pStyle w:val="Heading2"/>
      </w:pPr>
      <w:r>
        <w:rPr>
          <w:rFonts w:ascii="Arial" w:cs="Arial" w:eastAsia="Arial" w:hAnsi="Arial"/>
          <w:b/>
          <w:bCs/>
          <w:color w:val="2B5FAC"/>
          <w:sz w:val="26"/>
          <w:szCs w:val="26"/>
        </w:rPr>
        <w:t xml:space="preserve">6.2 Backend API</w:t>
      </w:r>
    </w:p>
    <w:p>
      <w:pPr>
        <w:spacing w:after="160" w:before="0"/>
        <w:jc w:val="both"/>
      </w:pPr>
      <w:r>
        <w:rPr>
          <w:rFonts w:ascii="Arial" w:cs="Arial" w:eastAsia="Arial" w:hAnsi="Arial"/>
          <w:color w:val="1A1A2E"/>
          <w:sz w:val="22"/>
          <w:szCs w:val="22"/>
        </w:rPr>
        <w:t xml:space="preserve">The FastAPI backend (backend/main.py) exposes a comprehensive set of REST endpoints covering collection statistics, article search, aggregated traffic queries, language/access breakdowns, and precomputed forecast retrieval. A critical endpoint is GET /run-pipeline, which spawns main.py as a subprocess and streams stdout line-by-line to the frontend via an EventSource connection — enabling live pipeline progress visibility in the dashboard without blocking the API server. Static PNG plots are served from the outputs/plots/ directory via the /plots/ route, making all analysis visualizations directly embeddable in the React frontend.</w:t>
      </w:r>
    </w:p>
    <w:p>
      <w:pPr>
        <w:pStyle w:val="Heading2"/>
      </w:pPr>
      <w:r>
        <w:rPr>
          <w:rFonts w:ascii="Arial" w:cs="Arial" w:eastAsia="Arial" w:hAnsi="Arial"/>
          <w:b/>
          <w:bCs/>
          <w:color w:val="2B5FAC"/>
          <w:sz w:val="26"/>
          <w:szCs w:val="26"/>
        </w:rPr>
        <w:t xml:space="preserve">6.3 Frontend Dashboard</w:t>
      </w:r>
    </w:p>
    <w:p>
      <w:pPr>
        <w:spacing w:after="160" w:before="0"/>
        <w:jc w:val="both"/>
      </w:pPr>
      <w:r>
        <w:rPr>
          <w:rFonts w:ascii="Arial" w:cs="Arial" w:eastAsia="Arial" w:hAnsi="Arial"/>
          <w:color w:val="1A1A2E"/>
          <w:sz w:val="22"/>
          <w:szCs w:val="22"/>
        </w:rPr>
        <w:t xml:space="preserve">The React + Vite frontend provides six interactive pages. The Overview page presents aggregate traffic statistics, language breakdown, and access type distribution. The Explore page features an interactive time-series chart with brush-zoom capability. The Search page implements fuzzy article lookup using MongoDB regex search (re.escape + space-to-underscore substitution). The Leaderboard ranks the top N articles by total views. The Models page is the core forecasting interface: it allows the user to trigger the full pipeline via the SSE endpoint and view model comparison charts alongside all analysis plots. The Database page exposes MongoDB schema, index definitions, and collection statistics.</w:t>
      </w:r>
    </w:p>
    <w:p>
      <w:pPr>
        <w:spacing w:after="160" w:before="0"/>
        <w:jc w:val="both"/>
      </w:pPr>
      <w:r>
        <w:rPr>
          <w:rFonts w:ascii="Arial" w:cs="Arial" w:eastAsia="Arial" w:hAnsi="Arial"/>
          <w:color w:val="1A1A2E"/>
          <w:sz w:val="22"/>
          <w:szCs w:val="22"/>
        </w:rPr>
        <w:t xml:space="preserve">The frontend uses a comprehensive theming system: applyTheme() in App.jsx sets a data-theme attribute on the document root, activating Tailwind CSS dark: utilities. Chart colour variables (--chart-1 through --chart-8) are defined in CSS and passed to Recharts components, keeping the light and dark palettes in sync with the Python-generated plot themes.</w:t>
      </w:r>
    </w:p>
    <w:p>
      <w:pPr>
        <w:pStyle w:val="Heading2"/>
      </w:pPr>
      <w:r>
        <w:rPr>
          <w:rFonts w:ascii="Arial" w:cs="Arial" w:eastAsia="Arial" w:hAnsi="Arial"/>
          <w:b/>
          <w:bCs/>
          <w:color w:val="2B5FAC"/>
          <w:sz w:val="26"/>
          <w:szCs w:val="26"/>
        </w:rPr>
        <w:t xml:space="preserve">6.4 Key Files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E6DB4" w:sz="8"/>
              <w:left w:val="single" w:color="1E6DB4" w:sz="8"/>
              <w:bottom w:val="single" w:color="1E6DB4" w:sz="8"/>
              <w:right w:val="single" w:color="1E6DB4" w:sz="8"/>
            </w:tcBorders>
            <w:shd w:fill="1E6DB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File / Module</w:t>
            </w:r>
          </w:p>
        </w:tc>
        <w:tc>
          <w:tcPr>
            <w:tcW w:type="dxa" w:w="6240"/>
            <w:tcBorders>
              <w:top w:val="single" w:color="1E6DB4" w:sz="8"/>
              <w:left w:val="single" w:color="1E6DB4" w:sz="8"/>
              <w:bottom w:val="single" w:color="1E6DB4" w:sz="8"/>
              <w:right w:val="single" w:color="1E6DB4" w:sz="8"/>
            </w:tcBorders>
            <w:shd w:fill="1E6DB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Role</w:t>
            </w:r>
          </w:p>
        </w:tc>
      </w:tr>
      <w:tr>
        <w:tc>
          <w:tcPr>
            <w:tcW w:type="dxa" w:w="3120"/>
            <w:tcBorders>
              <w:top w:val="single" w:color="C7D9F0" w:sz="4"/>
              <w:left w:val="single" w:color="C7D9F0" w:sz="4"/>
              <w:bottom w:val="single" w:color="C7D9F0" w:sz="4"/>
              <w:right w:val="single" w:color="C7D9F0" w:sz="4"/>
            </w:tcBorders>
            <w:shd w:fill="FFFFFF" w:val="clear"/>
            <w:tcMar>
              <w:top w:type="dxa" w:w="80"/>
              <w:left w:type="dxa" w:w="140"/>
              <w:bottom w:type="dxa" w:w="80"/>
              <w:right w:type="dxa" w:w="140"/>
            </w:tcMar>
            <w:vAlign w:val="center"/>
          </w:tcPr>
          <w:p>
            <w:pPr>
              <w:jc w:val="left"/>
            </w:pPr>
            <w:r>
              <w:rPr>
                <w:rFonts w:ascii="Arial" w:cs="Arial" w:eastAsia="Arial" w:hAnsi="Arial"/>
                <w:b/>
                <w:bCs/>
                <w:color w:val="2B5FAC"/>
                <w:sz w:val="20"/>
                <w:szCs w:val="20"/>
              </w:rPr>
              <w:t xml:space="preserve">main.py</w:t>
            </w:r>
          </w:p>
        </w:tc>
        <w:tc>
          <w:tcPr>
            <w:tcW w:type="dxa" w:w="6240"/>
            <w:tcBorders>
              <w:top w:val="single" w:color="C7D9F0" w:sz="4"/>
              <w:left w:val="single" w:color="C7D9F0" w:sz="4"/>
              <w:bottom w:val="single" w:color="C7D9F0" w:sz="4"/>
              <w:right w:val="single" w:color="C7D9F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CLI pipeline orchestrator — runs analysis then forecasting</w:t>
            </w:r>
          </w:p>
        </w:tc>
      </w:tr>
      <w:tr>
        <w:tc>
          <w:tcPr>
            <w:tcW w:type="dxa" w:w="3120"/>
            <w:tcBorders>
              <w:top w:val="single" w:color="C7D9F0" w:sz="4"/>
              <w:left w:val="single" w:color="C7D9F0" w:sz="4"/>
              <w:bottom w:val="single" w:color="C7D9F0" w:sz="4"/>
              <w:right w:val="single" w:color="C7D9F0" w:sz="4"/>
            </w:tcBorders>
            <w:shd w:fill="F5F9FD" w:val="clear"/>
            <w:tcMar>
              <w:top w:type="dxa" w:w="80"/>
              <w:left w:type="dxa" w:w="140"/>
              <w:bottom w:type="dxa" w:w="80"/>
              <w:right w:type="dxa" w:w="140"/>
            </w:tcMar>
            <w:vAlign w:val="center"/>
          </w:tcPr>
          <w:p>
            <w:pPr>
              <w:jc w:val="left"/>
            </w:pPr>
            <w:r>
              <w:rPr>
                <w:rFonts w:ascii="Arial" w:cs="Arial" w:eastAsia="Arial" w:hAnsi="Arial"/>
                <w:b/>
                <w:bCs/>
                <w:color w:val="2B5FAC"/>
                <w:sz w:val="20"/>
                <w:szCs w:val="20"/>
              </w:rPr>
              <w:t xml:space="preserve">src/analysis.py</w:t>
            </w:r>
          </w:p>
        </w:tc>
        <w:tc>
          <w:tcPr>
            <w:tcW w:type="dxa" w:w="6240"/>
            <w:tcBorders>
              <w:top w:val="single" w:color="C7D9F0" w:sz="4"/>
              <w:left w:val="single" w:color="C7D9F0" w:sz="4"/>
              <w:bottom w:val="single" w:color="C7D9F0" w:sz="4"/>
              <w:right w:val="single" w:color="C7D9F0" w:sz="4"/>
            </w:tcBorders>
            <w:shd w:fill="F5F9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Time series analysis: plots, stationarity tests, decomposition</w:t>
            </w:r>
          </w:p>
        </w:tc>
      </w:tr>
      <w:tr>
        <w:tc>
          <w:tcPr>
            <w:tcW w:type="dxa" w:w="3120"/>
            <w:tcBorders>
              <w:top w:val="single" w:color="C7D9F0" w:sz="4"/>
              <w:left w:val="single" w:color="C7D9F0" w:sz="4"/>
              <w:bottom w:val="single" w:color="C7D9F0" w:sz="4"/>
              <w:right w:val="single" w:color="C7D9F0" w:sz="4"/>
            </w:tcBorders>
            <w:shd w:fill="FFFFFF" w:val="clear"/>
            <w:tcMar>
              <w:top w:type="dxa" w:w="80"/>
              <w:left w:type="dxa" w:w="140"/>
              <w:bottom w:type="dxa" w:w="80"/>
              <w:right w:type="dxa" w:w="140"/>
            </w:tcMar>
            <w:vAlign w:val="center"/>
          </w:tcPr>
          <w:p>
            <w:pPr>
              <w:jc w:val="left"/>
            </w:pPr>
            <w:r>
              <w:rPr>
                <w:rFonts w:ascii="Arial" w:cs="Arial" w:eastAsia="Arial" w:hAnsi="Arial"/>
                <w:b/>
                <w:bCs/>
                <w:color w:val="2B5FAC"/>
                <w:sz w:val="20"/>
                <w:szCs w:val="20"/>
              </w:rPr>
              <w:t xml:space="preserve">src/forecasting.py</w:t>
            </w:r>
          </w:p>
        </w:tc>
        <w:tc>
          <w:tcPr>
            <w:tcW w:type="dxa" w:w="6240"/>
            <w:tcBorders>
              <w:top w:val="single" w:color="C7D9F0" w:sz="4"/>
              <w:left w:val="single" w:color="C7D9F0" w:sz="4"/>
              <w:bottom w:val="single" w:color="C7D9F0" w:sz="4"/>
              <w:right w:val="single" w:color="C7D9F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Model training, evaluation, future forecast, artifact generation</w:t>
            </w:r>
          </w:p>
        </w:tc>
      </w:tr>
      <w:tr>
        <w:tc>
          <w:tcPr>
            <w:tcW w:type="dxa" w:w="3120"/>
            <w:tcBorders>
              <w:top w:val="single" w:color="C7D9F0" w:sz="4"/>
              <w:left w:val="single" w:color="C7D9F0" w:sz="4"/>
              <w:bottom w:val="single" w:color="C7D9F0" w:sz="4"/>
              <w:right w:val="single" w:color="C7D9F0" w:sz="4"/>
            </w:tcBorders>
            <w:shd w:fill="F5F9FD" w:val="clear"/>
            <w:tcMar>
              <w:top w:type="dxa" w:w="80"/>
              <w:left w:type="dxa" w:w="140"/>
              <w:bottom w:type="dxa" w:w="80"/>
              <w:right w:type="dxa" w:w="140"/>
            </w:tcMar>
            <w:vAlign w:val="center"/>
          </w:tcPr>
          <w:p>
            <w:pPr>
              <w:jc w:val="left"/>
            </w:pPr>
            <w:r>
              <w:rPr>
                <w:rFonts w:ascii="Arial" w:cs="Arial" w:eastAsia="Arial" w:hAnsi="Arial"/>
                <w:b/>
                <w:bCs/>
                <w:color w:val="2B5FAC"/>
                <w:sz w:val="20"/>
                <w:szCs w:val="20"/>
              </w:rPr>
              <w:t xml:space="preserve">backend/main.py</w:t>
            </w:r>
          </w:p>
        </w:tc>
        <w:tc>
          <w:tcPr>
            <w:tcW w:type="dxa" w:w="6240"/>
            <w:tcBorders>
              <w:top w:val="single" w:color="C7D9F0" w:sz="4"/>
              <w:left w:val="single" w:color="C7D9F0" w:sz="4"/>
              <w:bottom w:val="single" w:color="C7D9F0" w:sz="4"/>
              <w:right w:val="single" w:color="C7D9F0" w:sz="4"/>
            </w:tcBorders>
            <w:shd w:fill="F5F9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FastAPI server: REST API, SSE streaming, plot serving</w:t>
            </w:r>
          </w:p>
        </w:tc>
      </w:tr>
      <w:tr>
        <w:tc>
          <w:tcPr>
            <w:tcW w:type="dxa" w:w="3120"/>
            <w:tcBorders>
              <w:top w:val="single" w:color="C7D9F0" w:sz="4"/>
              <w:left w:val="single" w:color="C7D9F0" w:sz="4"/>
              <w:bottom w:val="single" w:color="C7D9F0" w:sz="4"/>
              <w:right w:val="single" w:color="C7D9F0" w:sz="4"/>
            </w:tcBorders>
            <w:shd w:fill="FFFFFF" w:val="clear"/>
            <w:tcMar>
              <w:top w:type="dxa" w:w="80"/>
              <w:left w:type="dxa" w:w="140"/>
              <w:bottom w:type="dxa" w:w="80"/>
              <w:right w:type="dxa" w:w="140"/>
            </w:tcMar>
            <w:vAlign w:val="center"/>
          </w:tcPr>
          <w:p>
            <w:pPr>
              <w:jc w:val="left"/>
            </w:pPr>
            <w:r>
              <w:rPr>
                <w:rFonts w:ascii="Arial" w:cs="Arial" w:eastAsia="Arial" w:hAnsi="Arial"/>
                <w:b/>
                <w:bCs/>
                <w:color w:val="2B5FAC"/>
                <w:sz w:val="20"/>
                <w:szCs w:val="20"/>
              </w:rPr>
              <w:t xml:space="preserve">data/data_loader_mongo.py</w:t>
            </w:r>
          </w:p>
        </w:tc>
        <w:tc>
          <w:tcPr>
            <w:tcW w:type="dxa" w:w="6240"/>
            <w:tcBorders>
              <w:top w:val="single" w:color="C7D9F0" w:sz="4"/>
              <w:left w:val="single" w:color="C7D9F0" w:sz="4"/>
              <w:bottom w:val="single" w:color="C7D9F0" w:sz="4"/>
              <w:right w:val="single" w:color="C7D9F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MongoDB data access via Polars; fill_missing_dates utility</w:t>
            </w:r>
          </w:p>
        </w:tc>
      </w:tr>
      <w:tr>
        <w:tc>
          <w:tcPr>
            <w:tcW w:type="dxa" w:w="3120"/>
            <w:tcBorders>
              <w:top w:val="single" w:color="C7D9F0" w:sz="4"/>
              <w:left w:val="single" w:color="C7D9F0" w:sz="4"/>
              <w:bottom w:val="single" w:color="C7D9F0" w:sz="4"/>
              <w:right w:val="single" w:color="C7D9F0" w:sz="4"/>
            </w:tcBorders>
            <w:shd w:fill="F5F9FD" w:val="clear"/>
            <w:tcMar>
              <w:top w:type="dxa" w:w="80"/>
              <w:left w:type="dxa" w:w="140"/>
              <w:bottom w:type="dxa" w:w="80"/>
              <w:right w:type="dxa" w:w="140"/>
            </w:tcMar>
            <w:vAlign w:val="center"/>
          </w:tcPr>
          <w:p>
            <w:pPr>
              <w:jc w:val="left"/>
            </w:pPr>
            <w:r>
              <w:rPr>
                <w:rFonts w:ascii="Arial" w:cs="Arial" w:eastAsia="Arial" w:hAnsi="Arial"/>
                <w:b/>
                <w:bCs/>
                <w:color w:val="2B5FAC"/>
                <w:sz w:val="20"/>
                <w:szCs w:val="20"/>
              </w:rPr>
              <w:t xml:space="preserve">data/mongo_setup.py</w:t>
            </w:r>
          </w:p>
        </w:tc>
        <w:tc>
          <w:tcPr>
            <w:tcW w:type="dxa" w:w="6240"/>
            <w:tcBorders>
              <w:top w:val="single" w:color="C7D9F0" w:sz="4"/>
              <w:left w:val="single" w:color="C7D9F0" w:sz="4"/>
              <w:bottom w:val="single" w:color="C7D9F0" w:sz="4"/>
              <w:right w:val="single" w:color="C7D9F0" w:sz="4"/>
            </w:tcBorders>
            <w:shd w:fill="F5F9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Index creation and collection health checks</w:t>
            </w:r>
          </w:p>
        </w:tc>
      </w:tr>
      <w:tr>
        <w:tc>
          <w:tcPr>
            <w:tcW w:type="dxa" w:w="3120"/>
            <w:tcBorders>
              <w:top w:val="single" w:color="C7D9F0" w:sz="4"/>
              <w:left w:val="single" w:color="C7D9F0" w:sz="4"/>
              <w:bottom w:val="single" w:color="C7D9F0" w:sz="4"/>
              <w:right w:val="single" w:color="C7D9F0" w:sz="4"/>
            </w:tcBorders>
            <w:shd w:fill="FFFFFF" w:val="clear"/>
            <w:tcMar>
              <w:top w:type="dxa" w:w="80"/>
              <w:left w:type="dxa" w:w="140"/>
              <w:bottom w:type="dxa" w:w="80"/>
              <w:right w:type="dxa" w:w="140"/>
            </w:tcMar>
            <w:vAlign w:val="center"/>
          </w:tcPr>
          <w:p>
            <w:pPr>
              <w:jc w:val="left"/>
            </w:pPr>
            <w:r>
              <w:rPr>
                <w:rFonts w:ascii="Arial" w:cs="Arial" w:eastAsia="Arial" w:hAnsi="Arial"/>
                <w:b/>
                <w:bCs/>
                <w:color w:val="2B5FAC"/>
                <w:sz w:val="20"/>
                <w:szCs w:val="20"/>
              </w:rPr>
              <w:t xml:space="preserve">data/transform_to_mongo.py</w:t>
            </w:r>
          </w:p>
        </w:tc>
        <w:tc>
          <w:tcPr>
            <w:tcW w:type="dxa" w:w="6240"/>
            <w:tcBorders>
              <w:top w:val="single" w:color="C7D9F0" w:sz="4"/>
              <w:left w:val="single" w:color="C7D9F0" w:sz="4"/>
              <w:bottom w:val="single" w:color="C7D9F0" w:sz="4"/>
              <w:right w:val="single" w:color="C7D9F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CSV → JSONL transformation for mongoimport</w:t>
            </w:r>
          </w:p>
        </w:tc>
      </w:tr>
      <w:tr>
        <w:tc>
          <w:tcPr>
            <w:tcW w:type="dxa" w:w="3120"/>
            <w:tcBorders>
              <w:top w:val="single" w:color="C7D9F0" w:sz="4"/>
              <w:left w:val="single" w:color="C7D9F0" w:sz="4"/>
              <w:bottom w:val="single" w:color="C7D9F0" w:sz="4"/>
              <w:right w:val="single" w:color="C7D9F0" w:sz="4"/>
            </w:tcBorders>
            <w:shd w:fill="F5F9FD" w:val="clear"/>
            <w:tcMar>
              <w:top w:type="dxa" w:w="80"/>
              <w:left w:type="dxa" w:w="140"/>
              <w:bottom w:type="dxa" w:w="80"/>
              <w:right w:type="dxa" w:w="140"/>
            </w:tcMar>
            <w:vAlign w:val="center"/>
          </w:tcPr>
          <w:p>
            <w:pPr>
              <w:jc w:val="left"/>
            </w:pPr>
            <w:r>
              <w:rPr>
                <w:rFonts w:ascii="Arial" w:cs="Arial" w:eastAsia="Arial" w:hAnsi="Arial"/>
                <w:b/>
                <w:bCs/>
                <w:color w:val="2B5FAC"/>
                <w:sz w:val="20"/>
                <w:szCs w:val="20"/>
              </w:rPr>
              <w:t xml:space="preserve">frontend/src/</w:t>
            </w:r>
          </w:p>
        </w:tc>
        <w:tc>
          <w:tcPr>
            <w:tcW w:type="dxa" w:w="6240"/>
            <w:tcBorders>
              <w:top w:val="single" w:color="C7D9F0" w:sz="4"/>
              <w:left w:val="single" w:color="C7D9F0" w:sz="4"/>
              <w:bottom w:val="single" w:color="C7D9F0" w:sz="4"/>
              <w:right w:val="single" w:color="C7D9F0" w:sz="4"/>
            </w:tcBorders>
            <w:shd w:fill="F5F9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React + Vite dashboard (6 pages, Recharts, Tailwind CSS)</w:t>
            </w:r>
          </w:p>
        </w:tc>
      </w:tr>
    </w:tbl>
    <w:p>
      <w:pPr>
        <w:spacing w:after="240" w:before="80"/>
        <w:jc w:val="center"/>
      </w:pPr>
      <w:r>
        <w:rPr>
          <w:rFonts w:ascii="Arial" w:cs="Arial" w:eastAsia="Arial" w:hAnsi="Arial"/>
          <w:i/>
          <w:iCs/>
          <w:color w:val="555577"/>
          <w:sz w:val="20"/>
          <w:szCs w:val="20"/>
        </w:rPr>
        <w:t xml:space="preserve">Table 3: Key project files and their roles</w:t>
      </w:r>
    </w:p>
    <w:p>
      <w:r>
        <w:br w:type="page"/>
      </w:r>
    </w:p>
    <w:p>
      <w:pPr>
        <w:pStyle w:val="Heading1"/>
      </w:pPr>
      <w:r>
        <w:rPr>
          <w:rFonts w:ascii="Arial" w:cs="Arial" w:eastAsia="Arial" w:hAnsi="Arial"/>
          <w:b/>
          <w:bCs/>
          <w:color w:val="1E3A5F"/>
          <w:sz w:val="32"/>
          <w:szCs w:val="32"/>
        </w:rPr>
        <w:t xml:space="preserve">7. Results and Analysis</w:t>
      </w:r>
    </w:p>
    <w:p>
      <w:pPr>
        <w:pBdr>
          <w:bottom w:val="single" w:color="2B5FAC" w:sz="6" w:space="1"/>
        </w:pBdr>
        <w:spacing w:after="160"/>
      </w:pPr>
    </w:p>
    <w:p>
      <w:pPr>
        <w:pStyle w:val="Heading2"/>
      </w:pPr>
      <w:r>
        <w:rPr>
          <w:rFonts w:ascii="Arial" w:cs="Arial" w:eastAsia="Arial" w:hAnsi="Arial"/>
          <w:b/>
          <w:bCs/>
          <w:color w:val="2B5FAC"/>
          <w:sz w:val="26"/>
          <w:szCs w:val="26"/>
        </w:rPr>
        <w:t xml:space="preserve">7.1 Exploratory Analysis Findings</w:t>
      </w:r>
    </w:p>
    <w:p>
      <w:pPr>
        <w:spacing w:after="160" w:before="0"/>
        <w:jc w:val="both"/>
      </w:pPr>
      <w:r>
        <w:rPr>
          <w:rFonts w:ascii="Arial" w:cs="Arial" w:eastAsia="Arial" w:hAnsi="Arial"/>
          <w:color w:val="1A1A2E"/>
          <w:sz w:val="22"/>
          <w:szCs w:val="22"/>
        </w:rPr>
        <w:t xml:space="preserve">The raw daily pageview series for Main_Page reveals an initial level of approximately 16–18 million views per day in early 2015, declining to approximately 14–16 million views by late 2016. The 7-day moving average clearly smooths the pronounced weekly zigzag pattern, while the 30-day and 90-day averages expose the slow secular downtrend. The semi-average trend line confirms the negative gradient.</w:t>
      </w:r>
    </w:p>
    <w:p>
      <w:pPr>
        <w:spacing w:after="160" w:before="0"/>
        <w:jc w:val="both"/>
      </w:pPr>
      <w:r>
        <w:rPr>
          <w:rFonts w:ascii="Arial" w:cs="Arial" w:eastAsia="Arial" w:hAnsi="Arial"/>
          <w:color w:val="1A1A2E"/>
          <w:sz w:val="22"/>
          <w:szCs w:val="22"/>
        </w:rPr>
        <w:t xml:space="preserve">STL decomposition reveals that the seasonal component accounts for amplitude swings of approximately 2–3 million views (roughly 12–18% of the series level), with weekday peaks and weekend troughs. The trend component is smooth and monotonically decreasing. The residual component is well-behaved for most of the period but contains several large positive spikes corresponding to high-traffic news events.</w:t>
      </w:r>
    </w:p>
    <w:p>
      <w:pPr>
        <w:spacing w:after="160" w:before="0"/>
        <w:jc w:val="both"/>
      </w:pPr>
      <w:r>
        <w:rPr>
          <w:rFonts w:ascii="Arial" w:cs="Arial" w:eastAsia="Arial" w:hAnsi="Arial"/>
          <w:color w:val="1A1A2E"/>
          <w:sz w:val="22"/>
          <w:szCs w:val="22"/>
        </w:rPr>
        <w:t xml:space="preserve">ACF analysis shows significant positive autocorrelation at lags 1, 2, 7, 14, 21, and 28 days, confirming both short-term momentum and strong weekly periodicity. PACF exhibits significant spikes at lags 1 and 2 (informing p=2 for ARIMA), with a near-zero PACF at lag 7, suggesting the weekly seasonal structure is best captured by a seasonal differencing operator rather than a high-order non-seasonal AR term.</w:t>
      </w:r>
    </w:p>
    <w:p>
      <w:pPr>
        <w:spacing w:after="160" w:before="0"/>
        <w:jc w:val="both"/>
      </w:pPr>
      <w:r>
        <w:rPr>
          <w:rFonts w:ascii="Arial" w:cs="Arial" w:eastAsia="Arial" w:hAnsi="Arial"/>
          <w:color w:val="1A1A2E"/>
          <w:sz w:val="22"/>
          <w:szCs w:val="22"/>
        </w:rPr>
        <w:t xml:space="preserve">Stationarity tests (ADF and KPSS) applied to the Main_Page aggregated series both indicate that the raw series is stationary (d=0), meaning no regular differencing is required before fitting ARIMA models. This result is consistent with the moderate trend magnitude relative to the overall series level.</w:t>
      </w:r>
    </w:p>
    <w:p>
      <w:pPr>
        <w:pStyle w:val="Heading2"/>
      </w:pPr>
      <w:r>
        <w:rPr>
          <w:rFonts w:ascii="Arial" w:cs="Arial" w:eastAsia="Arial" w:hAnsi="Arial"/>
          <w:b/>
          <w:bCs/>
          <w:color w:val="2B5FAC"/>
          <w:sz w:val="26"/>
          <w:szCs w:val="26"/>
        </w:rPr>
        <w:t xml:space="preserve">7.2 Model Comparison Results</w:t>
      </w:r>
    </w:p>
    <w:p>
      <w:pPr>
        <w:spacing w:after="160" w:before="0"/>
        <w:jc w:val="both"/>
      </w:pPr>
      <w:r>
        <w:rPr>
          <w:rFonts w:ascii="Arial" w:cs="Arial" w:eastAsia="Arial" w:hAnsi="Arial"/>
          <w:color w:val="1A1A2E"/>
          <w:sz w:val="22"/>
          <w:szCs w:val="22"/>
        </w:rPr>
        <w:t xml:space="preserve">The table below presents evaluation results for all four models on the 60-day test set for the Main_Page article. Values are rounded to the nearest integer for readability. The best result in each column is highlighted.</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280"/>
        <w:gridCol w:w="1280"/>
        <w:gridCol w:w="1200"/>
        <w:gridCol w:w="1200"/>
        <w:gridCol w:w="1200"/>
        <w:gridCol w:w="1200"/>
        <w:gridCol w:w="760"/>
        <w:gridCol w:w="800"/>
      </w:tblGrid>
      <w:tr>
        <w:tc>
          <w:tcPr>
            <w:tcW w:type="dxa" w:w="1440"/>
            <w:tcBorders>
              <w:top w:val="single" w:color="1E6DB4" w:sz="8"/>
              <w:left w:val="single" w:color="1E6DB4" w:sz="8"/>
              <w:bottom w:val="single" w:color="1E6DB4" w:sz="8"/>
              <w:right w:val="single" w:color="1E6DB4" w:sz="8"/>
            </w:tcBorders>
            <w:shd w:fill="1E6DB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Model</w:t>
            </w:r>
          </w:p>
        </w:tc>
        <w:tc>
          <w:tcPr>
            <w:tcW w:type="dxa" w:w="1280"/>
            <w:tcBorders>
              <w:top w:val="single" w:color="1E6DB4" w:sz="8"/>
              <w:left w:val="single" w:color="1E6DB4" w:sz="8"/>
              <w:bottom w:val="single" w:color="1E6DB4" w:sz="8"/>
              <w:right w:val="single" w:color="1E6DB4" w:sz="8"/>
            </w:tcBorders>
            <w:shd w:fill="1E6DB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MAE</w:t>
            </w:r>
          </w:p>
        </w:tc>
        <w:tc>
          <w:tcPr>
            <w:tcW w:type="dxa" w:w="1280"/>
            <w:tcBorders>
              <w:top w:val="single" w:color="1E6DB4" w:sz="8"/>
              <w:left w:val="single" w:color="1E6DB4" w:sz="8"/>
              <w:bottom w:val="single" w:color="1E6DB4" w:sz="8"/>
              <w:right w:val="single" w:color="1E6DB4" w:sz="8"/>
            </w:tcBorders>
            <w:shd w:fill="1E6DB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RMSE</w:t>
            </w:r>
          </w:p>
        </w:tc>
        <w:tc>
          <w:tcPr>
            <w:tcW w:type="dxa" w:w="1200"/>
            <w:tcBorders>
              <w:top w:val="single" w:color="1E6DB4" w:sz="8"/>
              <w:left w:val="single" w:color="1E6DB4" w:sz="8"/>
              <w:bottom w:val="single" w:color="1E6DB4" w:sz="8"/>
              <w:right w:val="single" w:color="1E6DB4" w:sz="8"/>
            </w:tcBorders>
            <w:shd w:fill="1E6DB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MAPE %</w:t>
            </w:r>
          </w:p>
        </w:tc>
        <w:tc>
          <w:tcPr>
            <w:tcW w:type="dxa" w:w="1200"/>
            <w:tcBorders>
              <w:top w:val="single" w:color="1E6DB4" w:sz="8"/>
              <w:left w:val="single" w:color="1E6DB4" w:sz="8"/>
              <w:bottom w:val="single" w:color="1E6DB4" w:sz="8"/>
              <w:right w:val="single" w:color="1E6DB4" w:sz="8"/>
            </w:tcBorders>
            <w:shd w:fill="1E6DB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SMAPE %</w:t>
            </w:r>
          </w:p>
        </w:tc>
        <w:tc>
          <w:tcPr>
            <w:tcW w:type="dxa" w:w="1200"/>
            <w:tcBorders>
              <w:top w:val="single" w:color="1E6DB4" w:sz="8"/>
              <w:left w:val="single" w:color="1E6DB4" w:sz="8"/>
              <w:bottom w:val="single" w:color="1E6DB4" w:sz="8"/>
              <w:right w:val="single" w:color="1E6DB4" w:sz="8"/>
            </w:tcBorders>
            <w:shd w:fill="1E6DB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WAPE %</w:t>
            </w:r>
          </w:p>
        </w:tc>
        <w:tc>
          <w:tcPr>
            <w:tcW w:type="dxa" w:w="1200"/>
            <w:tcBorders>
              <w:top w:val="single" w:color="1E6DB4" w:sz="8"/>
              <w:left w:val="single" w:color="1E6DB4" w:sz="8"/>
              <w:bottom w:val="single" w:color="1E6DB4" w:sz="8"/>
              <w:right w:val="single" w:color="1E6DB4" w:sz="8"/>
            </w:tcBorders>
            <w:shd w:fill="1E6DB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R²</w:t>
            </w:r>
          </w:p>
        </w:tc>
        <w:tc>
          <w:tcPr>
            <w:tcW w:type="dxa" w:w="760"/>
            <w:tcBorders>
              <w:top w:val="single" w:color="1E6DB4" w:sz="8"/>
              <w:left w:val="single" w:color="1E6DB4" w:sz="8"/>
              <w:bottom w:val="single" w:color="1E6DB4" w:sz="8"/>
              <w:right w:val="single" w:color="1E6DB4" w:sz="8"/>
            </w:tcBorders>
            <w:shd w:fill="1E6DB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Bias</w:t>
            </w:r>
          </w:p>
        </w:tc>
      </w:tr>
      <w:tr>
        <w:tc>
          <w:tcPr>
            <w:tcW w:type="dxa" w:w="1440"/>
            <w:tcBorders>
              <w:top w:val="single" w:color="C7D9F0" w:sz="4"/>
              <w:left w:val="single" w:color="C7D9F0" w:sz="4"/>
              <w:bottom w:val="single" w:color="C7D9F0" w:sz="4"/>
              <w:right w:val="single" w:color="C7D9F0" w:sz="4"/>
            </w:tcBorders>
            <w:shd w:fill="FFFFFF" w:val="clear"/>
            <w:tcMar>
              <w:top w:type="dxa" w:w="80"/>
              <w:left w:type="dxa" w:w="80"/>
              <w:bottom w:type="dxa" w:w="80"/>
              <w:right w:type="dxa" w:w="80"/>
            </w:tcMar>
            <w:vAlign w:val="center"/>
          </w:tcPr>
          <w:p>
            <w:pPr>
              <w:jc w:val="left"/>
            </w:pPr>
            <w:r>
              <w:rPr>
                <w:rFonts w:ascii="Arial" w:cs="Arial" w:eastAsia="Arial" w:hAnsi="Arial"/>
                <w:b w:val="false"/>
                <w:bCs w:val="false"/>
                <w:color w:val="1A1A2E"/>
                <w:sz w:val="18"/>
                <w:szCs w:val="18"/>
              </w:rPr>
              <w:t xml:space="preserve">Linear Trend</w:t>
            </w:r>
          </w:p>
        </w:tc>
        <w:tc>
          <w:tcPr>
            <w:tcW w:type="dxa" w:w="1280"/>
            <w:tcBorders>
              <w:top w:val="single" w:color="C7D9F0" w:sz="4"/>
              <w:left w:val="single" w:color="C7D9F0" w:sz="4"/>
              <w:bottom w:val="single" w:color="C7D9F0" w:sz="4"/>
              <w:right w:val="single" w:color="C7D9F0" w:sz="4"/>
            </w:tcBorders>
            <w:shd w:fill="FFFFFF" w:val="clear"/>
            <w:tcMar>
              <w:top w:type="dxa" w:w="80"/>
              <w:left w:type="dxa" w:w="80"/>
              <w:bottom w:type="dxa" w:w="80"/>
              <w:right w:type="dxa" w:w="80"/>
            </w:tcMar>
            <w:vAlign w:val="center"/>
          </w:tcPr>
          <w:p>
            <w:pPr>
              <w:jc w:val="right"/>
            </w:pPr>
            <w:r>
              <w:rPr>
                <w:rFonts w:ascii="Arial" w:cs="Arial" w:eastAsia="Arial" w:hAnsi="Arial"/>
                <w:b w:val="false"/>
                <w:bCs w:val="false"/>
                <w:color w:val="1A1A2E"/>
                <w:sz w:val="18"/>
                <w:szCs w:val="18"/>
              </w:rPr>
              <w:t xml:space="preserve">8,101,490</w:t>
            </w:r>
          </w:p>
        </w:tc>
        <w:tc>
          <w:tcPr>
            <w:tcW w:type="dxa" w:w="1280"/>
            <w:tcBorders>
              <w:top w:val="single" w:color="C7D9F0" w:sz="4"/>
              <w:left w:val="single" w:color="C7D9F0" w:sz="4"/>
              <w:bottom w:val="single" w:color="C7D9F0" w:sz="4"/>
              <w:right w:val="single" w:color="C7D9F0" w:sz="4"/>
            </w:tcBorders>
            <w:shd w:fill="FFFFFF" w:val="clear"/>
            <w:tcMar>
              <w:top w:type="dxa" w:w="80"/>
              <w:left w:type="dxa" w:w="80"/>
              <w:bottom w:type="dxa" w:w="80"/>
              <w:right w:type="dxa" w:w="80"/>
            </w:tcMar>
            <w:vAlign w:val="center"/>
          </w:tcPr>
          <w:p>
            <w:pPr>
              <w:jc w:val="right"/>
            </w:pPr>
            <w:r>
              <w:rPr>
                <w:rFonts w:ascii="Arial" w:cs="Arial" w:eastAsia="Arial" w:hAnsi="Arial"/>
                <w:b w:val="false"/>
                <w:bCs w:val="false"/>
                <w:color w:val="1A1A2E"/>
                <w:sz w:val="18"/>
                <w:szCs w:val="18"/>
              </w:rPr>
              <w:t xml:space="preserve">8,269,291</w:t>
            </w:r>
          </w:p>
        </w:tc>
        <w:tc>
          <w:tcPr>
            <w:tcW w:type="dxa" w:w="1200"/>
            <w:tcBorders>
              <w:top w:val="single" w:color="C7D9F0" w:sz="4"/>
              <w:left w:val="single" w:color="C7D9F0" w:sz="4"/>
              <w:bottom w:val="single" w:color="C7D9F0" w:sz="4"/>
              <w:right w:val="single" w:color="C7D9F0" w:sz="4"/>
            </w:tcBorders>
            <w:shd w:fill="FFFFFF" w:val="clear"/>
            <w:tcMar>
              <w:top w:type="dxa" w:w="80"/>
              <w:left w:type="dxa" w:w="80"/>
              <w:bottom w:type="dxa" w:w="80"/>
              <w:right w:type="dxa" w:w="80"/>
            </w:tcMar>
            <w:vAlign w:val="center"/>
          </w:tcPr>
          <w:p>
            <w:pPr>
              <w:jc w:val="right"/>
            </w:pPr>
            <w:r>
              <w:rPr>
                <w:rFonts w:ascii="Arial" w:cs="Arial" w:eastAsia="Arial" w:hAnsi="Arial"/>
                <w:b w:val="false"/>
                <w:bCs w:val="false"/>
                <w:color w:val="1A1A2E"/>
                <w:sz w:val="18"/>
                <w:szCs w:val="18"/>
              </w:rPr>
              <w:t xml:space="preserve">51.84</w:t>
            </w:r>
          </w:p>
        </w:tc>
        <w:tc>
          <w:tcPr>
            <w:tcW w:type="dxa" w:w="1200"/>
            <w:tcBorders>
              <w:top w:val="single" w:color="C7D9F0" w:sz="4"/>
              <w:left w:val="single" w:color="C7D9F0" w:sz="4"/>
              <w:bottom w:val="single" w:color="C7D9F0" w:sz="4"/>
              <w:right w:val="single" w:color="C7D9F0" w:sz="4"/>
            </w:tcBorders>
            <w:shd w:fill="FFFFFF" w:val="clear"/>
            <w:tcMar>
              <w:top w:type="dxa" w:w="80"/>
              <w:left w:type="dxa" w:w="80"/>
              <w:bottom w:type="dxa" w:w="80"/>
              <w:right w:type="dxa" w:w="80"/>
            </w:tcMar>
            <w:vAlign w:val="center"/>
          </w:tcPr>
          <w:p>
            <w:pPr>
              <w:jc w:val="right"/>
            </w:pPr>
            <w:r>
              <w:rPr>
                <w:rFonts w:ascii="Arial" w:cs="Arial" w:eastAsia="Arial" w:hAnsi="Arial"/>
                <w:b w:val="false"/>
                <w:bCs w:val="false"/>
                <w:color w:val="1A1A2E"/>
                <w:sz w:val="18"/>
                <w:szCs w:val="18"/>
              </w:rPr>
              <w:t xml:space="preserve">40.50</w:t>
            </w:r>
          </w:p>
        </w:tc>
        <w:tc>
          <w:tcPr>
            <w:tcW w:type="dxa" w:w="1200"/>
            <w:tcBorders>
              <w:top w:val="single" w:color="C7D9F0" w:sz="4"/>
              <w:left w:val="single" w:color="C7D9F0" w:sz="4"/>
              <w:bottom w:val="single" w:color="C7D9F0" w:sz="4"/>
              <w:right w:val="single" w:color="C7D9F0" w:sz="4"/>
            </w:tcBorders>
            <w:shd w:fill="FFFFFF" w:val="clear"/>
            <w:tcMar>
              <w:top w:type="dxa" w:w="80"/>
              <w:left w:type="dxa" w:w="80"/>
              <w:bottom w:type="dxa" w:w="80"/>
              <w:right w:type="dxa" w:w="80"/>
            </w:tcMar>
            <w:vAlign w:val="center"/>
          </w:tcPr>
          <w:p>
            <w:pPr>
              <w:jc w:val="right"/>
            </w:pPr>
            <w:r>
              <w:rPr>
                <w:rFonts w:ascii="Arial" w:cs="Arial" w:eastAsia="Arial" w:hAnsi="Arial"/>
                <w:b w:val="false"/>
                <w:bCs w:val="false"/>
                <w:color w:val="1A1A2E"/>
                <w:sz w:val="18"/>
                <w:szCs w:val="18"/>
              </w:rPr>
              <w:t xml:space="preserve">50.14</w:t>
            </w:r>
          </w:p>
        </w:tc>
        <w:tc>
          <w:tcPr>
            <w:tcW w:type="dxa" w:w="1200"/>
            <w:tcBorders>
              <w:top w:val="single" w:color="C7D9F0" w:sz="4"/>
              <w:left w:val="single" w:color="C7D9F0" w:sz="4"/>
              <w:bottom w:val="single" w:color="C7D9F0" w:sz="4"/>
              <w:right w:val="single" w:color="C7D9F0" w:sz="4"/>
            </w:tcBorders>
            <w:shd w:fill="FFFFFF" w:val="clear"/>
            <w:tcMar>
              <w:top w:type="dxa" w:w="80"/>
              <w:left w:type="dxa" w:w="80"/>
              <w:bottom w:type="dxa" w:w="80"/>
              <w:right w:type="dxa" w:w="80"/>
            </w:tcMar>
            <w:vAlign w:val="center"/>
          </w:tcPr>
          <w:p>
            <w:pPr>
              <w:jc w:val="right"/>
            </w:pPr>
            <w:r>
              <w:rPr>
                <w:rFonts w:ascii="Arial" w:cs="Arial" w:eastAsia="Arial" w:hAnsi="Arial"/>
                <w:b w:val="false"/>
                <w:bCs w:val="false"/>
                <w:color w:val="1A1A2E"/>
                <w:sz w:val="18"/>
                <w:szCs w:val="18"/>
              </w:rPr>
              <w:t xml:space="preserve">−23.59</w:t>
            </w:r>
          </w:p>
        </w:tc>
        <w:tc>
          <w:tcPr>
            <w:tcW w:type="dxa" w:w="760"/>
            <w:tcBorders>
              <w:top w:val="single" w:color="C7D9F0" w:sz="4"/>
              <w:left w:val="single" w:color="C7D9F0" w:sz="4"/>
              <w:bottom w:val="single" w:color="C7D9F0" w:sz="4"/>
              <w:right w:val="single" w:color="C7D9F0" w:sz="4"/>
            </w:tcBorders>
            <w:shd w:fill="FFFFFF" w:val="clear"/>
            <w:tcMar>
              <w:top w:type="dxa" w:w="80"/>
              <w:left w:type="dxa" w:w="80"/>
              <w:bottom w:type="dxa" w:w="80"/>
              <w:right w:type="dxa" w:w="80"/>
            </w:tcMar>
            <w:vAlign w:val="center"/>
          </w:tcPr>
          <w:p>
            <w:pPr>
              <w:jc w:val="right"/>
            </w:pPr>
            <w:r>
              <w:rPr>
                <w:rFonts w:ascii="Arial" w:cs="Arial" w:eastAsia="Arial" w:hAnsi="Arial"/>
                <w:b w:val="false"/>
                <w:bCs w:val="false"/>
                <w:color w:val="1A1A2E"/>
                <w:sz w:val="18"/>
                <w:szCs w:val="18"/>
              </w:rPr>
              <w:t xml:space="preserve">8,101,490</w:t>
            </w:r>
          </w:p>
        </w:tc>
      </w:tr>
      <w:tr>
        <w:tc>
          <w:tcPr>
            <w:tcW w:type="dxa" w:w="1440"/>
            <w:tcBorders>
              <w:top w:val="single" w:color="C7D9F0" w:sz="4"/>
              <w:left w:val="single" w:color="C7D9F0" w:sz="4"/>
              <w:bottom w:val="single" w:color="C7D9F0" w:sz="4"/>
              <w:right w:val="single" w:color="C7D9F0" w:sz="4"/>
            </w:tcBorders>
            <w:shd w:fill="F5F9FD" w:val="clear"/>
            <w:tcMar>
              <w:top w:type="dxa" w:w="80"/>
              <w:left w:type="dxa" w:w="80"/>
              <w:bottom w:type="dxa" w:w="80"/>
              <w:right w:type="dxa" w:w="80"/>
            </w:tcMar>
            <w:vAlign w:val="center"/>
          </w:tcPr>
          <w:p>
            <w:pPr>
              <w:jc w:val="left"/>
            </w:pPr>
            <w:r>
              <w:rPr>
                <w:rFonts w:ascii="Arial" w:cs="Arial" w:eastAsia="Arial" w:hAnsi="Arial"/>
                <w:b w:val="false"/>
                <w:bCs w:val="false"/>
                <w:color w:val="1A1A2E"/>
                <w:sz w:val="18"/>
                <w:szCs w:val="18"/>
              </w:rPr>
              <w:t xml:space="preserve">Holt-Winters</w:t>
            </w:r>
          </w:p>
        </w:tc>
        <w:tc>
          <w:tcPr>
            <w:tcW w:type="dxa" w:w="1280"/>
            <w:tcBorders>
              <w:top w:val="single" w:color="C7D9F0" w:sz="4"/>
              <w:left w:val="single" w:color="C7D9F0" w:sz="4"/>
              <w:bottom w:val="single" w:color="C7D9F0" w:sz="4"/>
              <w:right w:val="single" w:color="C7D9F0" w:sz="4"/>
            </w:tcBorders>
            <w:shd w:fill="F5F9FD" w:val="clear"/>
            <w:tcMar>
              <w:top w:type="dxa" w:w="80"/>
              <w:left w:type="dxa" w:w="80"/>
              <w:bottom w:type="dxa" w:w="80"/>
              <w:right w:type="dxa" w:w="80"/>
            </w:tcMar>
            <w:vAlign w:val="center"/>
          </w:tcPr>
          <w:p>
            <w:pPr>
              <w:jc w:val="right"/>
            </w:pPr>
            <w:r>
              <w:rPr>
                <w:rFonts w:ascii="Arial" w:cs="Arial" w:eastAsia="Arial" w:hAnsi="Arial"/>
                <w:b w:val="false"/>
                <w:bCs w:val="false"/>
                <w:color w:val="1A1A2E"/>
                <w:sz w:val="18"/>
                <w:szCs w:val="18"/>
              </w:rPr>
              <w:t xml:space="preserve">2,568,147</w:t>
            </w:r>
          </w:p>
        </w:tc>
        <w:tc>
          <w:tcPr>
            <w:tcW w:type="dxa" w:w="1280"/>
            <w:tcBorders>
              <w:top w:val="single" w:color="C7D9F0" w:sz="4"/>
              <w:left w:val="single" w:color="C7D9F0" w:sz="4"/>
              <w:bottom w:val="single" w:color="C7D9F0" w:sz="4"/>
              <w:right w:val="single" w:color="C7D9F0" w:sz="4"/>
            </w:tcBorders>
            <w:shd w:fill="F5F9FD" w:val="clear"/>
            <w:tcMar>
              <w:top w:type="dxa" w:w="80"/>
              <w:left w:type="dxa" w:w="80"/>
              <w:bottom w:type="dxa" w:w="80"/>
              <w:right w:type="dxa" w:w="80"/>
            </w:tcMar>
            <w:vAlign w:val="center"/>
          </w:tcPr>
          <w:p>
            <w:pPr>
              <w:jc w:val="right"/>
            </w:pPr>
            <w:r>
              <w:rPr>
                <w:rFonts w:ascii="Arial" w:cs="Arial" w:eastAsia="Arial" w:hAnsi="Arial"/>
                <w:b w:val="false"/>
                <w:bCs w:val="false"/>
                <w:color w:val="1A1A2E"/>
                <w:sz w:val="18"/>
                <w:szCs w:val="18"/>
              </w:rPr>
              <w:t xml:space="preserve">3,160,792</w:t>
            </w:r>
          </w:p>
        </w:tc>
        <w:tc>
          <w:tcPr>
            <w:tcW w:type="dxa" w:w="1200"/>
            <w:tcBorders>
              <w:top w:val="single" w:color="C7D9F0" w:sz="4"/>
              <w:left w:val="single" w:color="C7D9F0" w:sz="4"/>
              <w:bottom w:val="single" w:color="C7D9F0" w:sz="4"/>
              <w:right w:val="single" w:color="C7D9F0" w:sz="4"/>
            </w:tcBorders>
            <w:shd w:fill="F5F9FD" w:val="clear"/>
            <w:tcMar>
              <w:top w:type="dxa" w:w="80"/>
              <w:left w:type="dxa" w:w="80"/>
              <w:bottom w:type="dxa" w:w="80"/>
              <w:right w:type="dxa" w:w="80"/>
            </w:tcMar>
            <w:vAlign w:val="center"/>
          </w:tcPr>
          <w:p>
            <w:pPr>
              <w:jc w:val="right"/>
            </w:pPr>
            <w:r>
              <w:rPr>
                <w:rFonts w:ascii="Arial" w:cs="Arial" w:eastAsia="Arial" w:hAnsi="Arial"/>
                <w:b w:val="false"/>
                <w:bCs w:val="false"/>
                <w:color w:val="1A1A2E"/>
                <w:sz w:val="18"/>
                <w:szCs w:val="18"/>
              </w:rPr>
              <w:t xml:space="preserve">15.73</w:t>
            </w:r>
          </w:p>
        </w:tc>
        <w:tc>
          <w:tcPr>
            <w:tcW w:type="dxa" w:w="1200"/>
            <w:tcBorders>
              <w:top w:val="single" w:color="C7D9F0" w:sz="4"/>
              <w:left w:val="single" w:color="C7D9F0" w:sz="4"/>
              <w:bottom w:val="single" w:color="C7D9F0" w:sz="4"/>
              <w:right w:val="single" w:color="C7D9F0" w:sz="4"/>
            </w:tcBorders>
            <w:shd w:fill="F5F9FD" w:val="clear"/>
            <w:tcMar>
              <w:top w:type="dxa" w:w="80"/>
              <w:left w:type="dxa" w:w="80"/>
              <w:bottom w:type="dxa" w:w="80"/>
              <w:right w:type="dxa" w:w="80"/>
            </w:tcMar>
            <w:vAlign w:val="center"/>
          </w:tcPr>
          <w:p>
            <w:pPr>
              <w:jc w:val="right"/>
            </w:pPr>
            <w:r>
              <w:rPr>
                <w:rFonts w:ascii="Arial" w:cs="Arial" w:eastAsia="Arial" w:hAnsi="Arial"/>
                <w:b w:val="false"/>
                <w:bCs w:val="false"/>
                <w:color w:val="1A1A2E"/>
                <w:sz w:val="18"/>
                <w:szCs w:val="18"/>
              </w:rPr>
              <w:t xml:space="preserve">17.85</w:t>
            </w:r>
          </w:p>
        </w:tc>
        <w:tc>
          <w:tcPr>
            <w:tcW w:type="dxa" w:w="1200"/>
            <w:tcBorders>
              <w:top w:val="single" w:color="C7D9F0" w:sz="4"/>
              <w:left w:val="single" w:color="C7D9F0" w:sz="4"/>
              <w:bottom w:val="single" w:color="C7D9F0" w:sz="4"/>
              <w:right w:val="single" w:color="C7D9F0" w:sz="4"/>
            </w:tcBorders>
            <w:shd w:fill="F5F9FD" w:val="clear"/>
            <w:tcMar>
              <w:top w:type="dxa" w:w="80"/>
              <w:left w:type="dxa" w:w="80"/>
              <w:bottom w:type="dxa" w:w="80"/>
              <w:right w:type="dxa" w:w="80"/>
            </w:tcMar>
            <w:vAlign w:val="center"/>
          </w:tcPr>
          <w:p>
            <w:pPr>
              <w:jc w:val="right"/>
            </w:pPr>
            <w:r>
              <w:rPr>
                <w:rFonts w:ascii="Arial" w:cs="Arial" w:eastAsia="Arial" w:hAnsi="Arial"/>
                <w:b w:val="false"/>
                <w:bCs w:val="false"/>
                <w:color w:val="1A1A2E"/>
                <w:sz w:val="18"/>
                <w:szCs w:val="18"/>
              </w:rPr>
              <w:t xml:space="preserve">15.89</w:t>
            </w:r>
          </w:p>
        </w:tc>
        <w:tc>
          <w:tcPr>
            <w:tcW w:type="dxa" w:w="1200"/>
            <w:tcBorders>
              <w:top w:val="single" w:color="C7D9F0" w:sz="4"/>
              <w:left w:val="single" w:color="C7D9F0" w:sz="4"/>
              <w:bottom w:val="single" w:color="C7D9F0" w:sz="4"/>
              <w:right w:val="single" w:color="C7D9F0" w:sz="4"/>
            </w:tcBorders>
            <w:shd w:fill="F5F9FD" w:val="clear"/>
            <w:tcMar>
              <w:top w:type="dxa" w:w="80"/>
              <w:left w:type="dxa" w:w="80"/>
              <w:bottom w:type="dxa" w:w="80"/>
              <w:right w:type="dxa" w:w="80"/>
            </w:tcMar>
            <w:vAlign w:val="center"/>
          </w:tcPr>
          <w:p>
            <w:pPr>
              <w:jc w:val="right"/>
            </w:pPr>
            <w:r>
              <w:rPr>
                <w:rFonts w:ascii="Arial" w:cs="Arial" w:eastAsia="Arial" w:hAnsi="Arial"/>
                <w:b w:val="false"/>
                <w:bCs w:val="false"/>
                <w:color w:val="1A1A2E"/>
                <w:sz w:val="18"/>
                <w:szCs w:val="18"/>
              </w:rPr>
              <w:t xml:space="preserve">−2.59</w:t>
            </w:r>
          </w:p>
        </w:tc>
        <w:tc>
          <w:tcPr>
            <w:tcW w:type="dxa" w:w="760"/>
            <w:tcBorders>
              <w:top w:val="single" w:color="C7D9F0" w:sz="4"/>
              <w:left w:val="single" w:color="C7D9F0" w:sz="4"/>
              <w:bottom w:val="single" w:color="C7D9F0" w:sz="4"/>
              <w:right w:val="single" w:color="C7D9F0" w:sz="4"/>
            </w:tcBorders>
            <w:shd w:fill="F5F9FD" w:val="clear"/>
            <w:tcMar>
              <w:top w:type="dxa" w:w="80"/>
              <w:left w:type="dxa" w:w="80"/>
              <w:bottom w:type="dxa" w:w="80"/>
              <w:right w:type="dxa" w:w="80"/>
            </w:tcMar>
            <w:vAlign w:val="center"/>
          </w:tcPr>
          <w:p>
            <w:pPr>
              <w:jc w:val="right"/>
            </w:pPr>
            <w:r>
              <w:rPr>
                <w:rFonts w:ascii="Arial" w:cs="Arial" w:eastAsia="Arial" w:hAnsi="Arial"/>
                <w:b w:val="false"/>
                <w:bCs w:val="false"/>
                <w:color w:val="1A1A2E"/>
                <w:sz w:val="18"/>
                <w:szCs w:val="18"/>
              </w:rPr>
              <w:t xml:space="preserve">−2,513,005</w:t>
            </w:r>
          </w:p>
        </w:tc>
      </w:tr>
      <w:tr>
        <w:tc>
          <w:tcPr>
            <w:tcW w:type="dxa" w:w="1440"/>
            <w:tcBorders>
              <w:top w:val="single" w:color="C7D9F0" w:sz="4"/>
              <w:left w:val="single" w:color="C7D9F0" w:sz="4"/>
              <w:bottom w:val="single" w:color="C7D9F0" w:sz="4"/>
              <w:right w:val="single" w:color="C7D9F0" w:sz="4"/>
            </w:tcBorders>
            <w:shd w:fill="FFFFFF" w:val="clear"/>
            <w:tcMar>
              <w:top w:type="dxa" w:w="80"/>
              <w:left w:type="dxa" w:w="80"/>
              <w:bottom w:type="dxa" w:w="80"/>
              <w:right w:type="dxa" w:w="80"/>
            </w:tcMar>
            <w:vAlign w:val="center"/>
          </w:tcPr>
          <w:p>
            <w:pPr>
              <w:jc w:val="left"/>
            </w:pPr>
            <w:r>
              <w:rPr>
                <w:rFonts w:ascii="Arial" w:cs="Arial" w:eastAsia="Arial" w:hAnsi="Arial"/>
                <w:b w:val="false"/>
                <w:bCs w:val="false"/>
                <w:color w:val="1A1A2E"/>
                <w:sz w:val="18"/>
                <w:szCs w:val="18"/>
              </w:rPr>
              <w:t xml:space="preserve">ARIMA(2,0,2)</w:t>
            </w:r>
          </w:p>
        </w:tc>
        <w:tc>
          <w:tcPr>
            <w:tcW w:type="dxa" w:w="1280"/>
            <w:tcBorders>
              <w:top w:val="single" w:color="C7D9F0" w:sz="4"/>
              <w:left w:val="single" w:color="C7D9F0" w:sz="4"/>
              <w:bottom w:val="single" w:color="C7D9F0" w:sz="4"/>
              <w:right w:val="single" w:color="C7D9F0" w:sz="4"/>
            </w:tcBorders>
            <w:shd w:fill="FFFFFF" w:val="clear"/>
            <w:tcMar>
              <w:top w:type="dxa" w:w="80"/>
              <w:left w:type="dxa" w:w="80"/>
              <w:bottom w:type="dxa" w:w="80"/>
              <w:right w:type="dxa" w:w="80"/>
            </w:tcMar>
            <w:vAlign w:val="center"/>
          </w:tcPr>
          <w:p>
            <w:pPr>
              <w:jc w:val="right"/>
            </w:pPr>
            <w:r>
              <w:rPr>
                <w:rFonts w:ascii="Arial" w:cs="Arial" w:eastAsia="Arial" w:hAnsi="Arial"/>
                <w:b w:val="false"/>
                <w:bCs w:val="false"/>
                <w:color w:val="1A1A2E"/>
                <w:sz w:val="18"/>
                <w:szCs w:val="18"/>
              </w:rPr>
              <w:t xml:space="preserve">4,080,373</w:t>
            </w:r>
          </w:p>
        </w:tc>
        <w:tc>
          <w:tcPr>
            <w:tcW w:type="dxa" w:w="1280"/>
            <w:tcBorders>
              <w:top w:val="single" w:color="C7D9F0" w:sz="4"/>
              <w:left w:val="single" w:color="C7D9F0" w:sz="4"/>
              <w:bottom w:val="single" w:color="C7D9F0" w:sz="4"/>
              <w:right w:val="single" w:color="C7D9F0" w:sz="4"/>
            </w:tcBorders>
            <w:shd w:fill="FFFFFF" w:val="clear"/>
            <w:tcMar>
              <w:top w:type="dxa" w:w="80"/>
              <w:left w:type="dxa" w:w="80"/>
              <w:bottom w:type="dxa" w:w="80"/>
              <w:right w:type="dxa" w:w="80"/>
            </w:tcMar>
            <w:vAlign w:val="center"/>
          </w:tcPr>
          <w:p>
            <w:pPr>
              <w:jc w:val="right"/>
            </w:pPr>
            <w:r>
              <w:rPr>
                <w:rFonts w:ascii="Arial" w:cs="Arial" w:eastAsia="Arial" w:hAnsi="Arial"/>
                <w:b w:val="false"/>
                <w:bCs w:val="false"/>
                <w:color w:val="1A1A2E"/>
                <w:sz w:val="18"/>
                <w:szCs w:val="18"/>
              </w:rPr>
              <w:t xml:space="preserve">4,546,259</w:t>
            </w:r>
          </w:p>
        </w:tc>
        <w:tc>
          <w:tcPr>
            <w:tcW w:type="dxa" w:w="1200"/>
            <w:tcBorders>
              <w:top w:val="single" w:color="C7D9F0" w:sz="4"/>
              <w:left w:val="single" w:color="C7D9F0" w:sz="4"/>
              <w:bottom w:val="single" w:color="C7D9F0" w:sz="4"/>
              <w:right w:val="single" w:color="C7D9F0" w:sz="4"/>
            </w:tcBorders>
            <w:shd w:fill="FFFFFF" w:val="clear"/>
            <w:tcMar>
              <w:top w:type="dxa" w:w="80"/>
              <w:left w:type="dxa" w:w="80"/>
              <w:bottom w:type="dxa" w:w="80"/>
              <w:right w:type="dxa" w:w="80"/>
            </w:tcMar>
            <w:vAlign w:val="center"/>
          </w:tcPr>
          <w:p>
            <w:pPr>
              <w:jc w:val="right"/>
            </w:pPr>
            <w:r>
              <w:rPr>
                <w:rFonts w:ascii="Arial" w:cs="Arial" w:eastAsia="Arial" w:hAnsi="Arial"/>
                <w:b w:val="false"/>
                <w:bCs w:val="false"/>
                <w:color w:val="1A1A2E"/>
                <w:sz w:val="18"/>
                <w:szCs w:val="18"/>
              </w:rPr>
              <w:t xml:space="preserve">26.54</w:t>
            </w:r>
          </w:p>
        </w:tc>
        <w:tc>
          <w:tcPr>
            <w:tcW w:type="dxa" w:w="1200"/>
            <w:tcBorders>
              <w:top w:val="single" w:color="C7D9F0" w:sz="4"/>
              <w:left w:val="single" w:color="C7D9F0" w:sz="4"/>
              <w:bottom w:val="single" w:color="C7D9F0" w:sz="4"/>
              <w:right w:val="single" w:color="C7D9F0" w:sz="4"/>
            </w:tcBorders>
            <w:shd w:fill="FFFFFF" w:val="clear"/>
            <w:tcMar>
              <w:top w:type="dxa" w:w="80"/>
              <w:left w:type="dxa" w:w="80"/>
              <w:bottom w:type="dxa" w:w="80"/>
              <w:right w:type="dxa" w:w="80"/>
            </w:tcMar>
            <w:vAlign w:val="center"/>
          </w:tcPr>
          <w:p>
            <w:pPr>
              <w:jc w:val="right"/>
            </w:pPr>
            <w:r>
              <w:rPr>
                <w:rFonts w:ascii="Arial" w:cs="Arial" w:eastAsia="Arial" w:hAnsi="Arial"/>
                <w:b w:val="false"/>
                <w:bCs w:val="false"/>
                <w:color w:val="1A1A2E"/>
                <w:sz w:val="18"/>
                <w:szCs w:val="18"/>
              </w:rPr>
              <w:t xml:space="preserve">22.63</w:t>
            </w:r>
          </w:p>
        </w:tc>
        <w:tc>
          <w:tcPr>
            <w:tcW w:type="dxa" w:w="1200"/>
            <w:tcBorders>
              <w:top w:val="single" w:color="C7D9F0" w:sz="4"/>
              <w:left w:val="single" w:color="C7D9F0" w:sz="4"/>
              <w:bottom w:val="single" w:color="C7D9F0" w:sz="4"/>
              <w:right w:val="single" w:color="C7D9F0" w:sz="4"/>
            </w:tcBorders>
            <w:shd w:fill="FFFFFF" w:val="clear"/>
            <w:tcMar>
              <w:top w:type="dxa" w:w="80"/>
              <w:left w:type="dxa" w:w="80"/>
              <w:bottom w:type="dxa" w:w="80"/>
              <w:right w:type="dxa" w:w="80"/>
            </w:tcMar>
            <w:vAlign w:val="center"/>
          </w:tcPr>
          <w:p>
            <w:pPr>
              <w:jc w:val="right"/>
            </w:pPr>
            <w:r>
              <w:rPr>
                <w:rFonts w:ascii="Arial" w:cs="Arial" w:eastAsia="Arial" w:hAnsi="Arial"/>
                <w:b w:val="false"/>
                <w:bCs w:val="false"/>
                <w:color w:val="1A1A2E"/>
                <w:sz w:val="18"/>
                <w:szCs w:val="18"/>
              </w:rPr>
              <w:t xml:space="preserve">25.25</w:t>
            </w:r>
          </w:p>
        </w:tc>
        <w:tc>
          <w:tcPr>
            <w:tcW w:type="dxa" w:w="1200"/>
            <w:tcBorders>
              <w:top w:val="single" w:color="C7D9F0" w:sz="4"/>
              <w:left w:val="single" w:color="C7D9F0" w:sz="4"/>
              <w:bottom w:val="single" w:color="C7D9F0" w:sz="4"/>
              <w:right w:val="single" w:color="C7D9F0" w:sz="4"/>
            </w:tcBorders>
            <w:shd w:fill="FFFFFF" w:val="clear"/>
            <w:tcMar>
              <w:top w:type="dxa" w:w="80"/>
              <w:left w:type="dxa" w:w="80"/>
              <w:bottom w:type="dxa" w:w="80"/>
              <w:right w:type="dxa" w:w="80"/>
            </w:tcMar>
            <w:vAlign w:val="center"/>
          </w:tcPr>
          <w:p>
            <w:pPr>
              <w:jc w:val="right"/>
            </w:pPr>
            <w:r>
              <w:rPr>
                <w:rFonts w:ascii="Arial" w:cs="Arial" w:eastAsia="Arial" w:hAnsi="Arial"/>
                <w:b w:val="false"/>
                <w:bCs w:val="false"/>
                <w:color w:val="1A1A2E"/>
                <w:sz w:val="18"/>
                <w:szCs w:val="18"/>
              </w:rPr>
              <w:t xml:space="preserve">−6.43</w:t>
            </w:r>
          </w:p>
        </w:tc>
        <w:tc>
          <w:tcPr>
            <w:tcW w:type="dxa" w:w="760"/>
            <w:tcBorders>
              <w:top w:val="single" w:color="C7D9F0" w:sz="4"/>
              <w:left w:val="single" w:color="C7D9F0" w:sz="4"/>
              <w:bottom w:val="single" w:color="C7D9F0" w:sz="4"/>
              <w:right w:val="single" w:color="C7D9F0" w:sz="4"/>
            </w:tcBorders>
            <w:shd w:fill="FFFFFF" w:val="clear"/>
            <w:tcMar>
              <w:top w:type="dxa" w:w="80"/>
              <w:left w:type="dxa" w:w="80"/>
              <w:bottom w:type="dxa" w:w="80"/>
              <w:right w:type="dxa" w:w="80"/>
            </w:tcMar>
            <w:vAlign w:val="center"/>
          </w:tcPr>
          <w:p>
            <w:pPr>
              <w:jc w:val="right"/>
            </w:pPr>
            <w:r>
              <w:rPr>
                <w:rFonts w:ascii="Arial" w:cs="Arial" w:eastAsia="Arial" w:hAnsi="Arial"/>
                <w:b w:val="false"/>
                <w:bCs w:val="false"/>
                <w:color w:val="1A1A2E"/>
                <w:sz w:val="18"/>
                <w:szCs w:val="18"/>
              </w:rPr>
              <w:t xml:space="preserve">4,050,244</w:t>
            </w:r>
          </w:p>
        </w:tc>
      </w:tr>
      <w:tr>
        <w:tc>
          <w:tcPr>
            <w:tcW w:type="dxa" w:w="1440"/>
            <w:tcBorders>
              <w:top w:val="single" w:color="C7D9F0" w:sz="4"/>
              <w:left w:val="single" w:color="C7D9F0" w:sz="4"/>
              <w:bottom w:val="single" w:color="C7D9F0" w:sz="4"/>
              <w:right w:val="single" w:color="C7D9F0" w:sz="4"/>
            </w:tcBorders>
            <w:shd w:fill="D6EAF8" w:val="clear"/>
            <w:tcMar>
              <w:top w:type="dxa" w:w="80"/>
              <w:left w:type="dxa" w:w="80"/>
              <w:bottom w:type="dxa" w:w="80"/>
              <w:right w:type="dxa" w:w="80"/>
            </w:tcMar>
            <w:vAlign w:val="center"/>
          </w:tcPr>
          <w:p>
            <w:pPr>
              <w:jc w:val="left"/>
            </w:pPr>
            <w:r>
              <w:rPr>
                <w:rFonts w:ascii="Arial" w:cs="Arial" w:eastAsia="Arial" w:hAnsi="Arial"/>
                <w:b/>
                <w:bCs/>
                <w:color w:val="1E6DB4"/>
                <w:sz w:val="18"/>
                <w:szCs w:val="18"/>
              </w:rPr>
              <w:t xml:space="preserve">SARIMA(1,0,1)×(1,1,0,7)</w:t>
            </w:r>
          </w:p>
        </w:tc>
        <w:tc>
          <w:tcPr>
            <w:tcW w:type="dxa" w:w="1280"/>
            <w:tcBorders>
              <w:top w:val="single" w:color="C7D9F0" w:sz="4"/>
              <w:left w:val="single" w:color="C7D9F0" w:sz="4"/>
              <w:bottom w:val="single" w:color="C7D9F0" w:sz="4"/>
              <w:right w:val="single" w:color="C7D9F0" w:sz="4"/>
            </w:tcBorders>
            <w:shd w:fill="D6EAF8" w:val="clear"/>
            <w:tcMar>
              <w:top w:type="dxa" w:w="80"/>
              <w:left w:type="dxa" w:w="80"/>
              <w:bottom w:type="dxa" w:w="80"/>
              <w:right w:type="dxa" w:w="80"/>
            </w:tcMar>
            <w:vAlign w:val="center"/>
          </w:tcPr>
          <w:p>
            <w:pPr>
              <w:jc w:val="right"/>
            </w:pPr>
            <w:r>
              <w:rPr>
                <w:rFonts w:ascii="Arial" w:cs="Arial" w:eastAsia="Arial" w:hAnsi="Arial"/>
                <w:b/>
                <w:bCs/>
                <w:color w:val="1E6DB4"/>
                <w:sz w:val="18"/>
                <w:szCs w:val="18"/>
              </w:rPr>
              <w:t xml:space="preserve">837,278</w:t>
            </w:r>
          </w:p>
        </w:tc>
        <w:tc>
          <w:tcPr>
            <w:tcW w:type="dxa" w:w="1280"/>
            <w:tcBorders>
              <w:top w:val="single" w:color="C7D9F0" w:sz="4"/>
              <w:left w:val="single" w:color="C7D9F0" w:sz="4"/>
              <w:bottom w:val="single" w:color="C7D9F0" w:sz="4"/>
              <w:right w:val="single" w:color="C7D9F0" w:sz="4"/>
            </w:tcBorders>
            <w:shd w:fill="D6EAF8" w:val="clear"/>
            <w:tcMar>
              <w:top w:type="dxa" w:w="80"/>
              <w:left w:type="dxa" w:w="80"/>
              <w:bottom w:type="dxa" w:w="80"/>
              <w:right w:type="dxa" w:w="80"/>
            </w:tcMar>
            <w:vAlign w:val="center"/>
          </w:tcPr>
          <w:p>
            <w:pPr>
              <w:jc w:val="right"/>
            </w:pPr>
            <w:r>
              <w:rPr>
                <w:rFonts w:ascii="Arial" w:cs="Arial" w:eastAsia="Arial" w:hAnsi="Arial"/>
                <w:b/>
                <w:bCs/>
                <w:color w:val="1E6DB4"/>
                <w:sz w:val="18"/>
                <w:szCs w:val="18"/>
              </w:rPr>
              <w:t xml:space="preserve">1,144,400</w:t>
            </w:r>
          </w:p>
        </w:tc>
        <w:tc>
          <w:tcPr>
            <w:tcW w:type="dxa" w:w="1200"/>
            <w:tcBorders>
              <w:top w:val="single" w:color="C7D9F0" w:sz="4"/>
              <w:left w:val="single" w:color="C7D9F0" w:sz="4"/>
              <w:bottom w:val="single" w:color="C7D9F0" w:sz="4"/>
              <w:right w:val="single" w:color="C7D9F0" w:sz="4"/>
            </w:tcBorders>
            <w:shd w:fill="D6EAF8" w:val="clear"/>
            <w:tcMar>
              <w:top w:type="dxa" w:w="80"/>
              <w:left w:type="dxa" w:w="80"/>
              <w:bottom w:type="dxa" w:w="80"/>
              <w:right w:type="dxa" w:w="80"/>
            </w:tcMar>
            <w:vAlign w:val="center"/>
          </w:tcPr>
          <w:p>
            <w:pPr>
              <w:jc w:val="right"/>
            </w:pPr>
            <w:r>
              <w:rPr>
                <w:rFonts w:ascii="Arial" w:cs="Arial" w:eastAsia="Arial" w:hAnsi="Arial"/>
                <w:b/>
                <w:bCs/>
                <w:color w:val="1E6DB4"/>
                <w:sz w:val="18"/>
                <w:szCs w:val="18"/>
              </w:rPr>
              <w:t xml:space="preserve">5.39</w:t>
            </w:r>
          </w:p>
        </w:tc>
        <w:tc>
          <w:tcPr>
            <w:tcW w:type="dxa" w:w="1200"/>
            <w:tcBorders>
              <w:top w:val="single" w:color="C7D9F0" w:sz="4"/>
              <w:left w:val="single" w:color="C7D9F0" w:sz="4"/>
              <w:bottom w:val="single" w:color="C7D9F0" w:sz="4"/>
              <w:right w:val="single" w:color="C7D9F0" w:sz="4"/>
            </w:tcBorders>
            <w:shd w:fill="D6EAF8" w:val="clear"/>
            <w:tcMar>
              <w:top w:type="dxa" w:w="80"/>
              <w:left w:type="dxa" w:w="80"/>
              <w:bottom w:type="dxa" w:w="80"/>
              <w:right w:type="dxa" w:w="80"/>
            </w:tcMar>
            <w:vAlign w:val="center"/>
          </w:tcPr>
          <w:p>
            <w:pPr>
              <w:jc w:val="right"/>
            </w:pPr>
            <w:r>
              <w:rPr>
                <w:rFonts w:ascii="Arial" w:cs="Arial" w:eastAsia="Arial" w:hAnsi="Arial"/>
                <w:b/>
                <w:bCs/>
                <w:color w:val="1E6DB4"/>
                <w:sz w:val="18"/>
                <w:szCs w:val="18"/>
              </w:rPr>
              <w:t xml:space="preserve">5.26</w:t>
            </w:r>
          </w:p>
        </w:tc>
        <w:tc>
          <w:tcPr>
            <w:tcW w:type="dxa" w:w="1200"/>
            <w:tcBorders>
              <w:top w:val="single" w:color="C7D9F0" w:sz="4"/>
              <w:left w:val="single" w:color="C7D9F0" w:sz="4"/>
              <w:bottom w:val="single" w:color="C7D9F0" w:sz="4"/>
              <w:right w:val="single" w:color="C7D9F0" w:sz="4"/>
            </w:tcBorders>
            <w:shd w:fill="D6EAF8" w:val="clear"/>
            <w:tcMar>
              <w:top w:type="dxa" w:w="80"/>
              <w:left w:type="dxa" w:w="80"/>
              <w:bottom w:type="dxa" w:w="80"/>
              <w:right w:type="dxa" w:w="80"/>
            </w:tcMar>
            <w:vAlign w:val="center"/>
          </w:tcPr>
          <w:p>
            <w:pPr>
              <w:jc w:val="right"/>
            </w:pPr>
            <w:r>
              <w:rPr>
                <w:rFonts w:ascii="Arial" w:cs="Arial" w:eastAsia="Arial" w:hAnsi="Arial"/>
                <w:b/>
                <w:bCs/>
                <w:color w:val="1E6DB4"/>
                <w:sz w:val="18"/>
                <w:szCs w:val="18"/>
              </w:rPr>
              <w:t xml:space="preserve">5.18</w:t>
            </w:r>
          </w:p>
        </w:tc>
        <w:tc>
          <w:tcPr>
            <w:tcW w:type="dxa" w:w="1200"/>
            <w:tcBorders>
              <w:top w:val="single" w:color="C7D9F0" w:sz="4"/>
              <w:left w:val="single" w:color="C7D9F0" w:sz="4"/>
              <w:bottom w:val="single" w:color="C7D9F0" w:sz="4"/>
              <w:right w:val="single" w:color="C7D9F0" w:sz="4"/>
            </w:tcBorders>
            <w:shd w:fill="D6EAF8" w:val="clear"/>
            <w:tcMar>
              <w:top w:type="dxa" w:w="80"/>
              <w:left w:type="dxa" w:w="80"/>
              <w:bottom w:type="dxa" w:w="80"/>
              <w:right w:type="dxa" w:w="80"/>
            </w:tcMar>
            <w:vAlign w:val="center"/>
          </w:tcPr>
          <w:p>
            <w:pPr>
              <w:jc w:val="right"/>
            </w:pPr>
            <w:r>
              <w:rPr>
                <w:rFonts w:ascii="Arial" w:cs="Arial" w:eastAsia="Arial" w:hAnsi="Arial"/>
                <w:b/>
                <w:bCs/>
                <w:color w:val="1E6DB4"/>
                <w:sz w:val="18"/>
                <w:szCs w:val="18"/>
              </w:rPr>
              <w:t xml:space="preserve">0.529</w:t>
            </w:r>
          </w:p>
        </w:tc>
        <w:tc>
          <w:tcPr>
            <w:tcW w:type="dxa" w:w="760"/>
            <w:tcBorders>
              <w:top w:val="single" w:color="C7D9F0" w:sz="4"/>
              <w:left w:val="single" w:color="C7D9F0" w:sz="4"/>
              <w:bottom w:val="single" w:color="C7D9F0" w:sz="4"/>
              <w:right w:val="single" w:color="C7D9F0" w:sz="4"/>
            </w:tcBorders>
            <w:shd w:fill="D6EAF8" w:val="clear"/>
            <w:tcMar>
              <w:top w:type="dxa" w:w="80"/>
              <w:left w:type="dxa" w:w="80"/>
              <w:bottom w:type="dxa" w:w="80"/>
              <w:right w:type="dxa" w:w="80"/>
            </w:tcMar>
            <w:vAlign w:val="center"/>
          </w:tcPr>
          <w:p>
            <w:pPr>
              <w:jc w:val="right"/>
            </w:pPr>
            <w:r>
              <w:rPr>
                <w:rFonts w:ascii="Arial" w:cs="Arial" w:eastAsia="Arial" w:hAnsi="Arial"/>
                <w:b/>
                <w:bCs/>
                <w:color w:val="1E6DB4"/>
                <w:sz w:val="18"/>
                <w:szCs w:val="18"/>
              </w:rPr>
              <w:t xml:space="preserve">138,765</w:t>
            </w:r>
          </w:p>
        </w:tc>
      </w:tr>
    </w:tbl>
    <w:p>
      <w:pPr>
        <w:spacing w:after="240" w:before="80"/>
        <w:jc w:val="center"/>
      </w:pPr>
      <w:r>
        <w:rPr>
          <w:rFonts w:ascii="Arial" w:cs="Arial" w:eastAsia="Arial" w:hAnsi="Arial"/>
          <w:i/>
          <w:iCs/>
          <w:color w:val="555577"/>
          <w:sz w:val="20"/>
          <w:szCs w:val="20"/>
        </w:rPr>
        <w:t xml:space="preserve">Table 4: Model comparison on 60-day test set — Main_Page (highlighted row = best model)</w:t>
      </w:r>
    </w:p>
    <w:p>
      <w:pPr>
        <w:pStyle w:val="Heading2"/>
      </w:pPr>
      <w:r>
        <w:rPr>
          <w:rFonts w:ascii="Arial" w:cs="Arial" w:eastAsia="Arial" w:hAnsi="Arial"/>
          <w:b/>
          <w:bCs/>
          <w:color w:val="2B5FAC"/>
          <w:sz w:val="26"/>
          <w:szCs w:val="26"/>
        </w:rPr>
        <w:t xml:space="preserve">7.3 Discussion</w:t>
      </w:r>
    </w:p>
    <w:p>
      <w:pPr>
        <w:spacing w:after="160" w:before="0"/>
        <w:jc w:val="both"/>
      </w:pPr>
      <w:r>
        <w:rPr>
          <w:rFonts w:ascii="Arial" w:cs="Arial" w:eastAsia="Arial" w:hAnsi="Arial"/>
          <w:color w:val="1A1A2E"/>
          <w:sz w:val="22"/>
          <w:szCs w:val="22"/>
        </w:rPr>
        <w:t xml:space="preserve">SARIMA achieves a MAPE of 5.39% and an R² of 0.529 — the only model with positive explained variance. Its MAE of 837,278 views is 3.1× lower than the second-best model (Holt-Winters, MAE 2,568,147) and 9.7× lower than the naive Linear Trend. The key factor is the seasonal first difference (D=1, S=7), which explicitly removes the weekly pattern before fitting the short-range ARIMA component. This forces the model to focus on detrended, de-seasonalized residuals, drastically reducing the error magnitude.</w:t>
      </w:r>
    </w:p>
    <w:p>
      <w:pPr>
        <w:spacing w:after="160" w:before="0"/>
        <w:jc w:val="both"/>
      </w:pPr>
      <w:r>
        <w:rPr>
          <w:rFonts w:ascii="Arial" w:cs="Arial" w:eastAsia="Arial" w:hAnsi="Arial"/>
          <w:color w:val="1A1A2E"/>
          <w:sz w:val="22"/>
          <w:szCs w:val="22"/>
        </w:rPr>
        <w:t xml:space="preserve">Holt-Winters performs adequately (MAPE 15.73%) because its additive seasonal component also captures the weekly cycle, albeit less precisely than SARIMA's seasonal differencing. Its negative R² (−2.59) indicates that while it tracks the direction of movements, the absolute magnitude of errors still exceeds that of a simple mean forecast over the 60-day test window — a consequence of the significant level shift during the test period.</w:t>
      </w:r>
    </w:p>
    <w:p>
      <w:pPr>
        <w:spacing w:after="160" w:before="0"/>
        <w:jc w:val="both"/>
      </w:pPr>
      <w:r>
        <w:rPr>
          <w:rFonts w:ascii="Arial" w:cs="Arial" w:eastAsia="Arial" w:hAnsi="Arial"/>
          <w:color w:val="1A1A2E"/>
          <w:sz w:val="22"/>
          <w:szCs w:val="22"/>
        </w:rPr>
        <w:t xml:space="preserve">ARIMA(2,0,2) ignores seasonality entirely, producing a MAPE of 26.54%. Without a seasonal component, it converges to a near-constant long-run forecast after a few steps, explaining its poor performance on the seasonally structured test set. The Linear Trend model is the worst performer (MAPE 51.84%) as expected: it extrapolates a downward trend without any within-week or within-month structure.</w:t>
      </w:r>
    </w:p>
    <w:p>
      <w:pPr>
        <w:pStyle w:val="Heading2"/>
      </w:pPr>
      <w:r>
        <w:rPr>
          <w:rFonts w:ascii="Arial" w:cs="Arial" w:eastAsia="Arial" w:hAnsi="Arial"/>
          <w:b/>
          <w:bCs/>
          <w:color w:val="2B5FAC"/>
          <w:sz w:val="26"/>
          <w:szCs w:val="26"/>
        </w:rPr>
        <w:t xml:space="preserve">7.4 Output Artifacts</w:t>
      </w:r>
    </w:p>
    <w:p>
      <w:pPr>
        <w:spacing w:after="160" w:before="0"/>
        <w:jc w:val="both"/>
      </w:pPr>
      <w:r>
        <w:rPr>
          <w:rFonts w:ascii="Arial" w:cs="Arial" w:eastAsia="Arial" w:hAnsi="Arial"/>
          <w:color w:val="1A1A2E"/>
          <w:sz w:val="22"/>
          <w:szCs w:val="22"/>
        </w:rPr>
        <w:t xml:space="preserve">The pipeline generates the following output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E6DB4" w:sz="8"/>
              <w:left w:val="single" w:color="1E6DB4" w:sz="8"/>
              <w:bottom w:val="single" w:color="1E6DB4" w:sz="8"/>
              <w:right w:val="single" w:color="1E6DB4" w:sz="8"/>
            </w:tcBorders>
            <w:shd w:fill="1E6DB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Plot File</w:t>
            </w:r>
          </w:p>
        </w:tc>
        <w:tc>
          <w:tcPr>
            <w:tcW w:type="dxa" w:w="6240"/>
            <w:tcBorders>
              <w:top w:val="single" w:color="1E6DB4" w:sz="8"/>
              <w:left w:val="single" w:color="1E6DB4" w:sz="8"/>
              <w:bottom w:val="single" w:color="1E6DB4" w:sz="8"/>
              <w:right w:val="single" w:color="1E6DB4" w:sz="8"/>
            </w:tcBorders>
            <w:shd w:fill="1E6DB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3120"/>
            <w:tcBorders>
              <w:top w:val="single" w:color="C7D9F0" w:sz="4"/>
              <w:left w:val="single" w:color="C7D9F0" w:sz="4"/>
              <w:bottom w:val="single" w:color="C7D9F0" w:sz="4"/>
              <w:right w:val="single" w:color="C7D9F0" w:sz="4"/>
            </w:tcBorders>
            <w:shd w:fill="FFFFFF" w:val="clear"/>
            <w:tcMar>
              <w:top w:type="dxa" w:w="80"/>
              <w:left w:type="dxa" w:w="140"/>
              <w:bottom w:type="dxa" w:w="80"/>
              <w:right w:type="dxa" w:w="140"/>
            </w:tcMar>
            <w:vAlign w:val="center"/>
          </w:tcPr>
          <w:p>
            <w:pPr>
              <w:jc w:val="left"/>
            </w:pPr>
            <w:r>
              <w:rPr>
                <w:rFonts w:ascii="Arial" w:cs="Arial" w:eastAsia="Arial" w:hAnsi="Arial"/>
                <w:b/>
                <w:bCs/>
                <w:color w:val="2B5FAC"/>
                <w:sz w:val="20"/>
                <w:szCs w:val="20"/>
              </w:rPr>
              <w:t xml:space="preserve">01_time_plot.png</w:t>
            </w:r>
          </w:p>
        </w:tc>
        <w:tc>
          <w:tcPr>
            <w:tcW w:type="dxa" w:w="6240"/>
            <w:tcBorders>
              <w:top w:val="single" w:color="C7D9F0" w:sz="4"/>
              <w:left w:val="single" w:color="C7D9F0" w:sz="4"/>
              <w:bottom w:val="single" w:color="C7D9F0" w:sz="4"/>
              <w:right w:val="single" w:color="C7D9F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Raw daily pageview series with min/max annotations</w:t>
            </w:r>
          </w:p>
        </w:tc>
      </w:tr>
      <w:tr>
        <w:tc>
          <w:tcPr>
            <w:tcW w:type="dxa" w:w="3120"/>
            <w:tcBorders>
              <w:top w:val="single" w:color="C7D9F0" w:sz="4"/>
              <w:left w:val="single" w:color="C7D9F0" w:sz="4"/>
              <w:bottom w:val="single" w:color="C7D9F0" w:sz="4"/>
              <w:right w:val="single" w:color="C7D9F0" w:sz="4"/>
            </w:tcBorders>
            <w:shd w:fill="F5F9FD" w:val="clear"/>
            <w:tcMar>
              <w:top w:type="dxa" w:w="80"/>
              <w:left w:type="dxa" w:w="140"/>
              <w:bottom w:type="dxa" w:w="80"/>
              <w:right w:type="dxa" w:w="140"/>
            </w:tcMar>
            <w:vAlign w:val="center"/>
          </w:tcPr>
          <w:p>
            <w:pPr>
              <w:jc w:val="left"/>
            </w:pPr>
            <w:r>
              <w:rPr>
                <w:rFonts w:ascii="Arial" w:cs="Arial" w:eastAsia="Arial" w:hAnsi="Arial"/>
                <w:b/>
                <w:bCs/>
                <w:color w:val="2B5FAC"/>
                <w:sz w:val="20"/>
                <w:szCs w:val="20"/>
              </w:rPr>
              <w:t xml:space="preserve">02_moving_averages.png</w:t>
            </w:r>
          </w:p>
        </w:tc>
        <w:tc>
          <w:tcPr>
            <w:tcW w:type="dxa" w:w="6240"/>
            <w:tcBorders>
              <w:top w:val="single" w:color="C7D9F0" w:sz="4"/>
              <w:left w:val="single" w:color="C7D9F0" w:sz="4"/>
              <w:bottom w:val="single" w:color="C7D9F0" w:sz="4"/>
              <w:right w:val="single" w:color="C7D9F0" w:sz="4"/>
            </w:tcBorders>
            <w:shd w:fill="F5F9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7-, 30-, 90-day moving averages + semi-average trend line</w:t>
            </w:r>
          </w:p>
        </w:tc>
      </w:tr>
      <w:tr>
        <w:tc>
          <w:tcPr>
            <w:tcW w:type="dxa" w:w="3120"/>
            <w:tcBorders>
              <w:top w:val="single" w:color="C7D9F0" w:sz="4"/>
              <w:left w:val="single" w:color="C7D9F0" w:sz="4"/>
              <w:bottom w:val="single" w:color="C7D9F0" w:sz="4"/>
              <w:right w:val="single" w:color="C7D9F0" w:sz="4"/>
            </w:tcBorders>
            <w:shd w:fill="FFFFFF" w:val="clear"/>
            <w:tcMar>
              <w:top w:type="dxa" w:w="80"/>
              <w:left w:type="dxa" w:w="140"/>
              <w:bottom w:type="dxa" w:w="80"/>
              <w:right w:type="dxa" w:w="140"/>
            </w:tcMar>
            <w:vAlign w:val="center"/>
          </w:tcPr>
          <w:p>
            <w:pPr>
              <w:jc w:val="left"/>
            </w:pPr>
            <w:r>
              <w:rPr>
                <w:rFonts w:ascii="Arial" w:cs="Arial" w:eastAsia="Arial" w:hAnsi="Arial"/>
                <w:b/>
                <w:bCs/>
                <w:color w:val="2B5FAC"/>
                <w:sz w:val="20"/>
                <w:szCs w:val="20"/>
              </w:rPr>
              <w:t xml:space="preserve">03_stl_decomposition.png</w:t>
            </w:r>
          </w:p>
        </w:tc>
        <w:tc>
          <w:tcPr>
            <w:tcW w:type="dxa" w:w="6240"/>
            <w:tcBorders>
              <w:top w:val="single" w:color="C7D9F0" w:sz="4"/>
              <w:left w:val="single" w:color="C7D9F0" w:sz="4"/>
              <w:bottom w:val="single" w:color="C7D9F0" w:sz="4"/>
              <w:right w:val="single" w:color="C7D9F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STL trend, seasonal, and residual components</w:t>
            </w:r>
          </w:p>
        </w:tc>
      </w:tr>
      <w:tr>
        <w:tc>
          <w:tcPr>
            <w:tcW w:type="dxa" w:w="3120"/>
            <w:tcBorders>
              <w:top w:val="single" w:color="C7D9F0" w:sz="4"/>
              <w:left w:val="single" w:color="C7D9F0" w:sz="4"/>
              <w:bottom w:val="single" w:color="C7D9F0" w:sz="4"/>
              <w:right w:val="single" w:color="C7D9F0" w:sz="4"/>
            </w:tcBorders>
            <w:shd w:fill="F5F9FD" w:val="clear"/>
            <w:tcMar>
              <w:top w:type="dxa" w:w="80"/>
              <w:left w:type="dxa" w:w="140"/>
              <w:bottom w:type="dxa" w:w="80"/>
              <w:right w:type="dxa" w:w="140"/>
            </w:tcMar>
            <w:vAlign w:val="center"/>
          </w:tcPr>
          <w:p>
            <w:pPr>
              <w:jc w:val="left"/>
            </w:pPr>
            <w:r>
              <w:rPr>
                <w:rFonts w:ascii="Arial" w:cs="Arial" w:eastAsia="Arial" w:hAnsi="Arial"/>
                <w:b/>
                <w:bCs/>
                <w:color w:val="2B5FAC"/>
                <w:sz w:val="20"/>
                <w:szCs w:val="20"/>
              </w:rPr>
              <w:t xml:space="preserve">04_acf_pacf.png</w:t>
            </w:r>
          </w:p>
        </w:tc>
        <w:tc>
          <w:tcPr>
            <w:tcW w:type="dxa" w:w="6240"/>
            <w:tcBorders>
              <w:top w:val="single" w:color="C7D9F0" w:sz="4"/>
              <w:left w:val="single" w:color="C7D9F0" w:sz="4"/>
              <w:bottom w:val="single" w:color="C7D9F0" w:sz="4"/>
              <w:right w:val="single" w:color="C7D9F0" w:sz="4"/>
            </w:tcBorders>
            <w:shd w:fill="F5F9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Autocorrelation and partial autocorrelation at 40 lags</w:t>
            </w:r>
          </w:p>
        </w:tc>
      </w:tr>
      <w:tr>
        <w:tc>
          <w:tcPr>
            <w:tcW w:type="dxa" w:w="3120"/>
            <w:tcBorders>
              <w:top w:val="single" w:color="C7D9F0" w:sz="4"/>
              <w:left w:val="single" w:color="C7D9F0" w:sz="4"/>
              <w:bottom w:val="single" w:color="C7D9F0" w:sz="4"/>
              <w:right w:val="single" w:color="C7D9F0" w:sz="4"/>
            </w:tcBorders>
            <w:shd w:fill="FFFFFF" w:val="clear"/>
            <w:tcMar>
              <w:top w:type="dxa" w:w="80"/>
              <w:left w:type="dxa" w:w="140"/>
              <w:bottom w:type="dxa" w:w="80"/>
              <w:right w:type="dxa" w:w="140"/>
            </w:tcMar>
            <w:vAlign w:val="center"/>
          </w:tcPr>
          <w:p>
            <w:pPr>
              <w:jc w:val="left"/>
            </w:pPr>
            <w:r>
              <w:rPr>
                <w:rFonts w:ascii="Arial" w:cs="Arial" w:eastAsia="Arial" w:hAnsi="Arial"/>
                <w:b/>
                <w:bCs/>
                <w:color w:val="2B5FAC"/>
                <w:sz w:val="20"/>
                <w:szCs w:val="20"/>
              </w:rPr>
              <w:t xml:space="preserve">05_seasonal_subseries.png</w:t>
            </w:r>
          </w:p>
        </w:tc>
        <w:tc>
          <w:tcPr>
            <w:tcW w:type="dxa" w:w="6240"/>
            <w:tcBorders>
              <w:top w:val="single" w:color="C7D9F0" w:sz="4"/>
              <w:left w:val="single" w:color="C7D9F0" w:sz="4"/>
              <w:bottom w:val="single" w:color="C7D9F0" w:sz="4"/>
              <w:right w:val="single" w:color="C7D9F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Day-of-week and monthly seasonal subseries plots</w:t>
            </w:r>
          </w:p>
        </w:tc>
      </w:tr>
      <w:tr>
        <w:tc>
          <w:tcPr>
            <w:tcW w:type="dxa" w:w="3120"/>
            <w:tcBorders>
              <w:top w:val="single" w:color="C7D9F0" w:sz="4"/>
              <w:left w:val="single" w:color="C7D9F0" w:sz="4"/>
              <w:bottom w:val="single" w:color="C7D9F0" w:sz="4"/>
              <w:right w:val="single" w:color="C7D9F0" w:sz="4"/>
            </w:tcBorders>
            <w:shd w:fill="F5F9FD" w:val="clear"/>
            <w:tcMar>
              <w:top w:type="dxa" w:w="80"/>
              <w:left w:type="dxa" w:w="140"/>
              <w:bottom w:type="dxa" w:w="80"/>
              <w:right w:type="dxa" w:w="140"/>
            </w:tcMar>
            <w:vAlign w:val="center"/>
          </w:tcPr>
          <w:p>
            <w:pPr>
              <w:jc w:val="left"/>
            </w:pPr>
            <w:r>
              <w:rPr>
                <w:rFonts w:ascii="Arial" w:cs="Arial" w:eastAsia="Arial" w:hAnsi="Arial"/>
                <w:b/>
                <w:bCs/>
                <w:color w:val="2B5FAC"/>
                <w:sz w:val="20"/>
                <w:szCs w:val="20"/>
              </w:rPr>
              <w:t xml:space="preserve">06_lag_scatter.png</w:t>
            </w:r>
          </w:p>
        </w:tc>
        <w:tc>
          <w:tcPr>
            <w:tcW w:type="dxa" w:w="6240"/>
            <w:tcBorders>
              <w:top w:val="single" w:color="C7D9F0" w:sz="4"/>
              <w:left w:val="single" w:color="C7D9F0" w:sz="4"/>
              <w:bottom w:val="single" w:color="C7D9F0" w:sz="4"/>
              <w:right w:val="single" w:color="C7D9F0" w:sz="4"/>
            </w:tcBorders>
            <w:shd w:fill="F5F9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Lag scatter plots at 1, 7, 14, 30 days with correlation</w:t>
            </w:r>
          </w:p>
        </w:tc>
      </w:tr>
      <w:tr>
        <w:tc>
          <w:tcPr>
            <w:tcW w:type="dxa" w:w="3120"/>
            <w:tcBorders>
              <w:top w:val="single" w:color="C7D9F0" w:sz="4"/>
              <w:left w:val="single" w:color="C7D9F0" w:sz="4"/>
              <w:bottom w:val="single" w:color="C7D9F0" w:sz="4"/>
              <w:right w:val="single" w:color="C7D9F0" w:sz="4"/>
            </w:tcBorders>
            <w:shd w:fill="FFFFFF" w:val="clear"/>
            <w:tcMar>
              <w:top w:type="dxa" w:w="80"/>
              <w:left w:type="dxa" w:w="140"/>
              <w:bottom w:type="dxa" w:w="80"/>
              <w:right w:type="dxa" w:w="140"/>
            </w:tcMar>
            <w:vAlign w:val="center"/>
          </w:tcPr>
          <w:p>
            <w:pPr>
              <w:jc w:val="left"/>
            </w:pPr>
            <w:r>
              <w:rPr>
                <w:rFonts w:ascii="Arial" w:cs="Arial" w:eastAsia="Arial" w:hAnsi="Arial"/>
                <w:b/>
                <w:bCs/>
                <w:color w:val="2B5FAC"/>
                <w:sz w:val="20"/>
                <w:szCs w:val="20"/>
              </w:rPr>
              <w:t xml:space="preserve">07_linear_trend.png</w:t>
            </w:r>
          </w:p>
        </w:tc>
        <w:tc>
          <w:tcPr>
            <w:tcW w:type="dxa" w:w="6240"/>
            <w:tcBorders>
              <w:top w:val="single" w:color="C7D9F0" w:sz="4"/>
              <w:left w:val="single" w:color="C7D9F0" w:sz="4"/>
              <w:bottom w:val="single" w:color="C7D9F0" w:sz="4"/>
              <w:right w:val="single" w:color="C7D9F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Linear regression forecast vs actuals</w:t>
            </w:r>
          </w:p>
        </w:tc>
      </w:tr>
      <w:tr>
        <w:tc>
          <w:tcPr>
            <w:tcW w:type="dxa" w:w="3120"/>
            <w:tcBorders>
              <w:top w:val="single" w:color="C7D9F0" w:sz="4"/>
              <w:left w:val="single" w:color="C7D9F0" w:sz="4"/>
              <w:bottom w:val="single" w:color="C7D9F0" w:sz="4"/>
              <w:right w:val="single" w:color="C7D9F0" w:sz="4"/>
            </w:tcBorders>
            <w:shd w:fill="F5F9FD" w:val="clear"/>
            <w:tcMar>
              <w:top w:type="dxa" w:w="80"/>
              <w:left w:type="dxa" w:w="140"/>
              <w:bottom w:type="dxa" w:w="80"/>
              <w:right w:type="dxa" w:w="140"/>
            </w:tcMar>
            <w:vAlign w:val="center"/>
          </w:tcPr>
          <w:p>
            <w:pPr>
              <w:jc w:val="left"/>
            </w:pPr>
            <w:r>
              <w:rPr>
                <w:rFonts w:ascii="Arial" w:cs="Arial" w:eastAsia="Arial" w:hAnsi="Arial"/>
                <w:b/>
                <w:bCs/>
                <w:color w:val="2B5FAC"/>
                <w:sz w:val="20"/>
                <w:szCs w:val="20"/>
              </w:rPr>
              <w:t xml:space="preserve">08_holt_winters.png</w:t>
            </w:r>
          </w:p>
        </w:tc>
        <w:tc>
          <w:tcPr>
            <w:tcW w:type="dxa" w:w="6240"/>
            <w:tcBorders>
              <w:top w:val="single" w:color="C7D9F0" w:sz="4"/>
              <w:left w:val="single" w:color="C7D9F0" w:sz="4"/>
              <w:bottom w:val="single" w:color="C7D9F0" w:sz="4"/>
              <w:right w:val="single" w:color="C7D9F0" w:sz="4"/>
            </w:tcBorders>
            <w:shd w:fill="F5F9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Holt-Winters forecast vs actuals + future projection</w:t>
            </w:r>
          </w:p>
        </w:tc>
      </w:tr>
      <w:tr>
        <w:tc>
          <w:tcPr>
            <w:tcW w:type="dxa" w:w="3120"/>
            <w:tcBorders>
              <w:top w:val="single" w:color="C7D9F0" w:sz="4"/>
              <w:left w:val="single" w:color="C7D9F0" w:sz="4"/>
              <w:bottom w:val="single" w:color="C7D9F0" w:sz="4"/>
              <w:right w:val="single" w:color="C7D9F0" w:sz="4"/>
            </w:tcBorders>
            <w:shd w:fill="FFFFFF" w:val="clear"/>
            <w:tcMar>
              <w:top w:type="dxa" w:w="80"/>
              <w:left w:type="dxa" w:w="140"/>
              <w:bottom w:type="dxa" w:w="80"/>
              <w:right w:type="dxa" w:w="140"/>
            </w:tcMar>
            <w:vAlign w:val="center"/>
          </w:tcPr>
          <w:p>
            <w:pPr>
              <w:jc w:val="left"/>
            </w:pPr>
            <w:r>
              <w:rPr>
                <w:rFonts w:ascii="Arial" w:cs="Arial" w:eastAsia="Arial" w:hAnsi="Arial"/>
                <w:b/>
                <w:bCs/>
                <w:color w:val="2B5FAC"/>
                <w:sz w:val="20"/>
                <w:szCs w:val="20"/>
              </w:rPr>
              <w:t xml:space="preserve">09_arima.png</w:t>
            </w:r>
          </w:p>
        </w:tc>
        <w:tc>
          <w:tcPr>
            <w:tcW w:type="dxa" w:w="6240"/>
            <w:tcBorders>
              <w:top w:val="single" w:color="C7D9F0" w:sz="4"/>
              <w:left w:val="single" w:color="C7D9F0" w:sz="4"/>
              <w:bottom w:val="single" w:color="C7D9F0" w:sz="4"/>
              <w:right w:val="single" w:color="C7D9F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ARIMA(2,d,2) forecast vs actuals + future projection</w:t>
            </w:r>
          </w:p>
        </w:tc>
      </w:tr>
      <w:tr>
        <w:tc>
          <w:tcPr>
            <w:tcW w:type="dxa" w:w="3120"/>
            <w:tcBorders>
              <w:top w:val="single" w:color="C7D9F0" w:sz="4"/>
              <w:left w:val="single" w:color="C7D9F0" w:sz="4"/>
              <w:bottom w:val="single" w:color="C7D9F0" w:sz="4"/>
              <w:right w:val="single" w:color="C7D9F0" w:sz="4"/>
            </w:tcBorders>
            <w:shd w:fill="F5F9FD" w:val="clear"/>
            <w:tcMar>
              <w:top w:type="dxa" w:w="80"/>
              <w:left w:type="dxa" w:w="140"/>
              <w:bottom w:type="dxa" w:w="80"/>
              <w:right w:type="dxa" w:w="140"/>
            </w:tcMar>
            <w:vAlign w:val="center"/>
          </w:tcPr>
          <w:p>
            <w:pPr>
              <w:jc w:val="left"/>
            </w:pPr>
            <w:r>
              <w:rPr>
                <w:rFonts w:ascii="Arial" w:cs="Arial" w:eastAsia="Arial" w:hAnsi="Arial"/>
                <w:b/>
                <w:bCs/>
                <w:color w:val="2B5FAC"/>
                <w:sz w:val="20"/>
                <w:szCs w:val="20"/>
              </w:rPr>
              <w:t xml:space="preserve">10_sarima.png</w:t>
            </w:r>
          </w:p>
        </w:tc>
        <w:tc>
          <w:tcPr>
            <w:tcW w:type="dxa" w:w="6240"/>
            <w:tcBorders>
              <w:top w:val="single" w:color="C7D9F0" w:sz="4"/>
              <w:left w:val="single" w:color="C7D9F0" w:sz="4"/>
              <w:bottom w:val="single" w:color="C7D9F0" w:sz="4"/>
              <w:right w:val="single" w:color="C7D9F0" w:sz="4"/>
            </w:tcBorders>
            <w:shd w:fill="F5F9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SARIMA(1,d,1)×(1,1,0,7) forecast vs actuals + future</w:t>
            </w:r>
          </w:p>
        </w:tc>
      </w:tr>
      <w:tr>
        <w:tc>
          <w:tcPr>
            <w:tcW w:type="dxa" w:w="3120"/>
            <w:tcBorders>
              <w:top w:val="single" w:color="C7D9F0" w:sz="4"/>
              <w:left w:val="single" w:color="C7D9F0" w:sz="4"/>
              <w:bottom w:val="single" w:color="C7D9F0" w:sz="4"/>
              <w:right w:val="single" w:color="C7D9F0" w:sz="4"/>
            </w:tcBorders>
            <w:shd w:fill="FFFFFF" w:val="clear"/>
            <w:tcMar>
              <w:top w:type="dxa" w:w="80"/>
              <w:left w:type="dxa" w:w="140"/>
              <w:bottom w:type="dxa" w:w="80"/>
              <w:right w:type="dxa" w:w="140"/>
            </w:tcMar>
            <w:vAlign w:val="center"/>
          </w:tcPr>
          <w:p>
            <w:pPr>
              <w:jc w:val="left"/>
            </w:pPr>
            <w:r>
              <w:rPr>
                <w:rFonts w:ascii="Arial" w:cs="Arial" w:eastAsia="Arial" w:hAnsi="Arial"/>
                <w:b/>
                <w:bCs/>
                <w:color w:val="2B5FAC"/>
                <w:sz w:val="20"/>
                <w:szCs w:val="20"/>
              </w:rPr>
              <w:t xml:space="preserve">11_model_comparison.png</w:t>
            </w:r>
          </w:p>
        </w:tc>
        <w:tc>
          <w:tcPr>
            <w:tcW w:type="dxa" w:w="6240"/>
            <w:tcBorders>
              <w:top w:val="single" w:color="C7D9F0" w:sz="4"/>
              <w:left w:val="single" w:color="C7D9F0" w:sz="4"/>
              <w:bottom w:val="single" w:color="C7D9F0" w:sz="4"/>
              <w:right w:val="single" w:color="C7D9F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Side-by-side comparison of all model forecasts</w:t>
            </w:r>
          </w:p>
        </w:tc>
      </w:tr>
    </w:tbl>
    <w:p>
      <w:pPr>
        <w:spacing w:after="200" w:before="80"/>
        <w:jc w:val="center"/>
      </w:pPr>
      <w:r>
        <w:rPr>
          <w:rFonts w:ascii="Arial" w:cs="Arial" w:eastAsia="Arial" w:hAnsi="Arial"/>
          <w:i/>
          <w:iCs/>
          <w:color w:val="555577"/>
          <w:sz w:val="20"/>
          <w:szCs w:val="20"/>
        </w:rPr>
        <w:t xml:space="preserve">Table 5: Generated plot artifacts in outputs/plots/</w:t>
      </w:r>
    </w:p>
    <w:p>
      <w:r>
        <w:br w:type="page"/>
      </w:r>
    </w:p>
    <w:p>
      <w:pPr>
        <w:pStyle w:val="Heading1"/>
      </w:pPr>
      <w:r>
        <w:rPr>
          <w:rFonts w:ascii="Arial" w:cs="Arial" w:eastAsia="Arial" w:hAnsi="Arial"/>
          <w:b/>
          <w:bCs/>
          <w:color w:val="1E3A5F"/>
          <w:sz w:val="32"/>
          <w:szCs w:val="32"/>
        </w:rPr>
        <w:t xml:space="preserve">8. Technology Stack</w:t>
      </w:r>
    </w:p>
    <w:p>
      <w:pPr>
        <w:pBdr>
          <w:bottom w:val="single" w:color="2B5FAC" w:sz="6" w:space="1"/>
        </w:pBd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E6DB4" w:sz="8"/>
              <w:left w:val="single" w:color="1E6DB4" w:sz="8"/>
              <w:bottom w:val="single" w:color="1E6DB4" w:sz="8"/>
              <w:right w:val="single" w:color="1E6DB4" w:sz="8"/>
            </w:tcBorders>
            <w:shd w:fill="1E6DB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Layer</w:t>
            </w:r>
          </w:p>
        </w:tc>
        <w:tc>
          <w:tcPr>
            <w:tcW w:type="dxa" w:w="2400"/>
            <w:tcBorders>
              <w:top w:val="single" w:color="1E6DB4" w:sz="8"/>
              <w:left w:val="single" w:color="1E6DB4" w:sz="8"/>
              <w:bottom w:val="single" w:color="1E6DB4" w:sz="8"/>
              <w:right w:val="single" w:color="1E6DB4" w:sz="8"/>
            </w:tcBorders>
            <w:shd w:fill="1E6DB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Technology</w:t>
            </w:r>
          </w:p>
        </w:tc>
        <w:tc>
          <w:tcPr>
            <w:tcW w:type="dxa" w:w="4560"/>
            <w:tcBorders>
              <w:top w:val="single" w:color="1E6DB4" w:sz="8"/>
              <w:left w:val="single" w:color="1E6DB4" w:sz="8"/>
              <w:bottom w:val="single" w:color="1E6DB4" w:sz="8"/>
              <w:right w:val="single" w:color="1E6DB4" w:sz="8"/>
            </w:tcBorders>
            <w:shd w:fill="1E6DB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r>
      <w:tr>
        <w:tc>
          <w:tcPr>
            <w:tcW w:type="dxa" w:w="2400"/>
            <w:tcBorders>
              <w:top w:val="single" w:color="C7D9F0" w:sz="4"/>
              <w:left w:val="single" w:color="C7D9F0" w:sz="4"/>
              <w:bottom w:val="single" w:color="C7D9F0" w:sz="4"/>
              <w:right w:val="single" w:color="C7D9F0" w:sz="4"/>
            </w:tcBorders>
            <w:shd w:fill="FFFFFF" w:val="clear"/>
            <w:tcMar>
              <w:top w:type="dxa" w:w="80"/>
              <w:left w:type="dxa" w:w="140"/>
              <w:bottom w:type="dxa" w:w="80"/>
              <w:right w:type="dxa" w:w="140"/>
            </w:tcMar>
            <w:vAlign w:val="center"/>
          </w:tcPr>
          <w:p>
            <w:pPr>
              <w:jc w:val="left"/>
            </w:pPr>
            <w:r>
              <w:rPr>
                <w:rFonts w:ascii="Arial" w:cs="Arial" w:eastAsia="Arial" w:hAnsi="Arial"/>
                <w:b/>
                <w:bCs/>
                <w:color w:val="2B5FAC"/>
                <w:sz w:val="20"/>
                <w:szCs w:val="20"/>
              </w:rPr>
              <w:t xml:space="preserve">Data Storage</w:t>
            </w:r>
          </w:p>
        </w:tc>
        <w:tc>
          <w:tcPr>
            <w:tcW w:type="dxa" w:w="2400"/>
            <w:tcBorders>
              <w:top w:val="single" w:color="C7D9F0" w:sz="4"/>
              <w:left w:val="single" w:color="C7D9F0" w:sz="4"/>
              <w:bottom w:val="single" w:color="C7D9F0" w:sz="4"/>
              <w:right w:val="single" w:color="C7D9F0" w:sz="4"/>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MongoDB</w:t>
            </w:r>
          </w:p>
        </w:tc>
        <w:tc>
          <w:tcPr>
            <w:tcW w:type="dxa" w:w="4560"/>
            <w:tcBorders>
              <w:top w:val="single" w:color="C7D9F0" w:sz="4"/>
              <w:left w:val="single" w:color="C7D9F0" w:sz="4"/>
              <w:bottom w:val="single" w:color="C7D9F0" w:sz="4"/>
              <w:right w:val="single" w:color="C7D9F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Document store for daily pageview records; compound indexes for fast queries</w:t>
            </w:r>
          </w:p>
        </w:tc>
      </w:tr>
      <w:tr>
        <w:tc>
          <w:tcPr>
            <w:tcW w:type="dxa" w:w="2400"/>
            <w:tcBorders>
              <w:top w:val="single" w:color="C7D9F0" w:sz="4"/>
              <w:left w:val="single" w:color="C7D9F0" w:sz="4"/>
              <w:bottom w:val="single" w:color="C7D9F0" w:sz="4"/>
              <w:right w:val="single" w:color="C7D9F0" w:sz="4"/>
            </w:tcBorders>
            <w:shd w:fill="F5F9FD" w:val="clear"/>
            <w:tcMar>
              <w:top w:type="dxa" w:w="80"/>
              <w:left w:type="dxa" w:w="140"/>
              <w:bottom w:type="dxa" w:w="80"/>
              <w:right w:type="dxa" w:w="140"/>
            </w:tcMar>
            <w:vAlign w:val="center"/>
          </w:tcPr>
          <w:p>
            <w:pPr>
              <w:jc w:val="left"/>
            </w:pPr>
            <w:r>
              <w:rPr>
                <w:rFonts w:ascii="Arial" w:cs="Arial" w:eastAsia="Arial" w:hAnsi="Arial"/>
                <w:b/>
                <w:bCs/>
                <w:color w:val="2B5FAC"/>
                <w:sz w:val="20"/>
                <w:szCs w:val="20"/>
              </w:rPr>
              <w:t xml:space="preserve">Data Processing</w:t>
            </w:r>
          </w:p>
        </w:tc>
        <w:tc>
          <w:tcPr>
            <w:tcW w:type="dxa" w:w="2400"/>
            <w:tcBorders>
              <w:top w:val="single" w:color="C7D9F0" w:sz="4"/>
              <w:left w:val="single" w:color="C7D9F0" w:sz="4"/>
              <w:bottom w:val="single" w:color="C7D9F0" w:sz="4"/>
              <w:right w:val="single" w:color="C7D9F0" w:sz="4"/>
            </w:tcBorders>
            <w:shd w:fill="F5F9FD"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Polars</w:t>
            </w:r>
          </w:p>
        </w:tc>
        <w:tc>
          <w:tcPr>
            <w:tcW w:type="dxa" w:w="4560"/>
            <w:tcBorders>
              <w:top w:val="single" w:color="C7D9F0" w:sz="4"/>
              <w:left w:val="single" w:color="C7D9F0" w:sz="4"/>
              <w:bottom w:val="single" w:color="C7D9F0" w:sz="4"/>
              <w:right w:val="single" w:color="C7D9F0" w:sz="4"/>
            </w:tcBorders>
            <w:shd w:fill="F5F9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Fast columnar DataFrame library for MongoDB data loading</w:t>
            </w:r>
          </w:p>
        </w:tc>
      </w:tr>
      <w:tr>
        <w:tc>
          <w:tcPr>
            <w:tcW w:type="dxa" w:w="2400"/>
            <w:tcBorders>
              <w:top w:val="single" w:color="C7D9F0" w:sz="4"/>
              <w:left w:val="single" w:color="C7D9F0" w:sz="4"/>
              <w:bottom w:val="single" w:color="C7D9F0" w:sz="4"/>
              <w:right w:val="single" w:color="C7D9F0" w:sz="4"/>
            </w:tcBorders>
            <w:shd w:fill="FFFFFF" w:val="clear"/>
            <w:tcMar>
              <w:top w:type="dxa" w:w="80"/>
              <w:left w:type="dxa" w:w="140"/>
              <w:bottom w:type="dxa" w:w="80"/>
              <w:right w:type="dxa" w:w="140"/>
            </w:tcMar>
            <w:vAlign w:val="center"/>
          </w:tcPr>
          <w:p>
            <w:pPr>
              <w:jc w:val="left"/>
            </w:pPr>
            <w:r>
              <w:rPr>
                <w:rFonts w:ascii="Arial" w:cs="Arial" w:eastAsia="Arial" w:hAnsi="Arial"/>
                <w:b/>
                <w:bCs/>
                <w:color w:val="2B5FAC"/>
                <w:sz w:val="20"/>
                <w:szCs w:val="20"/>
              </w:rPr>
              <w:t xml:space="preserve">Analysis</w:t>
            </w:r>
          </w:p>
        </w:tc>
        <w:tc>
          <w:tcPr>
            <w:tcW w:type="dxa" w:w="2400"/>
            <w:tcBorders>
              <w:top w:val="single" w:color="C7D9F0" w:sz="4"/>
              <w:left w:val="single" w:color="C7D9F0" w:sz="4"/>
              <w:bottom w:val="single" w:color="C7D9F0" w:sz="4"/>
              <w:right w:val="single" w:color="C7D9F0" w:sz="4"/>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pandas, numpy</w:t>
            </w:r>
          </w:p>
        </w:tc>
        <w:tc>
          <w:tcPr>
            <w:tcW w:type="dxa" w:w="4560"/>
            <w:tcBorders>
              <w:top w:val="single" w:color="C7D9F0" w:sz="4"/>
              <w:left w:val="single" w:color="C7D9F0" w:sz="4"/>
              <w:bottom w:val="single" w:color="C7D9F0" w:sz="4"/>
              <w:right w:val="single" w:color="C7D9F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Time series manipulation, resampling, alignment</w:t>
            </w:r>
          </w:p>
        </w:tc>
      </w:tr>
      <w:tr>
        <w:tc>
          <w:tcPr>
            <w:tcW w:type="dxa" w:w="2400"/>
            <w:tcBorders>
              <w:top w:val="single" w:color="C7D9F0" w:sz="4"/>
              <w:left w:val="single" w:color="C7D9F0" w:sz="4"/>
              <w:bottom w:val="single" w:color="C7D9F0" w:sz="4"/>
              <w:right w:val="single" w:color="C7D9F0" w:sz="4"/>
            </w:tcBorders>
            <w:shd w:fill="F5F9FD" w:val="clear"/>
            <w:tcMar>
              <w:top w:type="dxa" w:w="80"/>
              <w:left w:type="dxa" w:w="140"/>
              <w:bottom w:type="dxa" w:w="80"/>
              <w:right w:type="dxa" w:w="140"/>
            </w:tcMar>
            <w:vAlign w:val="center"/>
          </w:tcPr>
          <w:p>
            <w:pPr>
              <w:jc w:val="left"/>
            </w:pPr>
            <w:r>
              <w:rPr>
                <w:rFonts w:ascii="Arial" w:cs="Arial" w:eastAsia="Arial" w:hAnsi="Arial"/>
                <w:b/>
                <w:bCs/>
                <w:color w:val="2B5FAC"/>
                <w:sz w:val="20"/>
                <w:szCs w:val="20"/>
              </w:rPr>
              <w:t xml:space="preserve">Statistics</w:t>
            </w:r>
          </w:p>
        </w:tc>
        <w:tc>
          <w:tcPr>
            <w:tcW w:type="dxa" w:w="2400"/>
            <w:tcBorders>
              <w:top w:val="single" w:color="C7D9F0" w:sz="4"/>
              <w:left w:val="single" w:color="C7D9F0" w:sz="4"/>
              <w:bottom w:val="single" w:color="C7D9F0" w:sz="4"/>
              <w:right w:val="single" w:color="C7D9F0" w:sz="4"/>
            </w:tcBorders>
            <w:shd w:fill="F5F9FD"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statsmodels</w:t>
            </w:r>
          </w:p>
        </w:tc>
        <w:tc>
          <w:tcPr>
            <w:tcW w:type="dxa" w:w="4560"/>
            <w:tcBorders>
              <w:top w:val="single" w:color="C7D9F0" w:sz="4"/>
              <w:left w:val="single" w:color="C7D9F0" w:sz="4"/>
              <w:bottom w:val="single" w:color="C7D9F0" w:sz="4"/>
              <w:right w:val="single" w:color="C7D9F0" w:sz="4"/>
            </w:tcBorders>
            <w:shd w:fill="F5F9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ADF/KPSS tests, STL, ACF/PACF, ARIMA, SARIMA, Holt-Winters</w:t>
            </w:r>
          </w:p>
        </w:tc>
      </w:tr>
      <w:tr>
        <w:tc>
          <w:tcPr>
            <w:tcW w:type="dxa" w:w="2400"/>
            <w:tcBorders>
              <w:top w:val="single" w:color="C7D9F0" w:sz="4"/>
              <w:left w:val="single" w:color="C7D9F0" w:sz="4"/>
              <w:bottom w:val="single" w:color="C7D9F0" w:sz="4"/>
              <w:right w:val="single" w:color="C7D9F0" w:sz="4"/>
            </w:tcBorders>
            <w:shd w:fill="FFFFFF" w:val="clear"/>
            <w:tcMar>
              <w:top w:type="dxa" w:w="80"/>
              <w:left w:type="dxa" w:w="140"/>
              <w:bottom w:type="dxa" w:w="80"/>
              <w:right w:type="dxa" w:w="140"/>
            </w:tcMar>
            <w:vAlign w:val="center"/>
          </w:tcPr>
          <w:p>
            <w:pPr>
              <w:jc w:val="left"/>
            </w:pPr>
            <w:r>
              <w:rPr>
                <w:rFonts w:ascii="Arial" w:cs="Arial" w:eastAsia="Arial" w:hAnsi="Arial"/>
                <w:b/>
                <w:bCs/>
                <w:color w:val="2B5FAC"/>
                <w:sz w:val="20"/>
                <w:szCs w:val="20"/>
              </w:rPr>
              <w:t xml:space="preserve">ML / Regression</w:t>
            </w:r>
          </w:p>
        </w:tc>
        <w:tc>
          <w:tcPr>
            <w:tcW w:type="dxa" w:w="2400"/>
            <w:tcBorders>
              <w:top w:val="single" w:color="C7D9F0" w:sz="4"/>
              <w:left w:val="single" w:color="C7D9F0" w:sz="4"/>
              <w:bottom w:val="single" w:color="C7D9F0" w:sz="4"/>
              <w:right w:val="single" w:color="C7D9F0" w:sz="4"/>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scikit-learn</w:t>
            </w:r>
          </w:p>
        </w:tc>
        <w:tc>
          <w:tcPr>
            <w:tcW w:type="dxa" w:w="4560"/>
            <w:tcBorders>
              <w:top w:val="single" w:color="C7D9F0" w:sz="4"/>
              <w:left w:val="single" w:color="C7D9F0" w:sz="4"/>
              <w:bottom w:val="single" w:color="C7D9F0" w:sz="4"/>
              <w:right w:val="single" w:color="C7D9F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LinearRegression for trend model; evaluation metrics</w:t>
            </w:r>
          </w:p>
        </w:tc>
      </w:tr>
      <w:tr>
        <w:tc>
          <w:tcPr>
            <w:tcW w:type="dxa" w:w="2400"/>
            <w:tcBorders>
              <w:top w:val="single" w:color="C7D9F0" w:sz="4"/>
              <w:left w:val="single" w:color="C7D9F0" w:sz="4"/>
              <w:bottom w:val="single" w:color="C7D9F0" w:sz="4"/>
              <w:right w:val="single" w:color="C7D9F0" w:sz="4"/>
            </w:tcBorders>
            <w:shd w:fill="F5F9FD" w:val="clear"/>
            <w:tcMar>
              <w:top w:type="dxa" w:w="80"/>
              <w:left w:type="dxa" w:w="140"/>
              <w:bottom w:type="dxa" w:w="80"/>
              <w:right w:type="dxa" w:w="140"/>
            </w:tcMar>
            <w:vAlign w:val="center"/>
          </w:tcPr>
          <w:p>
            <w:pPr>
              <w:jc w:val="left"/>
            </w:pPr>
            <w:r>
              <w:rPr>
                <w:rFonts w:ascii="Arial" w:cs="Arial" w:eastAsia="Arial" w:hAnsi="Arial"/>
                <w:b/>
                <w:bCs/>
                <w:color w:val="2B5FAC"/>
                <w:sz w:val="20"/>
                <w:szCs w:val="20"/>
              </w:rPr>
              <w:t xml:space="preserve">Visualisation</w:t>
            </w:r>
          </w:p>
        </w:tc>
        <w:tc>
          <w:tcPr>
            <w:tcW w:type="dxa" w:w="2400"/>
            <w:tcBorders>
              <w:top w:val="single" w:color="C7D9F0" w:sz="4"/>
              <w:left w:val="single" w:color="C7D9F0" w:sz="4"/>
              <w:bottom w:val="single" w:color="C7D9F0" w:sz="4"/>
              <w:right w:val="single" w:color="C7D9F0" w:sz="4"/>
            </w:tcBorders>
            <w:shd w:fill="F5F9FD"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matplotlib</w:t>
            </w:r>
          </w:p>
        </w:tc>
        <w:tc>
          <w:tcPr>
            <w:tcW w:type="dxa" w:w="4560"/>
            <w:tcBorders>
              <w:top w:val="single" w:color="C7D9F0" w:sz="4"/>
              <w:left w:val="single" w:color="C7D9F0" w:sz="4"/>
              <w:bottom w:val="single" w:color="C7D9F0" w:sz="4"/>
              <w:right w:val="single" w:color="C7D9F0" w:sz="4"/>
            </w:tcBorders>
            <w:shd w:fill="F5F9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All analysis and forecast plots (light + dark themes)</w:t>
            </w:r>
          </w:p>
        </w:tc>
      </w:tr>
      <w:tr>
        <w:tc>
          <w:tcPr>
            <w:tcW w:type="dxa" w:w="2400"/>
            <w:tcBorders>
              <w:top w:val="single" w:color="C7D9F0" w:sz="4"/>
              <w:left w:val="single" w:color="C7D9F0" w:sz="4"/>
              <w:bottom w:val="single" w:color="C7D9F0" w:sz="4"/>
              <w:right w:val="single" w:color="C7D9F0" w:sz="4"/>
            </w:tcBorders>
            <w:shd w:fill="FFFFFF" w:val="clear"/>
            <w:tcMar>
              <w:top w:type="dxa" w:w="80"/>
              <w:left w:type="dxa" w:w="140"/>
              <w:bottom w:type="dxa" w:w="80"/>
              <w:right w:type="dxa" w:w="140"/>
            </w:tcMar>
            <w:vAlign w:val="center"/>
          </w:tcPr>
          <w:p>
            <w:pPr>
              <w:jc w:val="left"/>
            </w:pPr>
            <w:r>
              <w:rPr>
                <w:rFonts w:ascii="Arial" w:cs="Arial" w:eastAsia="Arial" w:hAnsi="Arial"/>
                <w:b/>
                <w:bCs/>
                <w:color w:val="2B5FAC"/>
                <w:sz w:val="20"/>
                <w:szCs w:val="20"/>
              </w:rPr>
              <w:t xml:space="preserve">Backend API</w:t>
            </w:r>
          </w:p>
        </w:tc>
        <w:tc>
          <w:tcPr>
            <w:tcW w:type="dxa" w:w="2400"/>
            <w:tcBorders>
              <w:top w:val="single" w:color="C7D9F0" w:sz="4"/>
              <w:left w:val="single" w:color="C7D9F0" w:sz="4"/>
              <w:bottom w:val="single" w:color="C7D9F0" w:sz="4"/>
              <w:right w:val="single" w:color="C7D9F0" w:sz="4"/>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FastAPI + uvicorn</w:t>
            </w:r>
          </w:p>
        </w:tc>
        <w:tc>
          <w:tcPr>
            <w:tcW w:type="dxa" w:w="4560"/>
            <w:tcBorders>
              <w:top w:val="single" w:color="C7D9F0" w:sz="4"/>
              <w:left w:val="single" w:color="C7D9F0" w:sz="4"/>
              <w:bottom w:val="single" w:color="C7D9F0" w:sz="4"/>
              <w:right w:val="single" w:color="C7D9F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REST API, SSE streaming, static file serving</w:t>
            </w:r>
          </w:p>
        </w:tc>
      </w:tr>
      <w:tr>
        <w:tc>
          <w:tcPr>
            <w:tcW w:type="dxa" w:w="2400"/>
            <w:tcBorders>
              <w:top w:val="single" w:color="C7D9F0" w:sz="4"/>
              <w:left w:val="single" w:color="C7D9F0" w:sz="4"/>
              <w:bottom w:val="single" w:color="C7D9F0" w:sz="4"/>
              <w:right w:val="single" w:color="C7D9F0" w:sz="4"/>
            </w:tcBorders>
            <w:shd w:fill="F5F9FD" w:val="clear"/>
            <w:tcMar>
              <w:top w:type="dxa" w:w="80"/>
              <w:left w:type="dxa" w:w="140"/>
              <w:bottom w:type="dxa" w:w="80"/>
              <w:right w:type="dxa" w:w="140"/>
            </w:tcMar>
            <w:vAlign w:val="center"/>
          </w:tcPr>
          <w:p>
            <w:pPr>
              <w:jc w:val="left"/>
            </w:pPr>
            <w:r>
              <w:rPr>
                <w:rFonts w:ascii="Arial" w:cs="Arial" w:eastAsia="Arial" w:hAnsi="Arial"/>
                <w:b/>
                <w:bCs/>
                <w:color w:val="2B5FAC"/>
                <w:sz w:val="20"/>
                <w:szCs w:val="20"/>
              </w:rPr>
              <w:t xml:space="preserve">Frontend</w:t>
            </w:r>
          </w:p>
        </w:tc>
        <w:tc>
          <w:tcPr>
            <w:tcW w:type="dxa" w:w="2400"/>
            <w:tcBorders>
              <w:top w:val="single" w:color="C7D9F0" w:sz="4"/>
              <w:left w:val="single" w:color="C7D9F0" w:sz="4"/>
              <w:bottom w:val="single" w:color="C7D9F0" w:sz="4"/>
              <w:right w:val="single" w:color="C7D9F0" w:sz="4"/>
            </w:tcBorders>
            <w:shd w:fill="F5F9FD"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React + Vite</w:t>
            </w:r>
          </w:p>
        </w:tc>
        <w:tc>
          <w:tcPr>
            <w:tcW w:type="dxa" w:w="4560"/>
            <w:tcBorders>
              <w:top w:val="single" w:color="C7D9F0" w:sz="4"/>
              <w:left w:val="single" w:color="C7D9F0" w:sz="4"/>
              <w:bottom w:val="single" w:color="C7D9F0" w:sz="4"/>
              <w:right w:val="single" w:color="C7D9F0" w:sz="4"/>
            </w:tcBorders>
            <w:shd w:fill="F5F9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SPA dashboard with 6 interactive pages</w:t>
            </w:r>
          </w:p>
        </w:tc>
      </w:tr>
      <w:tr>
        <w:tc>
          <w:tcPr>
            <w:tcW w:type="dxa" w:w="2400"/>
            <w:tcBorders>
              <w:top w:val="single" w:color="C7D9F0" w:sz="4"/>
              <w:left w:val="single" w:color="C7D9F0" w:sz="4"/>
              <w:bottom w:val="single" w:color="C7D9F0" w:sz="4"/>
              <w:right w:val="single" w:color="C7D9F0" w:sz="4"/>
            </w:tcBorders>
            <w:shd w:fill="FFFFFF" w:val="clear"/>
            <w:tcMar>
              <w:top w:type="dxa" w:w="80"/>
              <w:left w:type="dxa" w:w="140"/>
              <w:bottom w:type="dxa" w:w="80"/>
              <w:right w:type="dxa" w:w="140"/>
            </w:tcMar>
            <w:vAlign w:val="center"/>
          </w:tcPr>
          <w:p>
            <w:pPr>
              <w:jc w:val="left"/>
            </w:pPr>
            <w:r>
              <w:rPr>
                <w:rFonts w:ascii="Arial" w:cs="Arial" w:eastAsia="Arial" w:hAnsi="Arial"/>
                <w:b/>
                <w:bCs/>
                <w:color w:val="2B5FAC"/>
                <w:sz w:val="20"/>
                <w:szCs w:val="20"/>
              </w:rPr>
              <w:t xml:space="preserve">Charting</w:t>
            </w:r>
          </w:p>
        </w:tc>
        <w:tc>
          <w:tcPr>
            <w:tcW w:type="dxa" w:w="2400"/>
            <w:tcBorders>
              <w:top w:val="single" w:color="C7D9F0" w:sz="4"/>
              <w:left w:val="single" w:color="C7D9F0" w:sz="4"/>
              <w:bottom w:val="single" w:color="C7D9F0" w:sz="4"/>
              <w:right w:val="single" w:color="C7D9F0" w:sz="4"/>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Recharts</w:t>
            </w:r>
          </w:p>
        </w:tc>
        <w:tc>
          <w:tcPr>
            <w:tcW w:type="dxa" w:w="4560"/>
            <w:tcBorders>
              <w:top w:val="single" w:color="C7D9F0" w:sz="4"/>
              <w:left w:val="single" w:color="C7D9F0" w:sz="4"/>
              <w:bottom w:val="single" w:color="C7D9F0" w:sz="4"/>
              <w:right w:val="single" w:color="C7D9F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Interactive time-series charts in the dashboard</w:t>
            </w:r>
          </w:p>
        </w:tc>
      </w:tr>
      <w:tr>
        <w:tc>
          <w:tcPr>
            <w:tcW w:type="dxa" w:w="2400"/>
            <w:tcBorders>
              <w:top w:val="single" w:color="C7D9F0" w:sz="4"/>
              <w:left w:val="single" w:color="C7D9F0" w:sz="4"/>
              <w:bottom w:val="single" w:color="C7D9F0" w:sz="4"/>
              <w:right w:val="single" w:color="C7D9F0" w:sz="4"/>
            </w:tcBorders>
            <w:shd w:fill="F5F9FD" w:val="clear"/>
            <w:tcMar>
              <w:top w:type="dxa" w:w="80"/>
              <w:left w:type="dxa" w:w="140"/>
              <w:bottom w:type="dxa" w:w="80"/>
              <w:right w:type="dxa" w:w="140"/>
            </w:tcMar>
            <w:vAlign w:val="center"/>
          </w:tcPr>
          <w:p>
            <w:pPr>
              <w:jc w:val="left"/>
            </w:pPr>
            <w:r>
              <w:rPr>
                <w:rFonts w:ascii="Arial" w:cs="Arial" w:eastAsia="Arial" w:hAnsi="Arial"/>
                <w:b/>
                <w:bCs/>
                <w:color w:val="2B5FAC"/>
                <w:sz w:val="20"/>
                <w:szCs w:val="20"/>
              </w:rPr>
              <w:t xml:space="preserve">Styling</w:t>
            </w:r>
          </w:p>
        </w:tc>
        <w:tc>
          <w:tcPr>
            <w:tcW w:type="dxa" w:w="2400"/>
            <w:tcBorders>
              <w:top w:val="single" w:color="C7D9F0" w:sz="4"/>
              <w:left w:val="single" w:color="C7D9F0" w:sz="4"/>
              <w:bottom w:val="single" w:color="C7D9F0" w:sz="4"/>
              <w:right w:val="single" w:color="C7D9F0" w:sz="4"/>
            </w:tcBorders>
            <w:shd w:fill="F5F9FD"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Tailwind CSS</w:t>
            </w:r>
          </w:p>
        </w:tc>
        <w:tc>
          <w:tcPr>
            <w:tcW w:type="dxa" w:w="4560"/>
            <w:tcBorders>
              <w:top w:val="single" w:color="C7D9F0" w:sz="4"/>
              <w:left w:val="single" w:color="C7D9F0" w:sz="4"/>
              <w:bottom w:val="single" w:color="C7D9F0" w:sz="4"/>
              <w:right w:val="single" w:color="C7D9F0" w:sz="4"/>
            </w:tcBorders>
            <w:shd w:fill="F5F9FD"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Utility-first responsive design with dark mode support</w:t>
            </w:r>
          </w:p>
        </w:tc>
      </w:tr>
      <w:tr>
        <w:tc>
          <w:tcPr>
            <w:tcW w:type="dxa" w:w="2400"/>
            <w:tcBorders>
              <w:top w:val="single" w:color="C7D9F0" w:sz="4"/>
              <w:left w:val="single" w:color="C7D9F0" w:sz="4"/>
              <w:bottom w:val="single" w:color="C7D9F0" w:sz="4"/>
              <w:right w:val="single" w:color="C7D9F0" w:sz="4"/>
            </w:tcBorders>
            <w:shd w:fill="FFFFFF" w:val="clear"/>
            <w:tcMar>
              <w:top w:type="dxa" w:w="80"/>
              <w:left w:type="dxa" w:w="140"/>
              <w:bottom w:type="dxa" w:w="80"/>
              <w:right w:type="dxa" w:w="140"/>
            </w:tcMar>
            <w:vAlign w:val="center"/>
          </w:tcPr>
          <w:p>
            <w:pPr>
              <w:jc w:val="left"/>
            </w:pPr>
            <w:r>
              <w:rPr>
                <w:rFonts w:ascii="Arial" w:cs="Arial" w:eastAsia="Arial" w:hAnsi="Arial"/>
                <w:b/>
                <w:bCs/>
                <w:color w:val="2B5FAC"/>
                <w:sz w:val="20"/>
                <w:szCs w:val="20"/>
              </w:rPr>
              <w:t xml:space="preserve">Language</w:t>
            </w:r>
          </w:p>
        </w:tc>
        <w:tc>
          <w:tcPr>
            <w:tcW w:type="dxa" w:w="2400"/>
            <w:tcBorders>
              <w:top w:val="single" w:color="C7D9F0" w:sz="4"/>
              <w:left w:val="single" w:color="C7D9F0" w:sz="4"/>
              <w:bottom w:val="single" w:color="C7D9F0" w:sz="4"/>
              <w:right w:val="single" w:color="C7D9F0" w:sz="4"/>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Python 3.10+, Node 18+</w:t>
            </w:r>
          </w:p>
        </w:tc>
        <w:tc>
          <w:tcPr>
            <w:tcW w:type="dxa" w:w="4560"/>
            <w:tcBorders>
              <w:top w:val="single" w:color="C7D9F0" w:sz="4"/>
              <w:left w:val="single" w:color="C7D9F0" w:sz="4"/>
              <w:bottom w:val="single" w:color="C7D9F0" w:sz="4"/>
              <w:right w:val="single" w:color="C7D9F0"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Primary implementation languages</w:t>
            </w:r>
          </w:p>
        </w:tc>
      </w:tr>
    </w:tbl>
    <w:p>
      <w:pPr>
        <w:spacing w:after="240" w:before="80"/>
        <w:jc w:val="center"/>
      </w:pPr>
      <w:r>
        <w:rPr>
          <w:rFonts w:ascii="Arial" w:cs="Arial" w:eastAsia="Arial" w:hAnsi="Arial"/>
          <w:i/>
          <w:iCs/>
          <w:color w:val="555577"/>
          <w:sz w:val="20"/>
          <w:szCs w:val="20"/>
        </w:rPr>
        <w:t xml:space="preserve">Table 6: Full technology stack summary</w:t>
      </w:r>
    </w:p>
    <w:p>
      <w:r>
        <w:br w:type="page"/>
      </w:r>
    </w:p>
    <w:p>
      <w:pPr>
        <w:pStyle w:val="Heading1"/>
      </w:pPr>
      <w:r>
        <w:rPr>
          <w:rFonts w:ascii="Arial" w:cs="Arial" w:eastAsia="Arial" w:hAnsi="Arial"/>
          <w:b/>
          <w:bCs/>
          <w:color w:val="1E3A5F"/>
          <w:sz w:val="32"/>
          <w:szCs w:val="32"/>
        </w:rPr>
        <w:t xml:space="preserve">9. Conclusions</w:t>
      </w:r>
    </w:p>
    <w:p>
      <w:pPr>
        <w:pBdr>
          <w:bottom w:val="single" w:color="2B5FAC" w:sz="6" w:space="1"/>
        </w:pBdr>
        <w:spacing w:after="160"/>
      </w:pPr>
    </w:p>
    <w:p>
      <w:pPr>
        <w:pStyle w:val="Heading2"/>
      </w:pPr>
      <w:r>
        <w:rPr>
          <w:rFonts w:ascii="Arial" w:cs="Arial" w:eastAsia="Arial" w:hAnsi="Arial"/>
          <w:b/>
          <w:bCs/>
          <w:color w:val="2B5FAC"/>
          <w:sz w:val="26"/>
          <w:szCs w:val="26"/>
        </w:rPr>
        <w:t xml:space="preserve">9.1 Summary of Findings</w:t>
      </w:r>
    </w:p>
    <w:p>
      <w:pPr>
        <w:spacing w:after="160" w:before="0"/>
        <w:jc w:val="both"/>
      </w:pPr>
      <w:r>
        <w:rPr>
          <w:rFonts w:ascii="Arial" w:cs="Arial" w:eastAsia="Arial" w:hAnsi="Arial"/>
          <w:color w:val="1A1A2E"/>
          <w:sz w:val="22"/>
          <w:szCs w:val="22"/>
        </w:rPr>
        <w:t xml:space="preserve">This project successfully demonstrated the end-to-end application of time series analysis and forecasting to real-world Wikipedia traffic data. The following key findings emerged:</w:t>
      </w:r>
    </w:p>
    <w:p>
      <w:pPr>
        <w:pStyle w:val="ListParagraph"/>
        <w:numPr>
          <w:ilvl w:val="0"/>
          <w:numId w:val="3"/>
        </w:numPr>
        <w:spacing w:after="100"/>
      </w:pPr>
      <w:r>
        <w:rPr>
          <w:rFonts w:ascii="Arial" w:cs="Arial" w:eastAsia="Arial" w:hAnsi="Arial"/>
          <w:color w:val="1A1A2E"/>
          <w:sz w:val="22"/>
          <w:szCs w:val="22"/>
        </w:rPr>
        <w:t xml:space="preserve">Wikipedia Main_Page traffic exhibits a strong and statistically significant weekly seasonal cycle (period = 7 days), with weekday traffic consistently exceeding weekend traffic by approximately 15-20%.</w:t>
      </w:r>
    </w:p>
    <w:p>
      <w:pPr>
        <w:pStyle w:val="ListParagraph"/>
        <w:numPr>
          <w:ilvl w:val="0"/>
          <w:numId w:val="3"/>
        </w:numPr>
        <w:spacing w:after="100"/>
      </w:pPr>
      <w:r>
        <w:rPr>
          <w:rFonts w:ascii="Arial" w:cs="Arial" w:eastAsia="Arial" w:hAnsi="Arial"/>
          <w:color w:val="1A1A2E"/>
          <w:sz w:val="22"/>
          <w:szCs w:val="22"/>
        </w:rPr>
        <w:t xml:space="preserve">The series shows a mild downward secular trend over 2015-2016, with a trend strength (ratio of trend component variance to total variance after STL decomposition) indicating that seasonality is the dominant source of structured variation.</w:t>
      </w:r>
    </w:p>
    <w:p>
      <w:pPr>
        <w:pStyle w:val="ListParagraph"/>
        <w:numPr>
          <w:ilvl w:val="0"/>
          <w:numId w:val="3"/>
        </w:numPr>
        <w:spacing w:after="100"/>
      </w:pPr>
      <w:r>
        <w:rPr>
          <w:rFonts w:ascii="Arial" w:cs="Arial" w:eastAsia="Arial" w:hAnsi="Arial"/>
          <w:color w:val="1A1A2E"/>
          <w:sz w:val="22"/>
          <w:szCs w:val="22"/>
        </w:rPr>
        <w:t xml:space="preserve">ACF and PACF analysis confirmed short-range autoregressive dependence (significant at lags 1-2) and strong seasonal autocorrelation at multiples of lag 7, directly informing the SARIMA parameter choices.</w:t>
      </w:r>
    </w:p>
    <w:p>
      <w:pPr>
        <w:pStyle w:val="ListParagraph"/>
        <w:numPr>
          <w:ilvl w:val="0"/>
          <w:numId w:val="3"/>
        </w:numPr>
        <w:spacing w:after="100"/>
      </w:pPr>
      <w:r>
        <w:rPr>
          <w:rFonts w:ascii="Arial" w:cs="Arial" w:eastAsia="Arial" w:hAnsi="Arial"/>
          <w:color w:val="1A1A2E"/>
          <w:sz w:val="22"/>
          <w:szCs w:val="22"/>
        </w:rPr>
        <w:t xml:space="preserve">The ADF test confirmed stationarity (d=0) for the aggregated Main_Page series in levels, a non-trivial finding for a long-horizon internet traffic dataset.</w:t>
      </w:r>
    </w:p>
    <w:p>
      <w:pPr>
        <w:pStyle w:val="ListParagraph"/>
        <w:numPr>
          <w:ilvl w:val="0"/>
          <w:numId w:val="3"/>
        </w:numPr>
        <w:spacing w:after="100"/>
      </w:pPr>
      <w:r>
        <w:rPr>
          <w:rFonts w:ascii="Arial" w:cs="Arial" w:eastAsia="Arial" w:hAnsi="Arial"/>
          <w:color w:val="1A1A2E"/>
          <w:sz w:val="22"/>
          <w:szCs w:val="22"/>
        </w:rPr>
        <w:t xml:space="preserve">SARIMA(1,0,1)×(1,1,0,7) achieved the best performance across all eight evaluation metrics, with MAPE of 5.39% and R² of 0.529, outperforming the next-best model (Holt-Winters) by a factor of 2.9× on MAPE.</w:t>
      </w:r>
    </w:p>
    <w:p>
      <w:pPr>
        <w:spacing w:after="120"/>
      </w:pPr>
      <w:r>
        <w:t xml:space="preserve"/>
      </w:r>
    </w:p>
    <w:p>
      <w:pPr>
        <w:pStyle w:val="Heading2"/>
      </w:pPr>
      <w:r>
        <w:rPr>
          <w:rFonts w:ascii="Arial" w:cs="Arial" w:eastAsia="Arial" w:hAnsi="Arial"/>
          <w:b/>
          <w:bCs/>
          <w:color w:val="2B5FAC"/>
          <w:sz w:val="26"/>
          <w:szCs w:val="26"/>
        </w:rPr>
        <w:t xml:space="preserve">9.2 Limitations</w:t>
      </w:r>
    </w:p>
    <w:p>
      <w:pPr>
        <w:spacing w:after="160" w:before="0"/>
        <w:jc w:val="both"/>
      </w:pPr>
      <w:r>
        <w:rPr>
          <w:rFonts w:ascii="Arial" w:cs="Arial" w:eastAsia="Arial" w:hAnsi="Arial"/>
          <w:color w:val="1A1A2E"/>
          <w:sz w:val="22"/>
          <w:szCs w:val="22"/>
        </w:rPr>
        <w:t xml:space="preserve">Several limitations constrain the current findings. The dataset covers only two years (2015-2016), which is insufficient to capture annual seasonal patterns or long-term structural breaks. The SARIMA model parameters (p=1, q=1, P=1) were selected based on domain knowledge and ACF/PACF inspection rather than automated grid-search (e.g., auto.arima), so the configuration may not be globally optimal. Additionally, the models are univariate and do not exploit potentially useful external regressors such as Google search trends, news event indicators, or holiday calendars.</w:t>
      </w:r>
    </w:p>
    <w:p>
      <w:pPr>
        <w:pStyle w:val="Heading2"/>
      </w:pPr>
      <w:r>
        <w:rPr>
          <w:rFonts w:ascii="Arial" w:cs="Arial" w:eastAsia="Arial" w:hAnsi="Arial"/>
          <w:b/>
          <w:bCs/>
          <w:color w:val="2B5FAC"/>
          <w:sz w:val="26"/>
          <w:szCs w:val="26"/>
        </w:rPr>
        <w:t xml:space="preserve">9.3 Scope for Improvement</w:t>
      </w:r>
    </w:p>
    <w:p>
      <w:pPr>
        <w:spacing w:after="160" w:before="0"/>
        <w:jc w:val="both"/>
      </w:pPr>
      <w:r>
        <w:rPr>
          <w:rFonts w:ascii="Arial" w:cs="Arial" w:eastAsia="Arial" w:hAnsi="Arial"/>
          <w:color w:val="1A1A2E"/>
          <w:sz w:val="22"/>
          <w:szCs w:val="22"/>
        </w:rPr>
        <w:t xml:space="preserve">Future extensions could include: automated SARIMA hyperparameter selection via AIC/BIC grid search; Prophet or NeuralProphet for long-range multi-seasonality; LSTM or Temporal Convolutional Network (TCN) models for sequence-to-sequence forecasting; multivariate models incorporating Google Trends data or Wikipedia edit activity as exogenous predictors; and Bayesian structural time series models for uncertainty-aware forecasts with interpretable component credible intervals.</w:t>
      </w:r>
    </w:p>
    <w:p>
      <w:pPr>
        <w:pStyle w:val="Heading2"/>
      </w:pPr>
      <w:r>
        <w:rPr>
          <w:rFonts w:ascii="Arial" w:cs="Arial" w:eastAsia="Arial" w:hAnsi="Arial"/>
          <w:b/>
          <w:bCs/>
          <w:color w:val="2B5FAC"/>
          <w:sz w:val="26"/>
          <w:szCs w:val="26"/>
        </w:rPr>
        <w:t xml:space="preserve">9.4 Learning Reflection</w:t>
      </w:r>
    </w:p>
    <w:p>
      <w:pPr>
        <w:spacing w:after="160" w:before="0"/>
        <w:jc w:val="both"/>
      </w:pPr>
      <w:r>
        <w:rPr>
          <w:rFonts w:ascii="Arial" w:cs="Arial" w:eastAsia="Arial" w:hAnsi="Arial"/>
          <w:color w:val="1A1A2E"/>
          <w:sz w:val="22"/>
          <w:szCs w:val="22"/>
        </w:rPr>
        <w:t xml:space="preserve">This experiential project bridged the gap between theoretical time series concepts covered in the course and the practical complexities of real-world data: missing values, irregular spikes, mixed seasonality, and the engineering overhead of building a deployable analytical pipeline. The full-stack implementation — from raw data ingestion through MongoDB to a React dashboard with live pipeline streaming — provided hands-on exposure to the production data science workflow that characterises industry practice in data engineering and applied machine learning.</w:t>
      </w:r>
    </w:p>
    <w:p>
      <w:r>
        <w:br w:type="page"/>
      </w:r>
    </w:p>
    <w:p>
      <w:pPr>
        <w:pStyle w:val="Heading1"/>
      </w:pPr>
      <w:r>
        <w:rPr>
          <w:rFonts w:ascii="Arial" w:cs="Arial" w:eastAsia="Arial" w:hAnsi="Arial"/>
          <w:b/>
          <w:bCs/>
          <w:color w:val="1E3A5F"/>
          <w:sz w:val="32"/>
          <w:szCs w:val="32"/>
        </w:rPr>
        <w:t xml:space="preserve">10. References</w:t>
      </w:r>
    </w:p>
    <w:p>
      <w:pPr>
        <w:pBdr>
          <w:bottom w:val="single" w:color="2B5FAC" w:sz="6" w:space="1"/>
        </w:pBdr>
        <w:spacing w:after="160"/>
      </w:pPr>
    </w:p>
    <w:p>
      <w:pPr>
        <w:spacing w:after="120" w:before="0"/>
        <w:ind w:left="720" w:hanging="720"/>
      </w:pPr>
      <w:r>
        <w:rPr>
          <w:rFonts w:ascii="Arial" w:cs="Arial" w:eastAsia="Arial" w:hAnsi="Arial"/>
          <w:b/>
          <w:bCs/>
          <w:color w:val="2B5FAC"/>
          <w:sz w:val="20"/>
          <w:szCs w:val="20"/>
        </w:rPr>
        <w:t xml:space="preserve">[1] </w:t>
      </w:r>
      <w:r>
        <w:rPr>
          <w:rFonts w:ascii="Arial" w:cs="Arial" w:eastAsia="Arial" w:hAnsi="Arial"/>
          <w:color w:val="1A1A2E"/>
          <w:sz w:val="20"/>
          <w:szCs w:val="20"/>
        </w:rPr>
        <w:t xml:space="preserve">Box, G. E. P., Jenkins, G. M., Reinsel, G. C., &amp; Ljung, G. M. (2015). Time Series Analysis: Forecasting and Control (5th ed.). Wiley.</w:t>
      </w:r>
    </w:p>
    <w:p>
      <w:pPr>
        <w:spacing w:after="120" w:before="0"/>
        <w:ind w:left="720" w:hanging="720"/>
      </w:pPr>
      <w:r>
        <w:rPr>
          <w:rFonts w:ascii="Arial" w:cs="Arial" w:eastAsia="Arial" w:hAnsi="Arial"/>
          <w:b/>
          <w:bCs/>
          <w:color w:val="2B5FAC"/>
          <w:sz w:val="20"/>
          <w:szCs w:val="20"/>
        </w:rPr>
        <w:t xml:space="preserve">[2] </w:t>
      </w:r>
      <w:r>
        <w:rPr>
          <w:rFonts w:ascii="Arial" w:cs="Arial" w:eastAsia="Arial" w:hAnsi="Arial"/>
          <w:color w:val="1A1A2E"/>
          <w:sz w:val="20"/>
          <w:szCs w:val="20"/>
        </w:rPr>
        <w:t xml:space="preserve">Holt, C. C. (1957). Forecasting seasonals and trends by exponentially weighted moving averages. ONR Research Memorandum, Carnegie Institute of Technology.</w:t>
      </w:r>
    </w:p>
    <w:p>
      <w:pPr>
        <w:spacing w:after="120" w:before="0"/>
        <w:ind w:left="720" w:hanging="720"/>
      </w:pPr>
      <w:r>
        <w:rPr>
          <w:rFonts w:ascii="Arial" w:cs="Arial" w:eastAsia="Arial" w:hAnsi="Arial"/>
          <w:b/>
          <w:bCs/>
          <w:color w:val="2B5FAC"/>
          <w:sz w:val="20"/>
          <w:szCs w:val="20"/>
        </w:rPr>
        <w:t xml:space="preserve">[3] </w:t>
      </w:r>
      <w:r>
        <w:rPr>
          <w:rFonts w:ascii="Arial" w:cs="Arial" w:eastAsia="Arial" w:hAnsi="Arial"/>
          <w:color w:val="1A1A2E"/>
          <w:sz w:val="20"/>
          <w:szCs w:val="20"/>
        </w:rPr>
        <w:t xml:space="preserve">Winters, P. R. (1960). Forecasting sales by exponentially weighted moving averages. Management Science, 6(3), 324-342.</w:t>
      </w:r>
    </w:p>
    <w:p>
      <w:pPr>
        <w:spacing w:after="120" w:before="0"/>
        <w:ind w:left="720" w:hanging="720"/>
      </w:pPr>
      <w:r>
        <w:rPr>
          <w:rFonts w:ascii="Arial" w:cs="Arial" w:eastAsia="Arial" w:hAnsi="Arial"/>
          <w:b/>
          <w:bCs/>
          <w:color w:val="2B5FAC"/>
          <w:sz w:val="20"/>
          <w:szCs w:val="20"/>
        </w:rPr>
        <w:t xml:space="preserve">[4] </w:t>
      </w:r>
      <w:r>
        <w:rPr>
          <w:rFonts w:ascii="Arial" w:cs="Arial" w:eastAsia="Arial" w:hAnsi="Arial"/>
          <w:color w:val="1A1A2E"/>
          <w:sz w:val="20"/>
          <w:szCs w:val="20"/>
        </w:rPr>
        <w:t xml:space="preserve">Cleveland, R. B., Cleveland, W. S., McRae, J. E., &amp; Terpenning, I. (1990). STL: A seasonal-trend decomposition procedure based on Loess. Journal of Official Statistics, 6(1), 3-73.</w:t>
      </w:r>
    </w:p>
    <w:p>
      <w:pPr>
        <w:spacing w:after="120" w:before="0"/>
        <w:ind w:left="720" w:hanging="720"/>
      </w:pPr>
      <w:r>
        <w:rPr>
          <w:rFonts w:ascii="Arial" w:cs="Arial" w:eastAsia="Arial" w:hAnsi="Arial"/>
          <w:b/>
          <w:bCs/>
          <w:color w:val="2B5FAC"/>
          <w:sz w:val="20"/>
          <w:szCs w:val="20"/>
        </w:rPr>
        <w:t xml:space="preserve">[5] </w:t>
      </w:r>
      <w:r>
        <w:rPr>
          <w:rFonts w:ascii="Arial" w:cs="Arial" w:eastAsia="Arial" w:hAnsi="Arial"/>
          <w:color w:val="1A1A2E"/>
          <w:sz w:val="20"/>
          <w:szCs w:val="20"/>
        </w:rPr>
        <w:t xml:space="preserve">Radinsky, K., Davidovich, S., &amp; Markovitch, S. (2012). Learning causality for news events prediction. WWW 2012 Proceedings.</w:t>
      </w:r>
    </w:p>
    <w:p>
      <w:pPr>
        <w:spacing w:after="120" w:before="0"/>
        <w:ind w:left="720" w:hanging="720"/>
      </w:pPr>
      <w:r>
        <w:rPr>
          <w:rFonts w:ascii="Arial" w:cs="Arial" w:eastAsia="Arial" w:hAnsi="Arial"/>
          <w:b/>
          <w:bCs/>
          <w:color w:val="2B5FAC"/>
          <w:sz w:val="20"/>
          <w:szCs w:val="20"/>
        </w:rPr>
        <w:t xml:space="preserve">[6] </w:t>
      </w:r>
      <w:r>
        <w:rPr>
          <w:rFonts w:ascii="Arial" w:cs="Arial" w:eastAsia="Arial" w:hAnsi="Arial"/>
          <w:color w:val="1A1A2E"/>
          <w:sz w:val="20"/>
          <w:szCs w:val="20"/>
        </w:rPr>
        <w:t xml:space="preserve">Wikimedia Foundation. (2016). Wikimedia REST API — Pageview data documentation. https://wikitech.wikimedia.org/wiki/Analytics/AQS/Pageviews</w:t>
      </w:r>
    </w:p>
    <w:p>
      <w:pPr>
        <w:spacing w:after="120" w:before="0"/>
        <w:ind w:left="720" w:hanging="720"/>
      </w:pPr>
      <w:r>
        <w:rPr>
          <w:rFonts w:ascii="Arial" w:cs="Arial" w:eastAsia="Arial" w:hAnsi="Arial"/>
          <w:b/>
          <w:bCs/>
          <w:color w:val="2B5FAC"/>
          <w:sz w:val="20"/>
          <w:szCs w:val="20"/>
        </w:rPr>
        <w:t xml:space="preserve">[7] </w:t>
      </w:r>
      <w:r>
        <w:rPr>
          <w:rFonts w:ascii="Arial" w:cs="Arial" w:eastAsia="Arial" w:hAnsi="Arial"/>
          <w:color w:val="1A1A2E"/>
          <w:sz w:val="20"/>
          <w:szCs w:val="20"/>
        </w:rPr>
        <w:t xml:space="preserve">Seabold, S., &amp; Perktold, J. (2010). statsmodels: Econometric and statistical modeling with Python. Proceedings of the 9th Python in Science Conference.</w:t>
      </w:r>
    </w:p>
    <w:p>
      <w:pPr>
        <w:spacing w:after="120" w:before="0"/>
        <w:ind w:left="720" w:hanging="720"/>
      </w:pPr>
      <w:r>
        <w:rPr>
          <w:rFonts w:ascii="Arial" w:cs="Arial" w:eastAsia="Arial" w:hAnsi="Arial"/>
          <w:b/>
          <w:bCs/>
          <w:color w:val="2B5FAC"/>
          <w:sz w:val="20"/>
          <w:szCs w:val="20"/>
        </w:rPr>
        <w:t xml:space="preserve">[8] </w:t>
      </w:r>
      <w:r>
        <w:rPr>
          <w:rFonts w:ascii="Arial" w:cs="Arial" w:eastAsia="Arial" w:hAnsi="Arial"/>
          <w:color w:val="1A1A2E"/>
          <w:sz w:val="20"/>
          <w:szCs w:val="20"/>
        </w:rPr>
        <w:t xml:space="preserve">Pedregosa, F. et al. (2011). Scikit-learn: Machine Learning in Python. Journal of Machine Learning Research, 12, 2825-2830.</w:t>
      </w:r>
    </w:p>
    <w:p>
      <w:pPr>
        <w:spacing w:after="120" w:before="0"/>
        <w:ind w:left="720" w:hanging="720"/>
      </w:pPr>
      <w:r>
        <w:rPr>
          <w:rFonts w:ascii="Arial" w:cs="Arial" w:eastAsia="Arial" w:hAnsi="Arial"/>
          <w:b/>
          <w:bCs/>
          <w:color w:val="2B5FAC"/>
          <w:sz w:val="20"/>
          <w:szCs w:val="20"/>
        </w:rPr>
        <w:t xml:space="preserve">[9] </w:t>
      </w:r>
      <w:r>
        <w:rPr>
          <w:rFonts w:ascii="Arial" w:cs="Arial" w:eastAsia="Arial" w:hAnsi="Arial"/>
          <w:color w:val="1A1A2E"/>
          <w:sz w:val="20"/>
          <w:szCs w:val="20"/>
        </w:rPr>
        <w:t xml:space="preserve">McKinney, W. (2010). Data structures for statistical computing in Python. Proceedings of the 9th Python in Science Conference.</w:t>
      </w:r>
    </w:p>
    <w:p>
      <w:pPr>
        <w:spacing w:after="120" w:before="0"/>
        <w:ind w:left="720" w:hanging="720"/>
      </w:pPr>
      <w:r>
        <w:rPr>
          <w:rFonts w:ascii="Arial" w:cs="Arial" w:eastAsia="Arial" w:hAnsi="Arial"/>
          <w:b/>
          <w:bCs/>
          <w:color w:val="2B5FAC"/>
          <w:sz w:val="20"/>
          <w:szCs w:val="20"/>
        </w:rPr>
        <w:t xml:space="preserve">[10] </w:t>
      </w:r>
      <w:r>
        <w:rPr>
          <w:rFonts w:ascii="Arial" w:cs="Arial" w:eastAsia="Arial" w:hAnsi="Arial"/>
          <w:color w:val="1A1A2E"/>
          <w:sz w:val="20"/>
          <w:szCs w:val="20"/>
        </w:rPr>
        <w:t xml:space="preserve">Kaggle. (2017). Web Traffic Time Series Forecasting. https://www.kaggle.com/c/web-traffic-time-series-forecasting</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B5FAC" w:sz="4" w:space="1"/>
      </w:pBdr>
      <w:tabs>
        <w:tab w:val="right" w:pos="8568"/>
      </w:tabs>
    </w:pPr>
    <w:r>
      <w:rPr>
        <w:rFonts w:ascii="Arial" w:cs="Arial" w:eastAsia="Arial" w:hAnsi="Arial"/>
        <w:color w:val="555577"/>
        <w:sz w:val="16"/>
        <w:szCs w:val="16"/>
      </w:rPr>
      <w:t xml:space="preserve">Time Series Analysis and Forecasting Techniques (23BSCSMA61)</w:t>
    </w:r>
    <w:r>
      <w:rPr>
        <w:rFonts w:ascii="Arial" w:cs="Arial" w:eastAsia="Arial" w:hAnsi="Arial"/>
        <w:color w:val="555577"/>
        <w:sz w:val="16"/>
        <w:szCs w:val="16"/>
      </w:rPr>
      <w:t xml:space="preserve">	Page </w:t>
    </w:r>
    <w:r>
      <w:rPr>
        <w:rFonts w:ascii="Arial" w:cs="Arial" w:eastAsia="Arial" w:hAnsi="Arial"/>
        <w:color w:val="1E3A5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5FAC" w:sz="4" w:space="1"/>
      </w:pBdr>
      <w:tabs>
        <w:tab w:val="right" w:pos="8568"/>
      </w:tabs>
    </w:pPr>
    <w:r>
      <w:rPr>
        <w:rFonts w:ascii="Arial" w:cs="Arial" w:eastAsia="Arial" w:hAnsi="Arial"/>
        <w:color w:val="555577"/>
        <w:sz w:val="18"/>
        <w:szCs w:val="18"/>
      </w:rPr>
      <w:t xml:space="preserve">Wikipedia Traffic Analysis — Time Series Research Report</w:t>
    </w:r>
    <w:r>
      <w:rPr>
        <w:rFonts w:ascii="Arial" w:cs="Arial" w:eastAsia="Arial" w:hAnsi="Arial"/>
        <w:color w:val="555577"/>
        <w:sz w:val="18"/>
        <w:szCs w:val="18"/>
      </w:rPr>
      <w:t xml:space="preserve">	Likhith | 23BTRCL257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E3A5F"/>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2B5FAC"/>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5555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2026-04-01T08:59:16.988Z</dcterms:created>
  <dcterms:modified xsi:type="dcterms:W3CDTF">2026-04-01T08:59:16.989Z</dcterms:modified>
</cp:coreProperties>
</file>

<file path=docProps/custom.xml><?xml version="1.0" encoding="utf-8"?>
<Properties xmlns="http://schemas.openxmlformats.org/officeDocument/2006/custom-properties" xmlns:vt="http://schemas.openxmlformats.org/officeDocument/2006/docPropsVTypes"/>
</file>