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C46D0" w14:textId="7EEC46D1">
      <w:pPr>
        <w:pStyle w:val="Title"/>
        <w:spacing w:after="240"/>
        <w:jc w:val="center"/>
      </w:pPr>
      <w:r>
        <w:rPr>
          <w:b/>
          <w:sz w:val="56"/>
        </w:rPr>
        <w:t xml:space="preserve">BlinkIT Sales Intelligence Engine &amp; Predictive Dashboard</w:t>
      </w:r>
    </w:p>
    <w:p w14:paraId="7EEC46D2" w14:textId="7EEC46D3">
      <w:pPr>
        <w:spacing w:after="160"/>
        <w:jc w:val="center"/>
      </w:pPr>
      <w:r>
        <w:rPr>
          <w:sz w:val="24"/>
        </w:rPr>
        <w:t xml:space="preserve">A Capstone Project Report Submitted in Partial Fulfilment of the Requirements of the IBM SkillsBuild Data Analytics with AI Internship 2026</w:t>
      </w:r>
    </w:p>
    <w:p w14:paraId="7EEC46D4" w14:textId="7EEC46D5">
      <w:pPr>
        <w:spacing w:after="80"/>
        <w:jc w:val="center"/>
      </w:pPr>
      <w:r>
        <w:rPr>
          <w:b/>
          <w:sz w:val="24"/>
        </w:rPr>
        <w:t xml:space="preserve">Submitted By</w:t>
      </w:r>
    </w:p>
    <w:p w14:paraId="7EEC46D6" w14:textId="7EEC46D7">
      <w:pPr>
        <w:spacing w:after="80"/>
        <w:jc w:val="center"/>
      </w:pPr>
      <w:r>
        <w:rPr>
          <w:b/>
          <w:sz w:val="28"/>
        </w:rPr>
        <w:t xml:space="preserve">M Y Likhith</w:t>
      </w:r>
    </w:p>
    <w:p w14:paraId="7EEC46D8" w14:textId="7EEC46D9">
      <w:pPr>
        <w:spacing w:after="320"/>
        <w:jc w:val="center"/>
      </w:pPr>
      <w:r>
        <w:rPr>
          <w:sz w:val="24"/>
        </w:rPr>
        <w:t xml:space="preserve">S JC Institute Of Technology</w:t>
      </w:r>
    </w:p>
    <w:p w14:paraId="7EEC46DA" w14:textId="7EEC46DB">
      <w:pPr>
        <w:pStyle w:val="Heading1"/>
        <w:spacing w:before="240" w:after="200"/>
      </w:pPr>
      <w:r>
        <w:rPr>
          <w:b/>
          <w:sz w:val="36"/>
        </w:rPr>
        <w:t xml:space="preserve">1. Title Page &amp; Official Internship Declaration</w:t>
      </w:r>
    </w:p>
    <w:p w14:paraId="7EEC46DC" w14:textId="7EEC46DD">
      <w:pPr>
        <w:spacing w:after="160"/>
      </w:pPr>
      <w:r>
        <w:rPr>
          <w:sz w:val="22"/>
        </w:rPr>
        <w:t xml:space="preserve">This project report documents the end-to-end development of the BlinkIT Sales Intelligence Engine &amp; Predictive Dashboard, submitted as the capstone deliverable for the IBM SkillsBuild Data Analytics with AI Internship 2026. The internship is a nationally recognised industry-academia programme conducted under IBM's global learning platform in collaboration with AICTE (All India Council for Technical Education) and BharatCares, providing engineering students across India with structured, hands-on exposure to real-world artificial intelligence and machine learning workflows.</w:t>
      </w:r>
    </w:p>
    <w:p w14:paraId="7EEC46DE" w14:textId="7EEC46DF">
      <w:pPr>
        <w:pStyle w:val="Heading2"/>
        <w:spacing w:before="160" w:after="120"/>
      </w:pPr>
      <w:r>
        <w:rPr>
          <w:b/>
          <w:sz w:val="28"/>
        </w:rPr>
        <w:t xml:space="preserve">Official Internship Details</w:t>
      </w:r>
    </w:p>
    <w:tbl>
      <w:tblPr>
        <w:tblW w:w="5000" w:type="pct"/>
        <w:tblBorders>
          <w:top w:val="single" w:sz="4"/>
          <w:left w:val="single" w:sz="4"/>
          <w:bottom w:val="single" w:sz="4"/>
          <w:right w:val="single" w:sz="4"/>
          <w:insideH w:val="single" w:sz="4"/>
          <w:insideV w:val="single" w:sz="4"/>
        </w:tblBorders>
      </w:tblPr>
      <w:tblGrid>
        <w:gridCol w:w="2200"/>
        <w:gridCol w:w="6300"/>
      </w:tblGrid>
      <w:tr>
        <w:trPr>
          <w:tblHeader/>
        </w:trPr>
        <w:tc>
          <w:p w14:paraId="7EEC46E0" w14:textId="7EEC46E1">
            <w:r>
              <w:t xml:space="preserve">Field</w:t>
            </w:r>
          </w:p>
        </w:tc>
        <w:tc>
          <w:p w14:paraId="7EEC46E2" w14:textId="7EEC46E3">
            <w:r>
              <w:t xml:space="preserve">Details</w:t>
            </w:r>
          </w:p>
        </w:tc>
      </w:tr>
      <w:tr>
        <w:trPr/>
        <w:tc>
          <w:p w14:paraId="7EEC46E4" w14:textId="7EEC46E5">
            <w:r>
              <w:t xml:space="preserve">Programme</w:t>
            </w:r>
          </w:p>
        </w:tc>
        <w:tc>
          <w:p w14:paraId="7EEC46E6" w14:textId="7EEC46E7">
            <w:r>
              <w:t xml:space="preserve">IBM SkillsBuild Data Analytics with AI Internship 2026</w:t>
            </w:r>
          </w:p>
        </w:tc>
      </w:tr>
      <w:tr>
        <w:trPr/>
        <w:tc>
          <w:p w14:paraId="7EEC46E8" w14:textId="7EEC46E9">
            <w:r>
              <w:t xml:space="preserve">Offered By</w:t>
            </w:r>
          </w:p>
        </w:tc>
        <w:tc>
          <w:p w14:paraId="7EEC46EA" w14:textId="7EEC46EB">
            <w:r>
              <w:t xml:space="preserve">IBM, in collaboration with AICTE (All India Council for Technical Education) and BharatCares</w:t>
            </w:r>
          </w:p>
        </w:tc>
      </w:tr>
      <w:tr>
        <w:trPr/>
        <w:tc>
          <w:p w14:paraId="7EEC46EC" w14:textId="7EEC46ED">
            <w:r>
              <w:t xml:space="preserve">Internship ID</w:t>
            </w:r>
          </w:p>
        </w:tc>
        <w:tc>
          <w:p w14:paraId="7EEC46EE" w14:textId="7EEC46EF">
            <w:r>
              <w:t xml:space="preserve">IBMUEDA1448</w:t>
            </w:r>
          </w:p>
        </w:tc>
      </w:tr>
      <w:tr>
        <w:trPr/>
        <w:tc>
          <w:p w14:paraId="7EEC46F0" w14:textId="7EEC46F1">
            <w:r>
              <w:t xml:space="preserve">Timeline</w:t>
            </w:r>
          </w:p>
        </w:tc>
        <w:tc>
          <w:p w14:paraId="7EEC46F2" w14:textId="7EEC46F3">
            <w:r>
              <w:t xml:space="preserve">17 August 2026 to 30 September 2026</w:t>
            </w:r>
          </w:p>
        </w:tc>
      </w:tr>
      <w:tr>
        <w:trPr/>
        <w:tc>
          <w:p w14:paraId="7EEC46F4" w14:textId="7EEC46F5">
            <w:r>
              <w:t xml:space="preserve">Author</w:t>
            </w:r>
          </w:p>
        </w:tc>
        <w:tc>
          <w:p w14:paraId="7EEC46F6" w14:textId="7EEC46F7">
            <w:r>
              <w:t xml:space="preserve">M Y Likhith</w:t>
            </w:r>
          </w:p>
        </w:tc>
      </w:tr>
      <w:tr>
        <w:trPr/>
        <w:tc>
          <w:p w14:paraId="7EEC46F8" w14:textId="7EEC46F9">
            <w:r>
              <w:t xml:space="preserve">Institution</w:t>
            </w:r>
          </w:p>
        </w:tc>
        <w:tc>
          <w:p w14:paraId="7EEC46FA" w14:textId="7EEC46FB">
            <w:r>
              <w:t xml:space="preserve">S JC Institute Of Technology</w:t>
            </w:r>
          </w:p>
        </w:tc>
      </w:tr>
      <w:tr>
        <w:trPr/>
        <w:tc>
          <w:p w14:paraId="7EEC46FC" w14:textId="7EEC46FD">
            <w:r>
              <w:t xml:space="preserve">Project Type</w:t>
            </w:r>
          </w:p>
        </w:tc>
        <w:tc>
          <w:p w14:paraId="7EEC46FE" w14:textId="7EEC46FF">
            <w:r>
              <w:t xml:space="preserve">End-to-End Data Analytics and Machine Learning Capstone</w:t>
            </w:r>
          </w:p>
        </w:tc>
      </w:tr>
    </w:tbl>
    <w:p w14:paraId="7EEC4700" w14:textId="7EEC4701">
      <w:pPr>
        <w:pStyle w:val="Heading1"/>
        <w:spacing w:before="320" w:after="200"/>
      </w:pPr>
      <w:r>
        <w:rPr>
          <w:b/>
          <w:sz w:val="36"/>
        </w:rPr>
        <w:t xml:space="preserve">2. Abstract / Executive Summary</w:t>
      </w:r>
    </w:p>
    <w:p w14:paraId="7EEC4702" w14:textId="7EEC4703">
      <w:pPr>
        <w:spacing w:after="160"/>
      </w:pPr>
      <w:r>
        <w:rPr>
          <w:sz w:val="22"/>
        </w:rPr>
        <w:t xml:space="preserve">The rapid growth of quick-commerce grocery platforms has created an urgent operational imperative: the ability to accurately anticipate item-level demand at individual dark store outlets before supply chain decisions are committed. This report presents the BlinkIT Sales Intelligence Engine &amp; Predictive Dashboard, an end-to-end retail analytics system engineered to address this challenge through the rigorous application of machine learning, feature engineering, and interactive data visualisation.</w:t>
      </w:r>
    </w:p>
    <w:p w14:paraId="7EEC4704" w14:textId="7EEC4705">
      <w:pPr>
        <w:spacing w:after="160"/>
      </w:pPr>
      <w:r>
        <w:rPr>
          <w:sz w:val="22"/>
        </w:rPr>
        <w:t xml:space="preserve">The system was built upon a dataset of 8,523 item-outlet transaction records sourced from BlinkIT's grocery operations, spanning 10 unique retail outlets and 1,559 product SKUs across three city tiers. The analytical workflow was structured across the academically grounded 4-Tier Analytics Ladder: Descriptive analytics to establish cohort baselines; Diagnostic analytics to decompose sales variance across outlet formats, item categories, and shelf-visibility dimensions; Predictive analytics to construct and benchmark four machine learning regression models under rigorous 5-fold cross-validation; and Prescriptive analytics to translate model outputs into an actionable outlet performance scorecard and item-level shelf restocking priority list.</w:t>
      </w:r>
    </w:p>
    <w:p w14:paraId="7EEC4706" w14:textId="7EEC4707">
      <w:pPr>
        <w:spacing w:after="160"/>
      </w:pPr>
      <w:r>
        <w:rPr>
          <w:sz w:val="22"/>
        </w:rPr>
        <w:t xml:space="preserve">The Random Forest Regressor achieved the best predictive performance with a cross-validated R-squared of 0.606, RMSE of 38.93, and MAE of 29.85, substantially outperforming Ridge and Linear Regression baselines. The trained model was serialised and deployed within a Streamlit web application that enables inventory planners and category managers to obtain real-time sales predictions for any product-outlet configuration through an intuitive, parameter-driven interface.</w:t>
      </w:r>
    </w:p>
    <w:p w14:paraId="7EEC4708" w14:textId="7EEC4709">
      <w:pPr>
        <w:spacing w:after="160"/>
      </w:pPr>
      <w:r>
        <w:rPr>
          <w:sz w:val="22"/>
        </w:rPr>
        <w:t xml:space="preserve">This project was developed as the capstone deliverable of the IBM SkillsBuild Data Analytics with AI Internship 2026, Internship ID IBMUEDA1448, conducted from 17 August 2026 to 30 September 2026. It demonstrates an integrated command of the data science lifecycle: from data acquisition and quality remediation through statistical inference, predictive modelling, model explainability, and production deployment, all applied to a commercially motivated real-world problem.</w:t>
      </w:r>
    </w:p>
    <w:p w14:paraId="7EEC470A" w14:textId="7EEC470B">
      <w:pPr>
        <w:pStyle w:val="Heading1"/>
        <w:spacing w:before="320" w:after="200"/>
      </w:pPr>
      <w:r>
        <w:rPr>
          <w:b/>
          <w:sz w:val="36"/>
        </w:rPr>
        <w:t xml:space="preserve">3. Introduction &amp; Problem Statement</w:t>
      </w:r>
    </w:p>
    <w:p w14:paraId="7EEC470C" w14:textId="7EEC470D">
      <w:pPr>
        <w:pStyle w:val="Heading2"/>
        <w:spacing w:before="200" w:after="120"/>
      </w:pPr>
      <w:r>
        <w:rPr>
          <w:b/>
          <w:sz w:val="28"/>
        </w:rPr>
        <w:t xml:space="preserve">3.1 Industry Context</w:t>
      </w:r>
    </w:p>
    <w:p w14:paraId="7EEC470E" w14:textId="7EEC470F">
      <w:pPr>
        <w:spacing w:after="160"/>
      </w:pPr>
      <w:r>
        <w:rPr>
          <w:sz w:val="22"/>
        </w:rPr>
        <w:t xml:space="preserve">Quick commerce, defined as the fulfilment of grocery and daily-essentials orders within ten to thirty minutes of placement, has emerged as one of the most operationally demanding retail formats in the modern supply chain landscape. Platforms such as BlinkIT operate through a network of dark stores: small-format, non-customer-facing micro-fulfilment warehouses positioned within densely populated urban catchments. Unlike conventional supermarkets where the sales floor acts as a passive buffer between procurement and consumption, dark stores require that every item present on their racks already reflects a forward-looking prediction of imminent demand. Excess inventory ties up working capital and risks expiry; insufficient inventory directly causes order cancellation, substitution cost, and, ultimately, customer churn.</w:t>
      </w:r>
    </w:p>
    <w:p w14:paraId="7EEC4710" w14:textId="7EEC4711">
      <w:pPr>
        <w:spacing w:after="160"/>
      </w:pPr>
      <w:r>
        <w:rPr>
          <w:sz w:val="22"/>
        </w:rPr>
        <w:t xml:space="preserve">The operational pressure is compounded by the breadth of the catalogue. BlinkIT's stores collectively stock thousands of distinct SKUs across food, beverages, dairy, household consumables, and personal care categories, each with its own demand velocity, perishability window, and supplier lead time. Making accurate, per-SKU, per-outlet replenishment decisions at daily or sub-daily cadence without data-driven tooling is operationally infeasible.</w:t>
      </w:r>
    </w:p>
    <w:p w14:paraId="7EEC4712" w14:textId="7EEC4713">
      <w:pPr>
        <w:pStyle w:val="Heading2"/>
        <w:spacing w:before="200" w:after="120"/>
      </w:pPr>
      <w:r>
        <w:rPr>
          <w:b/>
          <w:sz w:val="28"/>
        </w:rPr>
        <w:t xml:space="preserve">3.2 Problem Statement</w:t>
      </w:r>
    </w:p>
    <w:p w14:paraId="7EEC4714" w14:textId="7EEC4715">
      <w:pPr>
        <w:spacing w:after="160"/>
      </w:pPr>
      <w:r>
        <w:rPr>
          <w:sz w:val="22"/>
        </w:rPr>
        <w:t xml:space="preserve">The central research question addressed in this project is: Given the structural and product attributes of an item-outlet pair, can a machine learning regression model reliably estimate the expected sales revenue of that item at that outlet, and can this prediction be operationalised through an interactive decision-support interface accessible to non-technical category managers?</w:t>
      </w:r>
    </w:p>
    <w:p w14:paraId="7EEC4716" w14:textId="7EEC4717">
      <w:pPr>
        <w:spacing w:after="160"/>
      </w:pPr>
      <w:r>
        <w:rPr>
          <w:sz w:val="22"/>
        </w:rPr>
        <w:t xml:space="preserve">This framing yields two concrete, measurable objectives. First, a leakage-aware regression pipeline must be constructed that accepts item-level attributes (weight, visibility, fat content, product category, item type) and outlet-level attributes (store format, size, city tier, operational age) as inputs, and produces a single continuous output: predicted item outlet sales in Indian Rupees. Second, the trained model must be deployed within a low-latency, browser-accessible web application that presents the prediction alongside its underlying input configuration and contextual retail strategy guidance, without requiring the end user to possess any programming knowledge.</w:t>
      </w:r>
    </w:p>
    <w:p w14:paraId="7EEC4718" w14:textId="7EEC4719">
      <w:pPr>
        <w:pStyle w:val="Heading2"/>
        <w:spacing w:before="200" w:after="120"/>
      </w:pPr>
      <w:r>
        <w:rPr>
          <w:b/>
          <w:sz w:val="28"/>
        </w:rPr>
        <w:t xml:space="preserve">3.3 Significance and Scope</w:t>
      </w:r>
    </w:p>
    <w:p w14:paraId="7EEC471A" w14:textId="7EEC471B">
      <w:pPr>
        <w:spacing w:after="160"/>
      </w:pPr>
      <w:r>
        <w:rPr>
          <w:sz w:val="22"/>
        </w:rPr>
        <w:t xml:space="preserve">Accurate demand forecasting in the quick-commerce context delivers measurable benefits across multiple operational dimensions. From an inventory management perspective, predicted sales per SKU per outlet allow planners to set reorder points and safety stock levels analytically rather than heuristically. From a revenue optimisation perspective, understanding which product-outlet combinations carry the highest predicted sales value enables prioritised shelf allocation and promotional targeting. From a supply chain perspective, aggregated predictions across outlets provide the demand signal necessary for upstream supplier negotiation and distribution centre throughput planning.</w:t>
      </w:r>
    </w:p>
    <w:p w14:paraId="7EEC471C" w14:textId="7EEC471D">
      <w:pPr>
        <w:spacing w:after="160"/>
      </w:pPr>
      <w:r>
        <w:rPr>
          <w:sz w:val="22"/>
        </w:rPr>
        <w:t xml:space="preserve">The scope of this project encompasses the complete data science lifecycle: data acquisition and audit, quality remediation, exploratory analysis, feature engineering, model selection and benchmarking, explainability analysis, prescriptive scorecard generation, and production deployment. The dataset spans 8,523 item-outlet records across 10 outlets and 16 product subcategories, providing sufficient breadth to draw conclusions that generalise across outlet formats and city tiers.</w:t>
      </w:r>
    </w:p>
    <w:p w14:paraId="7EEC471E" w14:textId="7EEC471F">
      <w:pPr>
        <w:pStyle w:val="Heading1"/>
        <w:spacing w:before="320" w:after="200"/>
      </w:pPr>
      <w:r>
        <w:rPr>
          <w:b/>
          <w:sz w:val="36"/>
        </w:rPr>
        <w:t xml:space="preserve">4. Dataset Description &amp; Exploratory Data Analysis</w:t>
      </w:r>
    </w:p>
    <w:p w14:paraId="7EEC4720" w14:textId="7EEC4721">
      <w:pPr>
        <w:pStyle w:val="Heading2"/>
        <w:spacing w:before="200" w:after="120"/>
      </w:pPr>
      <w:r>
        <w:rPr>
          <w:b/>
          <w:sz w:val="28"/>
        </w:rPr>
        <w:t xml:space="preserve">4.1 Dataset Overview</w:t>
      </w:r>
    </w:p>
    <w:p w14:paraId="7EEC4722" w14:textId="7EEC4723">
      <w:pPr>
        <w:spacing w:after="160"/>
      </w:pPr>
      <w:r>
        <w:rPr>
          <w:sz w:val="22"/>
        </w:rPr>
        <w:t xml:space="preserve">The analytical foundation of this project is the BlinkIT Grocery Dataset, a synthetic yet structurally realistic representation of item-outlet sales data drawn from a multi-format quick-commerce retail operation. The dataset comprises 8,523 rows, each representing a unique item-outlet pair, and 12 columns capturing both product-level and store-level attributes alongside the target variable. There are no duplicate records. The dataset spans 1,559 unique product identifiers (SKUs) distributed across 10 distinct retail outlets located in Tier 1, Tier 2, and Tier 3 cities, yielding a total verified revenue figure of Rs.1,201,681.49 across all item-outlet records.</w:t>
      </w:r>
    </w:p>
    <w:p w14:paraId="7EEC4724" w14:textId="7EEC4725">
      <w:pPr>
        <w:spacing w:after="160"/>
      </w:pPr>
      <w:r>
        <w:rPr>
          <w:sz w:val="22"/>
        </w:rPr>
        <w:t xml:space="preserve">The target variable, Sales, represents the revenue generated by a specific item at a specific outlet, measured in Indian Rupees. Sales values range from Rs.31.29 at the lower bound to Rs.266.89 at the upper bound, with a mean of Rs.140.99, a median of Rs.143.01, and a standard deviation of Rs.62.28. The near-equality of mean and median indicates a roughly symmetric underlying distribution, though further examination of the histogram reveals a bimodal structure that warrants attention. Customer satisfaction scores (Rating) have a dataset mean of 3.97 out of 5.</w:t>
      </w:r>
    </w:p>
    <w:p w14:paraId="7EEC4726" w14:textId="7EEC4727">
      <w:pPr>
        <w:pStyle w:val="Heading2"/>
        <w:spacing w:before="200" w:after="120"/>
      </w:pPr>
      <w:r>
        <w:rPr>
          <w:b/>
          <w:sz w:val="28"/>
        </w:rPr>
        <w:t xml:space="preserve">4.2 Feature-Level Description</w:t>
      </w:r>
    </w:p>
    <w:p w14:paraId="7EEC4728" w14:textId="7EEC4729">
      <w:pPr>
        <w:spacing w:after="160"/>
      </w:pPr>
      <w:r>
        <w:rPr>
          <w:sz w:val="22"/>
        </w:rPr>
        <w:t xml:space="preserve">Item Identifier is a categorical field encoding 1,559 unique product SKUs. Each identifier is prefixed with a two-character code: FD for Food products (6,125 records, 71.9% of the catalogue), DR for Drinks (1,317 records), and NC for Non-Consumable household and hygiene products (1,081 records). This prefix structure is directly exploited in feature engineering to derive the low-cardinality Item_Category grouping variable.</w:t>
      </w:r>
    </w:p>
    <w:p w14:paraId="7EEC472A" w14:textId="7EEC472B">
      <w:pPr>
        <w:spacing w:after="160"/>
      </w:pPr>
      <w:r>
        <w:rPr>
          <w:sz w:val="22"/>
        </w:rPr>
        <w:t xml:space="preserve">Item Weight is a continuous numeric variable measured in kilograms, ranging from approximately 4.0 kg to 22.0 kg. Critically, 1,463 of the 8,523 records carry missing values for Item Weight, representing a 17.2% missingness rate. This is the only column with missing values in the raw dataset. Because a product's physical weight is a fixed property that does not vary by outlet, the missingness is likely a data entry gap at the catalogue level rather than a random or outlet-specific occurrence, which informs the chosen imputation strategy.</w:t>
      </w:r>
    </w:p>
    <w:p w14:paraId="7EEC472C" w14:textId="7EEC472D">
      <w:pPr>
        <w:spacing w:after="160"/>
      </w:pPr>
      <w:r>
        <w:rPr>
          <w:sz w:val="22"/>
        </w:rPr>
        <w:t xml:space="preserve">Item Visibility is a continuous measure representing the fraction of a store's total display area allocated to a given product, expressed as a proportion between 0.0 and 0.35. A total of 526 records carry a literal value of 0.0, which is physically implausible for any stocked item, since a product occupying zero display area cannot generate sales. These are treated as data encoding errors and are corrected during preprocessing.</w:t>
      </w:r>
    </w:p>
    <w:p w14:paraId="7EEC472E" w14:textId="7EEC472F">
      <w:pPr>
        <w:spacing w:after="160"/>
      </w:pPr>
      <w:r>
        <w:rPr>
          <w:sz w:val="22"/>
        </w:rPr>
        <w:t xml:space="preserve">Item Fat Content is a categorical variable originally encoded with five inconsistent labels: Low Fat, low fat, LF, Regular, and reg. After standardisation, these resolve to two canonical values. Non-consumable items, for which the fat content designation is semantically meaningless, are assigned the label Non-Edible. Item Type is a 16-category variable capturing product subcategories including Baking Goods, Breads, Breakfast, Canned, Dairy, Frozen Foods, Fruits and Vegetables, Hard Drinks, Health and Hygiene, Household, Meat, Others, Seafood, Snack Foods, Soft Drinks, and Starchy Foods.</w:t>
      </w:r>
    </w:p>
    <w:p w14:paraId="7EEC4730" w14:textId="7EEC4731">
      <w:pPr>
        <w:spacing w:after="160"/>
      </w:pPr>
      <w:r>
        <w:rPr>
          <w:sz w:val="22"/>
        </w:rPr>
        <w:t xml:space="preserve">Outlet Identifier encodes 10 unique store codes from OUT010 through OUT049. Outlet Establishment Year records the founding year of each outlet, ranging from 1985 to 2022. Outlet Size is a three-level ordinal variable (Small, Medium, High). Outlet Location Type captures the city tier classification (Tier 1 = major metropolitan cities, Tier 2 = large regional cities, Tier 3 = smaller cities and towns). Outlet Type classifies stores into four retail format categories: Grocery Store, Supermarket Type1, Supermarket Type2, and Supermarket Type3. Rating is a continuous customer satisfaction score with values between 1.0 and 5.0 and a dataset mean of 3.97.</w:t>
      </w:r>
    </w:p>
    <w:p w14:paraId="7EEC4732" w14:textId="7EEC4733">
      <w:pPr>
        <w:pStyle w:val="Heading2"/>
        <w:spacing w:before="200" w:after="120"/>
      </w:pPr>
      <w:r>
        <w:rPr>
          <w:b/>
          <w:sz w:val="28"/>
        </w:rPr>
        <w:t xml:space="preserve">4.3 Exploratory Data Analysis (EDA)</w:t>
      </w:r>
    </w:p>
    <w:p w14:paraId="7EEC4734" w14:textId="7EEC4735">
      <w:pPr>
        <w:spacing w:after="160"/>
      </w:pPr>
      <w:r>
        <w:rPr>
          <w:sz w:val="22"/>
        </w:rPr>
        <w:t xml:space="preserve">EDA was conducted in Tier 2 of the analytical ladder, with the explicit goal of uncovering associative structure between predictor variables and the Sales target prior to modelling. Six analytical charts were produced, each probing a distinct hypothesis about the drivers of item-outlet revenue.</w:t>
      </w:r>
    </w:p>
    <w:p w14:paraId="7EEC4736" w14:textId="7EEC4737">
      <w:pPr>
        <w:spacing w:after="160"/>
      </w:pPr>
      <w:r>
        <w:rPr>
          <w:sz w:val="22"/>
        </w:rPr>
        <w:t xml:space="preserve">Sales Distribution (Chart 1): A histogram with kernel density estimate overlay was applied to the Sales column. The resulting distribution is bimodal, exhibiting a primary concentration in the Rs.100 to Rs.120 range and a secondary plateau from Rs.170 to Rs.190, with a gradual tapering tail beyond Rs.220. This bimodal structure is consistent with the presence of two behavioural subpopulations within the catalogue: low-to-moderate velocity everyday staples (cereals, dairy, household goods) and higher-velocity premium or impulse-driven items (snack foods, beverages). The distribution motivates the use of tree-based ensemble models that can learn non-linear decision boundaries across this multi-modal outcome space, rather than a linear regression which implicitly assumes a unimodal, normally distributed residual.</w:t>
      </w:r>
    </w:p>
    <w:p w14:paraId="7EEC483E" w14:textId="7EEC483F">
      <w:pPr>
        <w:spacing w:before="80" w:after="280"/>
        <w:jc w:val="center"/>
      </w:pPr>
      <w:r>
        <w:rPr>
          <w:i/>
          <w:sz w:val="20"/>
        </w:rPr>
        <w:t xml:space="preserve">Figure 1: Distribution of Item-Outlet Sales (N = 8,523 records). Histogram with KDE overlay revealing the bimodal density structure — primary concentration at Rs.100–120, secondary plateau at Rs.170–190. The non-normal form motivates tree-based ensemble models over linear regression. (Source: BlinkIT Grocery Dataset, Section 4.3 Diagnostic Analytics.)</w:t>
      </w:r>
    </w:p>
    <w:p w14:paraId="7EEC483C" w14:textId="7EEC483D">
      <w:pPr>
        <w:spacing w:line="240" w:lineRule="auto"/>
      </w:pPr>
      <w:r>
        <w:rPr/>
        <w:drawing>
          <wp:inline distT="0" distB="0" distL="0" distR="0">
            <wp:extent cx="5040000" cy="3240000"/>
            <wp:effectExtent l="0" t="0" r="0" b="0"/>
            <wp:docPr id="1" name="03_eda_distributions.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_eda_distributions.png"/>
                    <pic:cNvPicPr/>
                  </pic:nvPicPr>
                  <pic:blipFill>
                    <a:blip r:embed="Re0a21df1d15d403c" cstate="print"/>
                    <a:stretch>
                      <a:fillRect/>
                    </a:stretch>
                  </pic:blipFill>
                  <pic:spPr>
                    <a:xfrm>
                      <a:off x="0" y="0"/>
                      <a:ext cx="5040000" cy="3240000"/>
                    </a:xfrm>
                    <a:prstGeom prst="rect">
                      <a:avLst/>
                    </a:prstGeom>
                  </pic:spPr>
                </pic:pic>
              </a:graphicData>
            </a:graphic>
          </wp:inline>
        </w:drawing>
      </w:r>
    </w:p>
    <w:p w14:paraId="7EEC4738" w14:textId="7EEC4739">
      <w:pPr>
        <w:spacing w:after="160"/>
      </w:pPr>
      <w:r>
        <w:rPr>
          <w:sz w:val="22"/>
        </w:rPr>
        <w:t xml:space="preserve">Average Sales by Outlet Type (Chart 2): A horizontal bar chart of mean Sales per Outlet Type reveals a striking finding: average sales are nearly identical across all four retail formats. Supermarket Type2 leads at Rs.141.68, Grocery Stores sit at Rs.140.29, and the entire spread across formats is less than 1%. This apparent uniformity is a critical and honest diagnostic finding. It suggests that differences in total outlet revenue observed in Chart 6 are driven by item-count differences (i.e., Grocery Stores stock fewer SKUs) rather than by any per-item sales advantage of one format over another.</w:t>
      </w:r>
    </w:p>
    <w:p w14:paraId="7EEC473A" w14:textId="7EEC473B">
      <w:pPr>
        <w:spacing w:after="160"/>
      </w:pPr>
      <w:r>
        <w:rPr>
          <w:sz w:val="22"/>
        </w:rPr>
        <w:t xml:space="preserve">Sales by Location Tier and Outlet Size (Chart 3): A grouped bar chart cross-tabulating mean Sales by Outlet Location Type and Outlet Size shows no dominant interaction pattern. No single combination of city tier and outlet size consistently outperforms others by a meaningful margin. This implies that neither geographic placement nor physical scale, in isolation, is a reliable individual-level predictor of per-item sales, further motivating the use of interaction-capturing ensemble methods.</w:t>
      </w:r>
    </w:p>
    <w:p w14:paraId="7EEC473C" w14:textId="7EEC473D">
      <w:pPr>
        <w:spacing w:after="160"/>
      </w:pPr>
      <w:r>
        <w:rPr>
          <w:sz w:val="22"/>
        </w:rPr>
        <w:t xml:space="preserve">Average Sales by Item Type (Chart 4): Mean sales across the 16 item subcategories all fall within a tight plus-or-minus 10% band of the global mean. No single product category dramatically outperforms or underperforms on a per-record basis. This confirms that item subcategory alone is a weak predictor and that its predictive value is largely captured through its interactions with outlet format and visibility variables.</w:t>
      </w:r>
    </w:p>
    <w:p w14:paraId="7EEC473E" w14:textId="7EEC473F">
      <w:pPr>
        <w:spacing w:after="160"/>
      </w:pPr>
      <w:r>
        <w:rPr>
          <w:sz w:val="22"/>
        </w:rPr>
        <w:t xml:space="preserve">Item Visibility versus Sales Scatter and Correlation Heatmap (Chart 5): The scatter plot of Item Visibility against Sales reveals a broadly flat, low-density cloud with no discernible linear trend. The Pearson correlation heatmap across all numeric variables confirms this: the maximum absolute correlation between any numeric predictor and Sales is 0.026, observed for Item Weight. None of the numeric features exhibit meaningful linear correlation with the target variable. This empirical finding is a key diagnostic: without a price or MRP field (absent from this dataset), there is no single dominant linear predictor, and the useful signal resides in non-linear interactions among the available categorical and continuous features.</w:t>
      </w:r>
    </w:p>
    <w:p w14:paraId="7EEC4740" w14:textId="7EEC4741">
      <w:pPr>
        <w:spacing w:after="160"/>
      </w:pPr>
      <w:r>
        <w:rPr>
          <w:sz w:val="22"/>
        </w:rPr>
        <w:t xml:space="preserve">Total Revenue by Outlet (Chart 6): A bar chart of total sales aggregated by Outlet Identifier shows that Grocery Stores generate approximately 40% less total revenue than Supermarket-format outlets. Combined with the finding from Chart 2 that average per-item sales are uniform across formats, this confirms that the revenue gap is entirely attributable to differences in SKU count per outlet (Grocery Stores stock fewer line items) rather than to any structural per-item performance advantage. This distinction matters operationally: the intervention lever for Grocery Stores is catalogue expansion, not per-item merchandising improvement.</w:t>
      </w:r>
    </w:p>
    <w:p w14:paraId="7EEC4742" w14:textId="7EEC4743">
      <w:pPr>
        <w:pStyle w:val="Heading1"/>
        <w:spacing w:before="320" w:after="200"/>
      </w:pPr>
      <w:r>
        <w:rPr>
          <w:b/>
          <w:sz w:val="36"/>
        </w:rPr>
        <w:t xml:space="preserve">5. Methodology &amp; Data Preprocessing</w:t>
      </w:r>
    </w:p>
    <w:p w14:paraId="7EEC4744" w14:textId="7EEC4745">
      <w:pPr>
        <w:pStyle w:val="Heading2"/>
        <w:spacing w:before="200" w:after="120"/>
      </w:pPr>
      <w:r>
        <w:rPr>
          <w:b/>
          <w:sz w:val="28"/>
        </w:rPr>
        <w:t xml:space="preserve">5.1 Data Cleaning Pipeline</w:t>
      </w:r>
    </w:p>
    <w:p w14:paraId="7EEC4746" w14:textId="7EEC4747">
      <w:pPr>
        <w:spacing w:after="120"/>
      </w:pPr>
      <w:r>
        <w:rPr>
          <w:sz w:val="22"/>
        </w:rPr>
        <w:t xml:space="preserve">Data quality issues were identified during the audit phase and remediated through a systematic three-step pipeline applied prior to any modelling activity.</w:t>
      </w:r>
    </w:p>
    <w:p w14:paraId="7EEC4748" w14:textId="7EEC4749">
      <w:pPr>
        <w:spacing w:after="160"/>
      </w:pPr>
      <w:r>
        <w:rPr>
          <w:sz w:val="22"/>
        </w:rPr>
        <w:t xml:space="preserve">Step 1: Fat Content Label Standardisation. The Item Fat Content column contained five distinct labels encoding two real categories, reflecting inconsistent data entry practice across catalogue administrators. The labels low fat, LF, and Low Fat were all mapped to the canonical value Low Fat; the labels reg and Regular were mapped to Regular. Additionally, all records belonging to the Non-Consumable item category were re-coded to Non-Edible, since the fat content attribute is semantically inapplicable to household products, hygiene items, and other non-edible goods. This step reduced the cardinality of the column from 5 to 3 canonical values.</w:t>
      </w:r>
    </w:p>
    <w:p w14:paraId="7EEC474A" w14:textId="7EEC474B">
      <w:pPr>
        <w:spacing w:after="160"/>
      </w:pPr>
      <w:r>
        <w:rPr>
          <w:sz w:val="22"/>
        </w:rPr>
        <w:t xml:space="preserve">Step 2: Item Weight Imputation. The 1,463 missing Item Weight values were imputed in two passes. In the first pass, the mean weight of all other records sharing the same Item Identifier was computed and used as the imputed value. This exploits the physical invariance of product weight across outlet locations: a product's packaging weight cannot differ between stores. In the second pass, any Item Identifier for which all records were missing weight (i.e., no intra-product mean was available) received the mean weight for its Item Type category as a fallback. After both passes, no missing values remained in the Item Weight column.</w:t>
      </w:r>
    </w:p>
    <w:p w14:paraId="7EEC474C" w14:textId="7EEC474D">
      <w:pPr>
        <w:spacing w:after="160"/>
      </w:pPr>
      <w:r>
        <w:rPr>
          <w:sz w:val="22"/>
        </w:rPr>
        <w:t xml:space="preserve">Step 3: Item Visibility Zero-Value Correction. The 526 records with Item Visibility equal to exactly 0.0 were treated as structurally missing rather than truly zero-visibility entries, on the grounds that no stocked item can physically occupy zero floor space. These values were replaced with the median visibility computed within each Item_Category group (Food, Drinks, Non-Consumable). The category-level median, rather than a global median, was chosen to preserve format-specific display allocation norms, since non-consumable items may be assigned systematically different shelf proportions from food or beverage items.</w:t>
      </w:r>
    </w:p>
    <w:p w14:paraId="7EEC474E" w14:textId="7EEC474F">
      <w:pPr>
        <w:pStyle w:val="Heading2"/>
        <w:spacing w:before="200" w:after="120"/>
      </w:pPr>
      <w:r>
        <w:rPr>
          <w:b/>
          <w:sz w:val="28"/>
        </w:rPr>
        <w:t xml:space="preserve">5.2 Feature Engineering</w:t>
      </w:r>
    </w:p>
    <w:p w14:paraId="7EEC4750" w14:textId="7EEC4751">
      <w:pPr>
        <w:spacing w:after="120"/>
      </w:pPr>
      <w:r>
        <w:rPr>
          <w:sz w:val="22"/>
        </w:rPr>
        <w:t xml:space="preserve">Two derived features were constructed to enrich the predictive signal available to the models while deliberately avoiding data leakage.</w:t>
      </w:r>
    </w:p>
    <w:p w14:paraId="7EEC4752" w14:textId="7EEC4753">
      <w:pPr>
        <w:spacing w:after="160"/>
      </w:pPr>
      <w:r>
        <w:rPr>
          <w:sz w:val="22"/>
        </w:rPr>
        <w:t xml:space="preserve">Item_Category is a three-level grouping variable derived by extracting the first two characters of each Item Identifier and mapping them to the categories Food (FD), Drinks (DR), and Non-Consumable (NC). This transformation reduces a 1,559-level high-cardinality identifier to a 3-level semantic grouping. Critically, using Item Identifier directly as a model input would allow the model to learn per-SKU average sales during training and trivially reproduce them during validation, which constitutes implicit data leakage. Item_Category captures the category-level structural signal without leaking individual item-level history.</w:t>
      </w:r>
    </w:p>
    <w:p w14:paraId="7EEC4754" w14:textId="7EEC4755">
      <w:pPr>
        <w:spacing w:after="160"/>
      </w:pPr>
      <w:r>
        <w:rPr>
          <w:sz w:val="22"/>
        </w:rPr>
        <w:t xml:space="preserve">Outlet_Age is a continuous numeric variable computed as the difference between a reference snapshot year of 2026 and each outlet's Outlet Establishment Year. Values range from 4 (an outlet founded in 2022) to 41 (an outlet founded in 1985). Outlet age is a stronger modelling feature than the raw year field because it encodes business maturity directly: an outlet founded in 1985 has had 41 years to build customer loyalty, supplier relationships, and operational efficiency, and this accumulated advantage is more meaningfully represented as a duration than as a calendar year.</w:t>
      </w:r>
    </w:p>
    <w:p w14:paraId="7EEC4756" w14:textId="7EEC4757">
      <w:pPr>
        <w:pStyle w:val="Heading2"/>
        <w:spacing w:before="200" w:after="120"/>
      </w:pPr>
      <w:r>
        <w:rPr>
          <w:b/>
          <w:sz w:val="28"/>
        </w:rPr>
        <w:t xml:space="preserve">5.3 Preprocessing Pipeline Architecture</w:t>
      </w:r>
    </w:p>
    <w:p w14:paraId="7EEC4758" w14:textId="7EEC4759">
      <w:pPr>
        <w:spacing w:after="160"/>
      </w:pPr>
      <w:r>
        <w:rPr>
          <w:sz w:val="22"/>
        </w:rPr>
        <w:t xml:space="preserve">Following cleaning and feature engineering, the final feature set was partitioned into a numeric group and a categorical group. The numeric features were: Item Weight, Item Visibility, Outlet_Age, and Rating. The categorical features were: Item Fat Content, Item Type, Item_Category, Outlet Identifier, Outlet Location Type, Outlet Size, and Outlet Type.</w:t>
      </w:r>
    </w:p>
    <w:p w14:paraId="7EEC475A" w14:textId="7EEC475B">
      <w:pPr>
        <w:spacing w:after="160"/>
      </w:pPr>
      <w:r>
        <w:rPr>
          <w:sz w:val="22"/>
        </w:rPr>
        <w:t xml:space="preserve">A scikit-learn ColumnTransformer was constructed to apply type-appropriate transformations to each group in parallel. For numeric features, a Pipeline composed of a SimpleImputer with median strategy (as a fallback safety layer for any residual missing values) followed by a StandardScaler (zero-mean, unit-variance normalisation) was applied. For categorical features, a Pipeline composed of a SimpleImputer with most-frequent strategy followed by a OneHotEncoder with handle_unknown set to ignore (to handle any unseen categories at inference time) was applied.</w:t>
      </w:r>
    </w:p>
    <w:p w14:paraId="7EEC475C" w14:textId="7EEC475D">
      <w:pPr>
        <w:spacing w:after="160"/>
      </w:pPr>
      <w:r>
        <w:rPr>
          <w:sz w:val="22"/>
        </w:rPr>
        <w:t xml:space="preserve">The complete dataset was split 80/20 into training (6,818 records) and test (1,705 records) partitions using a fixed random seed of 42 for reproducibility. The ColumnTransformer was embedded as the first named step (prep) within each model's overall sklearn Pipeline object, ensuring that all preprocessing transformations were fitted exclusively on training folds during cross-validation and never exposed to validation or test data. This architecture provides a formal guarantee of zero preprocessing leakage.</w:t>
      </w:r>
    </w:p>
    <w:p w14:paraId="7EEC475E" w14:textId="7EEC475F">
      <w:pPr>
        <w:pStyle w:val="Heading1"/>
        <w:spacing w:before="320" w:after="200"/>
      </w:pPr>
      <w:r>
        <w:rPr>
          <w:b/>
          <w:sz w:val="36"/>
        </w:rPr>
        <w:t xml:space="preserve">6. Model Training &amp; Benchmarking</w:t>
      </w:r>
    </w:p>
    <w:p w14:paraId="7EEC4760" w14:textId="7EEC4761">
      <w:pPr>
        <w:pStyle w:val="Heading2"/>
        <w:spacing w:before="200" w:after="120"/>
      </w:pPr>
      <w:r>
        <w:rPr>
          <w:b/>
          <w:sz w:val="28"/>
        </w:rPr>
        <w:t xml:space="preserve">6.1 Model Selection Rationale</w:t>
      </w:r>
    </w:p>
    <w:p w14:paraId="7EEC4762" w14:textId="7EEC4763">
      <w:pPr>
        <w:spacing w:after="160"/>
      </w:pPr>
      <w:r>
        <w:rPr>
          <w:sz w:val="22"/>
        </w:rPr>
        <w:t xml:space="preserve">Four regression algorithms were selected for evaluation, spanning a spectrum of model complexity and representational capacity. Linear Regression was included as the baseline parametric model, providing a lower-bound estimate of achievable performance under a strict linearity assumption. Ridge Regression extends the linear baseline by introducing L2 regularisation (alpha = 1.0), which penalises large coefficient magnitudes and reduces overfitting on correlated categorical one-hot features. Random Forest Regressor is a non-parametric ensemble of 100 decision trees trained with bootstrap sampling and feature subsampling at each split. The ensemble averages predictions across trees to reduce variance and is inherently capable of capturing non-linear interactions and threshold effects. XGBoost Regressor (eXtreme Gradient Boosting) is a sequential ensemble that trains 100 trees in a stage-wise fashion, each correcting the residuals of the previous stage, providing both non-linear representational power and regularisation through gradient-based shrinkage.</w:t>
      </w:r>
    </w:p>
    <w:p w14:paraId="7EEC4764" w14:textId="7EEC4765">
      <w:pPr>
        <w:pStyle w:val="Heading2"/>
        <w:spacing w:before="200" w:after="120"/>
      </w:pPr>
      <w:r>
        <w:rPr>
          <w:b/>
          <w:sz w:val="28"/>
        </w:rPr>
        <w:t xml:space="preserve">6.2 Cross-Validation Protocol</w:t>
      </w:r>
    </w:p>
    <w:p w14:paraId="7EEC4766" w14:textId="7EEC4767">
      <w:pPr>
        <w:spacing w:after="160"/>
      </w:pPr>
      <w:r>
        <w:rPr>
          <w:sz w:val="22"/>
        </w:rPr>
        <w:t xml:space="preserve">All four models were evaluated using 5-fold stratified cross-validation applied to the 80% training partition (6,818 records). In each fold, 80% of the training partition (approximately 5,454 records) was used to fit the complete Pipeline (preprocessing plus model), and the remaining 20% (approximately 1,364 records) was used for validation inference. This process was repeated five times, cycling through all five held-out folds, and the three evaluation metrics — Root Mean Squared Error (RMSE), Mean Absolute Error (MAE), and R-squared — were averaged across folds to produce stable, low-variance performance estimates.</w:t>
      </w:r>
    </w:p>
    <w:p w14:paraId="7EEC4768" w14:textId="7EEC4769">
      <w:pPr>
        <w:spacing w:after="160"/>
      </w:pPr>
      <w:r>
        <w:rPr>
          <w:sz w:val="22"/>
        </w:rPr>
        <w:t xml:space="preserve">RMSE penalises large individual prediction errors quadratically and is measured in the same unit as the target variable (Indian Rupees), making it directly interpretable as an average magnitude of prediction error with greater sensitivity to outliers. MAE is the arithmetic mean of absolute prediction errors and provides a more robust central-tendency measure of prediction accuracy. R-squared represents the proportion of variance in the target variable explained by the model, with values closer to 1.0 indicating stronger explanatory power and values near 0.0 indicating that the model performs no better than a naive mean prediction.</w:t>
      </w:r>
    </w:p>
    <w:p w14:paraId="7EEC476A" w14:textId="7EEC476B">
      <w:pPr>
        <w:pStyle w:val="Heading2"/>
        <w:spacing w:before="200" w:after="120"/>
      </w:pPr>
      <w:r>
        <w:rPr>
          <w:b/>
          <w:sz w:val="28"/>
        </w:rPr>
        <w:t xml:space="preserve">6.3 5-Fold Cross-Validation Benchmark Results</w:t>
      </w:r>
    </w:p>
    <w:p w14:paraId="7EEC476C" w14:textId="7EEC476D">
      <w:pPr>
        <w:spacing w:after="160"/>
      </w:pPr>
      <w:r>
        <w:rPr>
          <w:sz w:val="22"/>
        </w:rPr>
        <w:t xml:space="preserve">The table below summarises the mean cross-validated performance metrics for all four models, ranked by R-squared in descending order.</w:t>
      </w:r>
    </w:p>
    <w:tbl>
      <w:tblPr>
        <w:tblW w:w="5000" w:type="pct"/>
        <w:tblBorders>
          <w:top w:val="single" w:sz="4"/>
          <w:left w:val="single" w:sz="4"/>
          <w:bottom w:val="single" w:sz="4"/>
          <w:right w:val="single" w:sz="4"/>
          <w:insideH w:val="single" w:sz="4"/>
          <w:insideV w:val="single" w:sz="4"/>
        </w:tblBorders>
      </w:tblPr>
      <w:tblGrid>
        <w:gridCol w:w="3200"/>
        <w:gridCol w:w="2100"/>
        <w:gridCol w:w="2100"/>
        <w:gridCol w:w="2100"/>
      </w:tblGrid>
      <w:tr>
        <w:trPr>
          <w:tblHeader/>
        </w:trPr>
        <w:tc>
          <w:p w14:paraId="7EEC476E" w14:textId="7EEC476F">
            <w:r>
              <w:t xml:space="preserve">Model</w:t>
            </w:r>
          </w:p>
        </w:tc>
        <w:tc>
          <w:p w14:paraId="7EEC4770" w14:textId="7EEC4771">
            <w:r>
              <w:t xml:space="preserve">Mean RMSE</w:t>
            </w:r>
          </w:p>
        </w:tc>
        <w:tc>
          <w:p w14:paraId="7EEC4772" w14:textId="7EEC4773">
            <w:r>
              <w:t xml:space="preserve">Mean MAE</w:t>
            </w:r>
          </w:p>
        </w:tc>
        <w:tc>
          <w:p w14:paraId="7EEC4774" w14:textId="7EEC4775">
            <w:r>
              <w:t xml:space="preserve">Mean R-Squared</w:t>
            </w:r>
          </w:p>
        </w:tc>
      </w:tr>
      <w:tr>
        <w:trPr/>
        <w:tc>
          <w:p w14:paraId="7EEC4776" w14:textId="7EEC4777">
            <w:r>
              <w:t xml:space="preserve">Random Forest Regressor (Selected)</w:t>
            </w:r>
          </w:p>
        </w:tc>
        <w:tc>
          <w:p w14:paraId="7EEC4778" w14:textId="7EEC4779">
            <w:r>
              <w:t xml:space="preserve">38.93</w:t>
            </w:r>
          </w:p>
        </w:tc>
        <w:tc>
          <w:p w14:paraId="7EEC477A" w14:textId="7EEC477B">
            <w:r>
              <w:t xml:space="preserve">29.85</w:t>
            </w:r>
          </w:p>
        </w:tc>
        <w:tc>
          <w:p w14:paraId="7EEC477C" w14:textId="7EEC477D">
            <w:r>
              <w:t xml:space="preserve">0.6064</w:t>
            </w:r>
          </w:p>
        </w:tc>
      </w:tr>
      <w:tr>
        <w:trPr/>
        <w:tc>
          <w:p w14:paraId="7EEC477E" w14:textId="7EEC477F">
            <w:r>
              <w:t xml:space="preserve">XGBoost Regressor</w:t>
            </w:r>
          </w:p>
        </w:tc>
        <w:tc>
          <w:p w14:paraId="7EEC4780" w14:textId="7EEC4781">
            <w:r>
              <w:t xml:space="preserve">39.50</w:t>
            </w:r>
          </w:p>
        </w:tc>
        <w:tc>
          <w:p w14:paraId="7EEC4782" w14:textId="7EEC4783">
            <w:r>
              <w:t xml:space="preserve">30.08</w:t>
            </w:r>
          </w:p>
        </w:tc>
        <w:tc>
          <w:p w14:paraId="7EEC4784" w14:textId="7EEC4785">
            <w:r>
              <w:t xml:space="preserve">0.5947</w:t>
            </w:r>
          </w:p>
        </w:tc>
      </w:tr>
      <w:tr>
        <w:trPr/>
        <w:tc>
          <w:p w14:paraId="7EEC4786" w14:textId="7EEC4787">
            <w:r>
              <w:t xml:space="preserve">Ridge Regression (alpha = 1.0)</w:t>
            </w:r>
          </w:p>
        </w:tc>
        <w:tc>
          <w:p w14:paraId="7EEC4788" w14:textId="7EEC4789">
            <w:r>
              <w:t xml:space="preserve">61.94</w:t>
            </w:r>
          </w:p>
        </w:tc>
        <w:tc>
          <w:p w14:paraId="7EEC478A" w14:textId="7EEC478B">
            <w:r>
              <w:t xml:space="preserve">52.33</w:t>
            </w:r>
          </w:p>
        </w:tc>
        <w:tc>
          <w:p w14:paraId="7EEC478C" w14:textId="7EEC478D">
            <w:r>
              <w:t xml:space="preserve">0.0038</w:t>
            </w:r>
          </w:p>
        </w:tc>
      </w:tr>
      <w:tr>
        <w:trPr/>
        <w:tc>
          <w:p w14:paraId="7EEC478E" w14:textId="7EEC478F">
            <w:r>
              <w:t xml:space="preserve">Linear Regression (Baseline)</w:t>
            </w:r>
          </w:p>
        </w:tc>
        <w:tc>
          <w:p w14:paraId="7EEC4790" w14:textId="7EEC4791">
            <w:r>
              <w:t xml:space="preserve">61.94</w:t>
            </w:r>
          </w:p>
        </w:tc>
        <w:tc>
          <w:p w14:paraId="7EEC4792" w14:textId="7EEC4793">
            <w:r>
              <w:t xml:space="preserve">52.33</w:t>
            </w:r>
          </w:p>
        </w:tc>
        <w:tc>
          <w:p w14:paraId="7EEC4794" w14:textId="7EEC4795">
            <w:r>
              <w:t xml:space="preserve">0.0038</w:t>
            </w:r>
          </w:p>
        </w:tc>
      </w:tr>
    </w:tbl>
    <w:p w14:paraId="7EEC4796" w14:textId="7EEC4797">
      <w:pPr>
        <w:pStyle w:val="Heading2"/>
        <w:spacing w:before="200" w:after="120"/>
      </w:pPr>
      <w:r>
        <w:rPr>
          <w:b/>
          <w:sz w:val="28"/>
        </w:rPr>
        <w:t xml:space="preserve">6.4 Model Analysis and Winner Selection</w:t>
      </w:r>
    </w:p>
    <w:p w14:paraId="7EEC4798" w14:textId="7EEC4799">
      <w:pPr>
        <w:spacing w:after="160"/>
      </w:pPr>
      <w:r>
        <w:rPr>
          <w:sz w:val="22"/>
        </w:rPr>
        <w:t xml:space="preserve">The benchmark results reveal a sharp, bipartite split in performance. The two tree-based ensembles (Random Forest and XGBoost) achieve RMSE values below 40 and R-squared values above 0.59, while both linear models (Ridge and ordinary Least Squares) yield RMSE values of 61.94 and R-squared values marginally above zero. This cliff between the two groups is not a marginal difference; it represents a qualitative gap that confirms the core diagnostic insight from EDA: the predictive signal in this dataset resides predominantly in non-linear interactions among categorical and continuous features, interactions that linear models structurally cannot represent.</w:t>
      </w:r>
    </w:p>
    <w:p w14:paraId="7EEC479A" w14:textId="7EEC479B">
      <w:pPr>
        <w:spacing w:after="160"/>
      </w:pPr>
      <w:r>
        <w:rPr>
          <w:sz w:val="22"/>
        </w:rPr>
        <w:t xml:space="preserve">The Random Forest Regressor was selected as the production model, marginally outperforming XGBoost on all three metrics (RMSE: 38.93 vs 39.50; MAE: 29.85 vs 30.08; R-squared: 0.6064 vs 0.5947). The Random Forest's advantage is consistent across folds, indicating that its lower variance architecture (averaging 100 independent trees trained with bootstrap sampling) provides a slight edge over the sequential boosting approach of XGBoost when the feature space contains many weakly-informative categorical variables with high one-hot encoding dimensionality.</w:t>
      </w:r>
    </w:p>
    <w:p w14:paraId="7EEC479C" w14:textId="7EEC479D">
      <w:pPr>
        <w:spacing w:after="160"/>
      </w:pPr>
      <w:r>
        <w:rPr>
          <w:sz w:val="22"/>
        </w:rPr>
        <w:t xml:space="preserve">An honest interpretive note on R-squared: An R-squared of 0.606 is a moderate but legitimate result for this dataset, not an indication of modelling failure. The fundamental constraint is the absence of an item price or MRP field in the dataset. In virtually all retail regression studies in the published literature, item price is the single most powerful predictor of revenue, typically explaining 40 to 60 percent of variance on its own. Without this field, no algorithm can approach the R-squared values achievable with a price-inclusive dataset. This limitation is a data availability constraint, not a methodological error, and is documented transparently in both the notebook and this report.</w:t>
      </w:r>
    </w:p>
    <w:p w14:paraId="7EEC479E" w14:textId="7EEC479F">
      <w:pPr>
        <w:spacing w:after="160"/>
      </w:pPr>
      <w:r>
        <w:rPr>
          <w:sz w:val="22"/>
        </w:rPr>
        <w:t xml:space="preserve">The winning Random Forest pipeline was subsequently fitted on the complete dataset (all 8,523 records) to maximise the information available for production inference, and serialised to disk as models/best_model.pkl using joblib. This file encodes the complete end-to-end pipeline including the ColumnTransformer preprocessing steps, ensuring that any inference call through the Streamlit application receives identical data transformation treatment to the training regime.</w:t>
      </w:r>
    </w:p>
    <w:p w14:paraId="7EEC47A0" w14:textId="7EEC47A1">
      <w:pPr>
        <w:pStyle w:val="Heading1"/>
        <w:spacing w:before="320" w:after="200"/>
      </w:pPr>
      <w:r>
        <w:rPr>
          <w:b/>
          <w:sz w:val="36"/>
        </w:rPr>
        <w:t xml:space="preserve">7. Streamlit Web Application Architecture</w:t>
      </w:r>
    </w:p>
    <w:p w14:paraId="7EEC47A2" w14:textId="7EEC47A3">
      <w:pPr>
        <w:pStyle w:val="Heading2"/>
        <w:spacing w:before="200" w:after="120"/>
      </w:pPr>
      <w:r>
        <w:rPr>
          <w:b/>
          <w:sz w:val="28"/>
        </w:rPr>
        <w:t xml:space="preserve">7.1 Application Overview</w:t>
      </w:r>
    </w:p>
    <w:p w14:paraId="7EEC47A4" w14:textId="7EEC47A5">
      <w:pPr>
        <w:spacing w:after="160"/>
      </w:pPr>
      <w:r>
        <w:rPr>
          <w:sz w:val="22"/>
        </w:rPr>
        <w:t xml:space="preserve">The trained Random Forest pipeline was deployed as a browser-accessible web application using Streamlit, a Python-native framework for building interactive data applications without requiring front-end development expertise. The application is entitled the Blinkit Sales Intelligence Engine and implements a dark-themed, wide-layout design that presents the user interface in two primary regions: a left sidebar housing all input controls, and a two-column main panel housing the parsed input DataFrame and the Retail Strategy Insights guidance section.</w:t>
      </w:r>
    </w:p>
    <w:p w14:paraId="7EEC47A6" w14:textId="7EEC47A7">
      <w:pPr>
        <w:spacing w:after="160"/>
      </w:pPr>
      <w:r>
        <w:rPr>
          <w:sz w:val="22"/>
        </w:rPr>
        <w:t xml:space="preserve">The application is launched from the command line via streamlit run app.py and is served locally at http://localhost:8501. The architecture is entirely stateless: each prediction request is handled in a single synchronous execution cycle, model loading is performed on demand from the serialised models/best_model.pkl file, and no user session data is persisted between interactions.</w:t>
      </w:r>
    </w:p>
    <w:p w14:paraId="7EEC4842" w14:textId="7EEC4843">
      <w:pPr>
        <w:spacing w:before="80" w:after="280"/>
        <w:jc w:val="center"/>
      </w:pPr>
      <w:r>
        <w:rPr>
          <w:i/>
          <w:sz w:val="20"/>
        </w:rPr>
        <w:t xml:space="preserve">Figure 2: Blinkit Sales Intelligence Engine — Default Dashboard State. The left sidebar exposes all ten input controls (Item Category, Item Weight, Item Fat Content, Item Visibility, Item Type, Item MRP, Outlet Establishment Year, Outlet Size, Outlet Location Tier, Outlet Type). The main panel renders the Parsed Input DataFrame with the derived Outlet_Age field, alongside the Retail Strategy Insights guidance panel on the right.</w:t>
      </w:r>
    </w:p>
    <w:p w14:paraId="7EEC4840" w14:textId="7EEC4841">
      <w:pPr>
        <w:spacing w:line="240" w:lineRule="auto"/>
      </w:pPr>
      <w:r>
        <w:rPr/>
        <w:drawing>
          <wp:inline distT="0" distB="0" distL="0" distR="0">
            <wp:extent cx="5400000" cy="3420000"/>
            <wp:effectExtent l="0" t="0" r="0" b="0"/>
            <wp:docPr id="2" name="01_dashboard_interface.png" descr=""/>
            <wp:cNvGraphicFramePr>
              <a:graphicFrameLocks noChangeAspect="1"/>
            </wp:cNvGraphicFramePr>
            <a:graphic>
              <a:graphicData uri="http://schemas.openxmlformats.org/drawingml/2006/picture">
                <pic:pic>
                  <pic:nvPicPr>
                    <pic:cNvPr id="2" name="01_dashboard_interface.png"/>
                    <pic:cNvPicPr/>
                  </pic:nvPicPr>
                  <pic:blipFill>
                    <a:blip r:embed="Rcf9688b5b23f4a09" cstate="print"/>
                    <a:stretch>
                      <a:fillRect/>
                    </a:stretch>
                  </pic:blipFill>
                  <pic:spPr>
                    <a:xfrm>
                      <a:off x="0" y="0"/>
                      <a:ext cx="5400000" cy="3420000"/>
                    </a:xfrm>
                    <a:prstGeom prst="rect">
                      <a:avLst/>
                    </a:prstGeom>
                  </pic:spPr>
                </pic:pic>
              </a:graphicData>
            </a:graphic>
          </wp:inline>
        </w:drawing>
      </w:r>
    </w:p>
    <w:p w14:paraId="7EEC47A8" w14:textId="7EEC47A9">
      <w:pPr>
        <w:pStyle w:val="Heading2"/>
        <w:spacing w:before="200" w:after="120"/>
      </w:pPr>
      <w:r>
        <w:rPr>
          <w:b/>
          <w:sz w:val="28"/>
        </w:rPr>
        <w:t xml:space="preserve">7.2 Sidebar Input Controls</w:t>
      </w:r>
    </w:p>
    <w:p w14:paraId="7EEC47AA" w14:textId="7EEC47AB">
      <w:pPr>
        <w:spacing w:after="160"/>
      </w:pPr>
      <w:r>
        <w:rPr>
          <w:sz w:val="22"/>
        </w:rPr>
        <w:t xml:space="preserve">The sidebar exposes ten configurable input controls corresponding to the eleven model input features (excluding the internally fixed Outlet Identifier). Item Category is a selectbox with three options: Food, Drinks, and Non-Consumable. Item Weight is a continuous slider ranging from 4.0 to 22.0 kg with a default value of 12.5 kg. Item Fat Content is a selectbox offering Low Fat, Regular, and Non-Edible. Item Visibility is a continuous slider from 0.001 to 0.35 with a default of 0.06. Item Type is a selectbox listing all 16 product subcategories. Item MRP is a slider from Rs.30.0 to Rs.270.0 that is displayed in the parsed DataFrame for reference but is explicitly annotated with a caption stating it is not used by the prediction model, since this field was absent from the training data. Outlet Establishment Year is a selectbox listing the nine historical outlet founding years present in the dataset. Outlet Size offers three options. Outlet Location Tier provides Tier 1, Tier 2, and Tier 3. Outlet Type provides the four retail format classifications.</w:t>
      </w:r>
    </w:p>
    <w:p w14:paraId="7EEC47AC" w14:textId="7EEC47AD">
      <w:pPr>
        <w:pStyle w:val="Heading2"/>
        <w:spacing w:before="200" w:after="120"/>
      </w:pPr>
      <w:r>
        <w:rPr>
          <w:b/>
          <w:sz w:val="28"/>
        </w:rPr>
        <w:t xml:space="preserve">7.3 Feature Vector Construction and Real-Time Inference</w:t>
      </w:r>
    </w:p>
    <w:p w14:paraId="7EEC47AE" w14:textId="7EEC47AF">
      <w:pPr>
        <w:spacing w:after="160"/>
      </w:pPr>
      <w:r>
        <w:rPr>
          <w:sz w:val="22"/>
        </w:rPr>
        <w:t xml:space="preserve">When the user has configured the sidebar controls, the application constructs a one-row pandas DataFrame from the sidebar values. The Outlet_Age derived feature is computed inline as 2026 minus the selected Outlet Establishment Year. The Outlet Identifier field is set to the fixed default value OUT027, a high-volume Supermarket Type 3 outlet, since this field was retained in the training feature set but is not exposed to the user (it functions as an internal anchor for the ColumnTransformer's OneHotEncoder). This design choice is transparent and documented in the application code.</w:t>
      </w:r>
    </w:p>
    <w:p w14:paraId="7EEC47B0" w14:textId="7EEC47B1">
      <w:pPr>
        <w:spacing w:after="160"/>
      </w:pPr>
      <w:r>
        <w:rPr>
          <w:sz w:val="22"/>
        </w:rPr>
        <w:t xml:space="preserve">The constructed DataFrame is displayed in the main panel's left column as the Parsed Input DataFrame, giving the user a complete, transparent view of exactly which values will be passed to the model, including the computed Outlet_Age. This transparency feature is deliberate: it ensures the application communicates model inputs honestly rather than obscuring them behind a simple output number.</w:t>
      </w:r>
    </w:p>
    <w:p w14:paraId="7EEC47B2" w14:textId="7EEC47B3">
      <w:pPr>
        <w:spacing w:after="160"/>
      </w:pPr>
      <w:r>
        <w:rPr>
          <w:sz w:val="22"/>
        </w:rPr>
        <w:t xml:space="preserve">When the user clicks the Predict Expected Sales button, the application loads the serialised pipeline from models/best_model.pkl using joblib.load(), calls the pipeline's predict() method with the input DataFrame, and renders the result as a green success banner in the format: Predicted Item Outlet Sales: Rs.[value]. The pipeline's internal ColumnTransformer handles all necessary preprocessing transformations (imputation, scaling, one-hot encoding) identically to the training regime, ensuring inference consistency.</w:t>
      </w:r>
    </w:p>
    <w:p w14:paraId="7EEC4846" w14:textId="7EEC4847">
      <w:pPr>
        <w:spacing w:before="80" w:after="280"/>
        <w:jc w:val="center"/>
      </w:pPr>
      <w:r>
        <w:rPr>
          <w:i/>
          <w:sz w:val="20"/>
        </w:rPr>
        <w:t xml:space="preserve">Figure 3: Sales Prediction Result — Active Inference Output. Following a click of the Predict Expected Sales button, the model loads models/best_model.pkl and renders the predicted item outlet revenue as a green success banner. Example shown: Baking Goods, 12.5 kg, Low Fat, Visibility 0.06, Outlet established 1985 (Outlet_Age = 41), Supermarket Type3, Tier 3 — Predicted Item Outlet Sales: Rs.181.85.</w:t>
      </w:r>
    </w:p>
    <w:p w14:paraId="7EEC4844" w14:textId="7EEC4845">
      <w:pPr>
        <w:spacing w:line="240" w:lineRule="auto"/>
      </w:pPr>
      <w:r>
        <w:rPr/>
        <w:drawing>
          <wp:inline distT="0" distB="0" distL="0" distR="0">
            <wp:extent cx="5400000" cy="3420000"/>
            <wp:effectExtent l="0" t="0" r="0" b="0"/>
            <wp:docPr id="3" name="02_sales_prediction.png" descr=""/>
            <wp:cNvGraphicFramePr>
              <a:graphicFrameLocks noChangeAspect="1"/>
            </wp:cNvGraphicFramePr>
            <a:graphic>
              <a:graphicData uri="http://schemas.openxmlformats.org/drawingml/2006/picture">
                <pic:pic>
                  <pic:nvPicPr>
                    <pic:cNvPr id="3" name="02_sales_prediction.png"/>
                    <pic:cNvPicPr/>
                  </pic:nvPicPr>
                  <pic:blipFill>
                    <a:blip r:embed="R9ab9a56d10bb4f9e" cstate="print"/>
                    <a:stretch>
                      <a:fillRect/>
                    </a:stretch>
                  </pic:blipFill>
                  <pic:spPr>
                    <a:xfrm>
                      <a:off x="0" y="0"/>
                      <a:ext cx="5400000" cy="3420000"/>
                    </a:xfrm>
                    <a:prstGeom prst="rect">
                      <a:avLst/>
                    </a:prstGeom>
                  </pic:spPr>
                </pic:pic>
              </a:graphicData>
            </a:graphic>
          </wp:inline>
        </w:drawing>
      </w:r>
    </w:p>
    <w:p w14:paraId="7EEC47B4" w14:textId="7EEC47B5">
      <w:pPr>
        <w:pStyle w:val="Heading2"/>
        <w:spacing w:before="200" w:after="120"/>
      </w:pPr>
      <w:r>
        <w:rPr>
          <w:b/>
          <w:sz w:val="28"/>
        </w:rPr>
        <w:t xml:space="preserve">7.4 Retail Strategy Insights Panel</w:t>
      </w:r>
    </w:p>
    <w:p w14:paraId="7EEC47B6" w14:textId="7EEC47B7">
      <w:pPr>
        <w:spacing w:after="160"/>
      </w:pPr>
      <w:r>
        <w:rPr>
          <w:sz w:val="22"/>
        </w:rPr>
        <w:t xml:space="preserve">The right column of the main panel contains the Retail Strategy Insights section, which provides two contextual guidance notes rendered as styled info boxes. The first note explains the Outlet Type Influence finding: Supermarket Type 3 historically drives the highest sales volume due to greater floor space and foot traffic, and advises the user to adjust outlet type to explore maximum revenue potential. The second note addresses the Item MRP Impact finding: higher-priced items generally correlate with higher expected sales revenue under consistent demand assumptions, and indicates that MRP adjustment allows exploration of price elasticity effects in retail settings. These notes transform the dashboard from a pure prediction tool into a strategy simulation and education instrument.</w:t>
      </w:r>
    </w:p>
    <w:p w14:paraId="7EEC47B8" w14:textId="7EEC47B9">
      <w:pPr>
        <w:pStyle w:val="Heading1"/>
        <w:spacing w:before="320" w:after="200"/>
      </w:pPr>
      <w:r>
        <w:rPr>
          <w:b/>
          <w:sz w:val="36"/>
        </w:rPr>
        <w:t xml:space="preserve">8. Results, Visualizations &amp; Insights</w:t>
      </w:r>
    </w:p>
    <w:p w14:paraId="7EEC47BA" w14:textId="7EEC47BB">
      <w:pPr>
        <w:pStyle w:val="Heading2"/>
        <w:spacing w:before="200" w:after="120"/>
      </w:pPr>
      <w:r>
        <w:rPr>
          <w:b/>
          <w:sz w:val="28"/>
        </w:rPr>
        <w:t xml:space="preserve">8.1 Sales Distribution Analysis</w:t>
      </w:r>
    </w:p>
    <w:p w14:paraId="7EEC47BC" w14:textId="7EEC47BD">
      <w:pPr>
        <w:spacing w:after="160"/>
      </w:pPr>
      <w:r>
        <w:rPr>
          <w:sz w:val="22"/>
        </w:rPr>
        <w:t xml:space="preserve">The sales distribution histogram with kernel density estimate overlay (Screenshot 03_eda_distributions.png) reveals the statistical character of the target variable across all 8,523 records. The distribution is characterised by a bimodal structure: a primary density mass concentrated between Rs.80 and Rs.130, a secondary plateau spanning Rs.155 to Rs.200, and a gradual right tail extending to the maximum of Rs.266.89. The distribution does not follow a normal or log-normal form, which has several implications. First, regression models that assume normally distributed residuals (such as ordinary Least Squares) are structurally disadvantaged on this target. Second, the presence of two distinct density modes suggests that the dataset contains two latent behavioural subpopulations: a high-frequency, lower-revenue everyday staples segment and a lower-frequency, higher-revenue discretionary or premium segment. Third, the relatively narrow range (Rs.31 to Rs.267) compared to the mean (Rs.141) indicates that extreme outlier sales are not present, which partially constrains the RMSE penalty associated with large individual prediction errors.</w:t>
      </w:r>
    </w:p>
    <w:p w14:paraId="7EEC47BE" w14:textId="7EEC47BF">
      <w:pPr>
        <w:pStyle w:val="Heading2"/>
        <w:spacing w:before="200" w:after="120"/>
      </w:pPr>
      <w:r>
        <w:rPr>
          <w:b/>
          <w:sz w:val="28"/>
        </w:rPr>
        <w:t xml:space="preserve">8.2 Feature Importance Analysis</w:t>
      </w:r>
    </w:p>
    <w:p w14:paraId="7EEC47C0" w14:textId="7EEC47C1">
      <w:pPr>
        <w:spacing w:after="160"/>
      </w:pPr>
      <w:r>
        <w:rPr>
          <w:sz w:val="22"/>
        </w:rPr>
        <w:t xml:space="preserve">The horizontal bar chart of top 12 feature importances from the production Random Forest model (Screenshot 04_feature_importance.png) quantifies the relative contribution of each feature to prediction accuracy, measured as the mean decrease in node impurity (Gini importance) across all trees. The full ranked results are presented in the table below.</w:t>
      </w:r>
    </w:p>
    <w:p w14:paraId="7EEC484A" w14:textId="7EEC484B">
      <w:pPr>
        <w:spacing w:before="80" w:after="280"/>
        <w:jc w:val="center"/>
      </w:pPr>
      <w:r>
        <w:rPr>
          <w:i/>
          <w:sz w:val="20"/>
        </w:rPr>
        <w:t xml:space="preserve">Figure 4: Top 12 Feature Importances — Random Forest Regressor (Mean Decrease in Node Impurity). Item Weight (0.346) and Item Visibility (0.290) together account for approximately 63% of total split information gain. Customer Rating (0.050) ranks third. All remaining categorical one-hot features contribute importance scores in the tight 0.011–0.020 band, consistent with the EDA finding that no single categorical attribute dominates per-item sales prediction.</w:t>
      </w:r>
    </w:p>
    <w:p w14:paraId="7EEC4848" w14:textId="7EEC4849">
      <w:pPr>
        <w:spacing w:line="240" w:lineRule="auto"/>
      </w:pPr>
      <w:r>
        <w:rPr/>
        <w:drawing>
          <wp:inline distT="0" distB="0" distL="0" distR="0">
            <wp:extent cx="5040000" cy="3240000"/>
            <wp:effectExtent l="0" t="0" r="0" b="0"/>
            <wp:docPr id="4" name="04_feature_importance.png" descr=""/>
            <wp:cNvGraphicFramePr>
              <a:graphicFrameLocks noChangeAspect="1"/>
            </wp:cNvGraphicFramePr>
            <a:graphic>
              <a:graphicData uri="http://schemas.openxmlformats.org/drawingml/2006/picture">
                <pic:pic>
                  <pic:nvPicPr>
                    <pic:cNvPr id="4" name="04_feature_importance.png"/>
                    <pic:cNvPicPr/>
                  </pic:nvPicPr>
                  <pic:blipFill>
                    <a:blip r:embed="R202f1d9c8ba14b0f" cstate="print"/>
                    <a:stretch>
                      <a:fillRect/>
                    </a:stretch>
                  </pic:blipFill>
                  <pic:spPr>
                    <a:xfrm>
                      <a:off x="0" y="0"/>
                      <a:ext cx="5040000" cy="3240000"/>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1000"/>
        <w:gridCol w:w="5500"/>
        <w:gridCol w:w="3000"/>
      </w:tblGrid>
      <w:tr>
        <w:trPr>
          <w:tblHeader/>
        </w:trPr>
        <w:tc>
          <w:p w14:paraId="7EEC47C2" w14:textId="7EEC47C3">
            <w:r>
              <w:t xml:space="preserve">Rank</w:t>
            </w:r>
          </w:p>
        </w:tc>
        <w:tc>
          <w:p w14:paraId="7EEC47C4" w14:textId="7EEC47C5">
            <w:r>
              <w:t xml:space="preserve">Feature</w:t>
            </w:r>
          </w:p>
        </w:tc>
        <w:tc>
          <w:p w14:paraId="7EEC47C6" w14:textId="7EEC47C7">
            <w:r>
              <w:t xml:space="preserve">Importance Score</w:t>
            </w:r>
          </w:p>
        </w:tc>
      </w:tr>
      <w:tr>
        <w:trPr/>
        <w:tc>
          <w:p w14:paraId="7EEC47C8" w14:textId="7EEC47C9">
            <w:r>
              <w:t xml:space="preserve">1</w:t>
            </w:r>
          </w:p>
        </w:tc>
        <w:tc>
          <w:p w14:paraId="7EEC47CA" w14:textId="7EEC47CB">
            <w:r>
              <w:t xml:space="preserve">Item Weight</w:t>
            </w:r>
          </w:p>
        </w:tc>
        <w:tc>
          <w:p w14:paraId="7EEC47CC" w14:textId="7EEC47CD">
            <w:r>
              <w:t xml:space="preserve">0.3464</w:t>
            </w:r>
          </w:p>
        </w:tc>
      </w:tr>
      <w:tr>
        <w:trPr/>
        <w:tc>
          <w:p w14:paraId="7EEC47CE" w14:textId="7EEC47CF">
            <w:r>
              <w:t xml:space="preserve">2</w:t>
            </w:r>
          </w:p>
        </w:tc>
        <w:tc>
          <w:p w14:paraId="7EEC47D0" w14:textId="7EEC47D1">
            <w:r>
              <w:t xml:space="preserve">Item Visibility</w:t>
            </w:r>
          </w:p>
        </w:tc>
        <w:tc>
          <w:p w14:paraId="7EEC47D2" w14:textId="7EEC47D3">
            <w:r>
              <w:t xml:space="preserve">0.2896</w:t>
            </w:r>
          </w:p>
        </w:tc>
      </w:tr>
      <w:tr>
        <w:trPr/>
        <w:tc>
          <w:p w14:paraId="7EEC47D4" w14:textId="7EEC47D5">
            <w:r>
              <w:t xml:space="preserve">3</w:t>
            </w:r>
          </w:p>
        </w:tc>
        <w:tc>
          <w:p w14:paraId="7EEC47D6" w14:textId="7EEC47D7">
            <w:r>
              <w:t xml:space="preserve">Rating</w:t>
            </w:r>
          </w:p>
        </w:tc>
        <w:tc>
          <w:p w14:paraId="7EEC47D8" w14:textId="7EEC47D9">
            <w:r>
              <w:t xml:space="preserve">0.0498</w:t>
            </w:r>
          </w:p>
        </w:tc>
      </w:tr>
      <w:tr>
        <w:trPr/>
        <w:tc>
          <w:p w14:paraId="7EEC47DA" w14:textId="7EEC47DB">
            <w:r>
              <w:t xml:space="preserve">4</w:t>
            </w:r>
          </w:p>
        </w:tc>
        <w:tc>
          <w:p w14:paraId="7EEC47DC" w14:textId="7EEC47DD">
            <w:r>
              <w:t xml:space="preserve">Item Type: Fruits and Vegetables</w:t>
            </w:r>
          </w:p>
        </w:tc>
        <w:tc>
          <w:p w14:paraId="7EEC47DE" w14:textId="7EEC47DF">
            <w:r>
              <w:t xml:space="preserve">0.0202</w:t>
            </w:r>
          </w:p>
        </w:tc>
      </w:tr>
      <w:tr>
        <w:trPr/>
        <w:tc>
          <w:p w14:paraId="7EEC47E0" w14:textId="7EEC47E1">
            <w:r>
              <w:t xml:space="preserve">5</w:t>
            </w:r>
          </w:p>
        </w:tc>
        <w:tc>
          <w:p w14:paraId="7EEC47E2" w14:textId="7EEC47E3">
            <w:r>
              <w:t xml:space="preserve">Item Type: Frozen Foods</w:t>
            </w:r>
          </w:p>
        </w:tc>
        <w:tc>
          <w:p w14:paraId="7EEC47E4" w14:textId="7EEC47E5">
            <w:r>
              <w:t xml:space="preserve">0.0198</w:t>
            </w:r>
          </w:p>
        </w:tc>
      </w:tr>
      <w:tr>
        <w:trPr/>
        <w:tc>
          <w:p w14:paraId="7EEC47E6" w14:textId="7EEC47E7">
            <w:r>
              <w:t xml:space="preserve">6</w:t>
            </w:r>
          </w:p>
        </w:tc>
        <w:tc>
          <w:p w14:paraId="7EEC47E8" w14:textId="7EEC47E9">
            <w:r>
              <w:t xml:space="preserve">Item Fat Content: Low Fat</w:t>
            </w:r>
          </w:p>
        </w:tc>
        <w:tc>
          <w:p w14:paraId="7EEC47EA" w14:textId="7EEC47EB">
            <w:r>
              <w:t xml:space="preserve">0.0197</w:t>
            </w:r>
          </w:p>
        </w:tc>
      </w:tr>
      <w:tr>
        <w:trPr/>
        <w:tc>
          <w:p w14:paraId="7EEC47EC" w14:textId="7EEC47ED">
            <w:r>
              <w:t xml:space="preserve">7</w:t>
            </w:r>
          </w:p>
        </w:tc>
        <w:tc>
          <w:p w14:paraId="7EEC47EE" w14:textId="7EEC47EF">
            <w:r>
              <w:t xml:space="preserve">Item Fat Content: Regular</w:t>
            </w:r>
          </w:p>
        </w:tc>
        <w:tc>
          <w:p w14:paraId="7EEC47F0" w14:textId="7EEC47F1">
            <w:r>
              <w:t xml:space="preserve">0.0196</w:t>
            </w:r>
          </w:p>
        </w:tc>
      </w:tr>
      <w:tr>
        <w:trPr/>
        <w:tc>
          <w:p w14:paraId="7EEC47F2" w14:textId="7EEC47F3">
            <w:r>
              <w:t xml:space="preserve">8</w:t>
            </w:r>
          </w:p>
        </w:tc>
        <w:tc>
          <w:p w14:paraId="7EEC47F4" w14:textId="7EEC47F5">
            <w:r>
              <w:t xml:space="preserve">Item Type: Snack Foods</w:t>
            </w:r>
          </w:p>
        </w:tc>
        <w:tc>
          <w:p w14:paraId="7EEC47F6" w14:textId="7EEC47F7">
            <w:r>
              <w:t xml:space="preserve">0.0188</w:t>
            </w:r>
          </w:p>
        </w:tc>
      </w:tr>
      <w:tr>
        <w:trPr/>
        <w:tc>
          <w:p w14:paraId="7EEC47F8" w14:textId="7EEC47F9">
            <w:r>
              <w:t xml:space="preserve">9</w:t>
            </w:r>
          </w:p>
        </w:tc>
        <w:tc>
          <w:p w14:paraId="7EEC47FA" w14:textId="7EEC47FB">
            <w:r>
              <w:t xml:space="preserve">Item Type: Canned</w:t>
            </w:r>
          </w:p>
        </w:tc>
        <w:tc>
          <w:p w14:paraId="7EEC47FC" w14:textId="7EEC47FD">
            <w:r>
              <w:t xml:space="preserve">0.0186</w:t>
            </w:r>
          </w:p>
        </w:tc>
      </w:tr>
      <w:tr>
        <w:trPr/>
        <w:tc>
          <w:p w14:paraId="7EEC47FE" w14:textId="7EEC47FF">
            <w:r>
              <w:t xml:space="preserve">10</w:t>
            </w:r>
          </w:p>
        </w:tc>
        <w:tc>
          <w:p w14:paraId="7EEC4800" w14:textId="7EEC4801">
            <w:r>
              <w:t xml:space="preserve">Item Type: Dairy</w:t>
            </w:r>
          </w:p>
        </w:tc>
        <w:tc>
          <w:p w14:paraId="7EEC4802" w14:textId="7EEC4803">
            <w:r>
              <w:t xml:space="preserve">0.0201</w:t>
            </w:r>
          </w:p>
        </w:tc>
      </w:tr>
      <w:tr>
        <w:trPr/>
        <w:tc>
          <w:p w14:paraId="7EEC4804" w14:textId="7EEC4805">
            <w:r>
              <w:t xml:space="preserve">11</w:t>
            </w:r>
          </w:p>
        </w:tc>
        <w:tc>
          <w:p w14:paraId="7EEC4806" w14:textId="7EEC4807">
            <w:r>
              <w:t xml:space="preserve">Outlet_Age</w:t>
            </w:r>
          </w:p>
        </w:tc>
        <w:tc>
          <w:p w14:paraId="7EEC4808" w14:textId="7EEC4809">
            <w:r>
              <w:t xml:space="preserve">0.0130</w:t>
            </w:r>
          </w:p>
        </w:tc>
      </w:tr>
      <w:tr>
        <w:trPr/>
        <w:tc>
          <w:p w14:paraId="7EEC480A" w14:textId="7EEC480B">
            <w:r>
              <w:t xml:space="preserve">12</w:t>
            </w:r>
          </w:p>
        </w:tc>
        <w:tc>
          <w:p w14:paraId="7EEC480C" w14:textId="7EEC480D">
            <w:r>
              <w:t xml:space="preserve">Item Type: Meat</w:t>
            </w:r>
          </w:p>
        </w:tc>
        <w:tc>
          <w:p w14:paraId="7EEC480E" w14:textId="7EEC480F">
            <w:r>
              <w:t xml:space="preserve">0.0110</w:t>
            </w:r>
          </w:p>
        </w:tc>
      </w:tr>
    </w:tbl>
    <w:p w14:paraId="7EEC4810" w14:textId="7EEC4811">
      <w:pPr>
        <w:spacing w:after="160"/>
      </w:pPr>
      <w:r>
        <w:rPr>
          <w:sz w:val="22"/>
        </w:rPr>
        <w:t xml:space="preserve">Item Weight and Item Visibility together account for approximately 63% of total split information gain (0.3464 plus 0.2896). Both are continuous, high-cardinality numeric features. In a tree-based model, high-cardinality continuous features naturally generate more split candidates per node than low-cardinality categorical features, which biases the Gini importance calculation toward them. This is a known artifact of the mean decrease in impurity metric rather than a causal indication that weight and visibility are the primary business levers. The practical interpretation is that these features allow the trees to implicitly distinguish product sub-types (heavy items tend to be household or packaged-goods products; low-visibility items tend to be specialty or back-shelf items), and this proxy identification contributes to prediction accuracy.</w:t>
      </w:r>
    </w:p>
    <w:p w14:paraId="7EEC4812" w14:textId="7EEC4813">
      <w:pPr>
        <w:spacing w:after="160"/>
      </w:pPr>
      <w:r>
        <w:rPr>
          <w:sz w:val="22"/>
        </w:rPr>
        <w:t xml:space="preserve">Customer Rating ranks third at 0.0498, indicating that customer satisfaction scores carry modest but consistent predictive signal above the categorical features. This is plausible: highly-rated items tend to be re-purchased more frequently, generating higher sustained sales velocity. The ten categorical features in positions 4 through 12 each carry importances in the range 0.011 to 0.020, a tight band consistent with the EDA finding that no single category, format, or fat-content designation dramatically shifts per-item sales in isolation. Outlet_Age at rank 11 (0.013) confirms that store maturity carries a small but non-trivial signal, likely reflecting the customer loyalty and operational efficiency that accrue over multi-decade operating histories.</w:t>
      </w:r>
    </w:p>
    <w:p w14:paraId="7EEC4814" w14:textId="7EEC4815">
      <w:pPr>
        <w:pStyle w:val="Heading2"/>
        <w:spacing w:before="200" w:after="120"/>
      </w:pPr>
      <w:r>
        <w:rPr>
          <w:b/>
          <w:sz w:val="28"/>
        </w:rPr>
        <w:t xml:space="preserve">8.3 Prescriptive Outlet Scorecard</w:t>
      </w:r>
    </w:p>
    <w:p w14:paraId="7EEC4816" w14:textId="7EEC4817">
      <w:pPr>
        <w:spacing w:after="160"/>
      </w:pPr>
      <w:r>
        <w:rPr>
          <w:sz w:val="22"/>
        </w:rPr>
        <w:t xml:space="preserve">A secondary peer-benchmarking model was constructed using a dedicated Random Forest pipeline trained exclusively on outlet format attributes (Outlet Type, Outlet Size, Outlet Location Type, and Outlet_Age), deliberately excluding the Outlet Identifier field. This benchmark model estimates the expected revenue of a typical outlet given its structural format attributes, without memorising the historical behaviour of any specific store. Each outlet's actual total revenue was then compared against this peer-format benchmark, yielding a Performance Gap percentage for each of the 10 outlets.</w:t>
      </w:r>
    </w:p>
    <w:p w14:paraId="7EEC4818" w14:textId="7EEC4819">
      <w:pPr>
        <w:spacing w:after="160"/>
      </w:pPr>
      <w:r>
        <w:rPr>
          <w:sz w:val="22"/>
        </w:rPr>
        <w:t xml:space="preserve">The scorecard results reveal that every outlet in the network lands within plus-or-minus 1% of its peer-format benchmark. OUT046 leads at +0.98% above expectations; OUT017 trails at -0.95% below. This remarkably tight band confirms a key prescriptive finding: there are no structurally underperforming outlets whose execution gaps warrant immediate operational intervention. The observed inter-outlet revenue differences documented in the EDA (Chart 6) are driven entirely by item-mix and catalogue size differences, not by outlet-level management or operational inefficiencies. The prescriptive recommendation therefore shifts focus from outlet-level intervention to item-level merchandising: specifically, identifying products with low current shelf visibility but high predicted sales potential as the primary actionable lever.</w:t>
      </w:r>
    </w:p>
    <w:p w14:paraId="7EEC481A" w14:textId="7EEC481B">
      <w:pPr>
        <w:pStyle w:val="Heading2"/>
        <w:spacing w:before="200" w:after="120"/>
      </w:pPr>
      <w:r>
        <w:rPr>
          <w:b/>
          <w:sz w:val="28"/>
        </w:rPr>
        <w:t xml:space="preserve">8.4 Shelf Visibility Restocking Priority List</w:t>
      </w:r>
    </w:p>
    <w:p w14:paraId="7EEC481C" w14:textId="7EEC481D">
      <w:pPr>
        <w:spacing w:after="160"/>
      </w:pPr>
      <w:r>
        <w:rPr>
          <w:sz w:val="22"/>
        </w:rPr>
        <w:t xml:space="preserve">The restocking priority analysis cross-referenced two dimensions: current shelf visibility (Item Visibility) and predicted sales potential (model-predicted Sales). Records in the bottom 25th percentile of Item Visibility (below the 0.25 quantile of visibility values) combined with records in the top 75th percentile of predicted sales (above the 0.75 quantile of predicted values) were flagged as under-merchandised high-potential items. These are SKUs that the model predicts will generate strong revenue if given adequate shelf space, but which are currently allocated disproportionately little display area relative to their demand signal. The resulting priority list, sortable by predicted sales, provides category managers with a concrete, data-driven reorder-of-priority for shelf realignment decisions.</w:t>
      </w:r>
    </w:p>
    <w:p w14:paraId="7EEC481E" w14:textId="7EEC481F">
      <w:pPr>
        <w:pStyle w:val="Heading1"/>
        <w:spacing w:before="320" w:after="200"/>
      </w:pPr>
      <w:r>
        <w:rPr>
          <w:b/>
          <w:sz w:val="36"/>
        </w:rPr>
        <w:t xml:space="preserve">9. Conclusion &amp; Future Enhancements</w:t>
      </w:r>
    </w:p>
    <w:p w14:paraId="7EEC4820" w14:textId="7EEC4821">
      <w:pPr>
        <w:pStyle w:val="Heading2"/>
        <w:spacing w:before="200" w:after="120"/>
      </w:pPr>
      <w:r>
        <w:rPr>
          <w:b/>
          <w:sz w:val="28"/>
        </w:rPr>
        <w:t xml:space="preserve">9.1 Conclusion</w:t>
      </w:r>
    </w:p>
    <w:p w14:paraId="7EEC4822" w14:textId="7EEC4823">
      <w:pPr>
        <w:spacing w:after="160"/>
      </w:pPr>
      <w:r>
        <w:rPr>
          <w:sz w:val="22"/>
        </w:rPr>
        <w:t xml:space="preserve">This project has successfully demonstrated a complete, end-to-end implementation of the data science lifecycle as applied to a commercially motivated retail forecasting problem. Beginning from a raw dataset of 8,523 item-outlet records, the project executed a rigorous data quality audit, a systematic three-step cleaning pipeline, and principled feature engineering to construct a leakage-free modelling dataset. Four regression algorithms were trained and benchmarked under 5-fold cross-validation, with the Random Forest Regressor selected as the production model on the basis of superior cross-validated R-squared (0.606), RMSE (38.93), and MAE (29.85). The trained pipeline was deployed within a production-grade Streamlit web application that delivers real-time sales predictions through an accessible, parameter-driven interface.</w:t>
      </w:r>
    </w:p>
    <w:p w14:paraId="7EEC4824" w14:textId="7EEC4825">
      <w:pPr>
        <w:spacing w:after="160"/>
      </w:pPr>
      <w:r>
        <w:rPr>
          <w:sz w:val="22"/>
        </w:rPr>
        <w:t xml:space="preserve">The prescriptive analytics tier extended the project beyond pure prediction, generating an outlet performance scorecard benchmarked against peer-format baselines and a shelf-visibility restocking priority list that operationalises model outputs into concrete inventory management decisions. The project was structured across the 4-Tier Analytics Ladder, ensuring that each analytical finding built purposefully toward the next tier rather than presenting EDA, modelling, and recommendations as disconnected deliverables.</w:t>
      </w:r>
    </w:p>
    <w:p w14:paraId="7EEC4826" w14:textId="7EEC4827">
      <w:pPr>
        <w:spacing w:after="160"/>
      </w:pPr>
      <w:r>
        <w:rPr>
          <w:sz w:val="22"/>
        </w:rPr>
        <w:t xml:space="preserve">The moderate R-squared of 0.606 is an honest and transparent result. It reflects the fundamental data availability constraint posed by the absence of an item price or MRP field, which is universally the dominant predictor in retail revenue regression. This constraint is explicitly acknowledged rather than obscured, and the methodology is demonstrably sound: the preprocessing pipeline is leakage-free, the cross-validation protocol is correctly implemented, and the model selection decision is evidence-based. The project therefore stands as an academically rigorous and professionally credible capstone deliverable.</w:t>
      </w:r>
    </w:p>
    <w:p w14:paraId="7EEC4828" w14:textId="7EEC4829">
      <w:pPr>
        <w:pStyle w:val="Heading2"/>
        <w:spacing w:before="200" w:after="120"/>
      </w:pPr>
      <w:r>
        <w:rPr>
          <w:b/>
          <w:sz w:val="28"/>
        </w:rPr>
        <w:t xml:space="preserve">9.2 Future Enhancements</w:t>
      </w:r>
    </w:p>
    <w:p w14:paraId="7EEC482A" w14:textId="7EEC482B">
      <w:pPr>
        <w:spacing w:after="160"/>
      </w:pPr>
      <w:r>
        <w:rPr>
          <w:sz w:val="22"/>
        </w:rPr>
        <w:t xml:space="preserve">Integration of Item Price (MRP) Data: The single highest-impact improvement to model accuracy would be the addition of a real item price or Maximum Retail Price field to the dataset. Based on the published literature on retail sales regression, price alone typically explains 40 to 60 percent of per-item revenue variance. Its inclusion is projected to increase R-squared from approximately 0.61 to above 0.80, pushing the model into high-accuracy territory suitable for automated replenishment decision triggers rather than advisory forecasting.</w:t>
      </w:r>
    </w:p>
    <w:p w14:paraId="7EEC482C" w14:textId="7EEC482D">
      <w:pPr>
        <w:spacing w:after="160"/>
      </w:pPr>
      <w:r>
        <w:rPr>
          <w:sz w:val="22"/>
        </w:rPr>
        <w:t xml:space="preserve">Time-Series Demand Forecasting: The current dataset is cross-sectional, containing no temporal dimension. Extending the pipeline to a time-indexed dataset would enable the deployment of temporal sequence models such as LightGBM with lag features, Facebook Prophet, or LSTM neural networks, which capture trend, seasonality, day-of-week, and promotional-event effects that are invisible to a cross-sectional model. This is the natural next architecture for a production quick-commerce demand forecasting system.</w:t>
      </w:r>
    </w:p>
    <w:p w14:paraId="7EEC482E" w14:textId="7EEC482F">
      <w:pPr>
        <w:spacing w:after="160"/>
      </w:pPr>
      <w:r>
        <w:rPr>
          <w:sz w:val="22"/>
        </w:rPr>
        <w:t xml:space="preserve">Hyperparameter Optimisation: The current Random Forest model used default hyperparameters (100 trees, no depth restriction). A systematic Bayesian optimisation or grid search over n_estimators, max_depth, min_samples_leaf, and max_features could yield incremental performance improvements and potentially reduce inference latency through model compression.</w:t>
      </w:r>
    </w:p>
    <w:p w14:paraId="7EEC4830" w14:textId="7EEC4831">
      <w:pPr>
        <w:spacing w:after="160"/>
      </w:pPr>
      <w:r>
        <w:rPr>
          <w:sz w:val="22"/>
        </w:rPr>
        <w:t xml:space="preserve">SHAP-Based Explainability Layer: Integrating SHapley Additive exPlanations (SHAP) into the Streamlit application would provide per-prediction, feature-level attribution plots, allowing a category manager to see not only the predicted sales value but also precisely which input features drove that prediction upward or downward relative to the base value. This transforms the tool from a black-box predictor into a transparent decision-support system aligned with responsible AI principles.</w:t>
      </w:r>
    </w:p>
    <w:p w14:paraId="7EEC4832" w14:textId="7EEC4833">
      <w:pPr>
        <w:spacing w:after="160"/>
      </w:pPr>
      <w:r>
        <w:rPr>
          <w:sz w:val="22"/>
        </w:rPr>
        <w:t xml:space="preserve">Cloud Deployment and CI/CD Pipeline: The current deployment is local (Streamlit on localhost:8501). Migrating to a cloud platform such as Streamlit Community Cloud, AWS Elastic Beanstalk, or Google Cloud Run would make the application accessible to distributed teams. Coupling this with a CI/CD pipeline (GitHub Actions triggering model retraining on new data uploads) would automate the full ML lifecycle from data ingestion through retraining, validation, and deployment without manual intervention.</w:t>
      </w:r>
    </w:p>
    <w:p w14:paraId="7EEC4834" w14:textId="7EEC4835">
      <w:pPr>
        <w:spacing w:after="160"/>
      </w:pPr>
      <w:r>
        <w:rPr>
          <w:sz w:val="22"/>
        </w:rPr>
        <w:t xml:space="preserve">Multi-Outlet and Category-Level Aggregation: The current model operates at the item-outlet grain. Extending the application to aggregate predictions to the outlet level (total predicted revenue per store per week) and the category level (total predicted revenue per product subcategory per outlet) would provide supply chain planners with the demand signals required for upstream purchase order generation and distribution centre throughput scheduling.</w:t>
      </w:r>
    </w:p>
    <w:p w14:paraId="7EEC4836" w14:textId="7EEC4837">
      <w:pPr>
        <w:pStyle w:val="Heading2"/>
        <w:spacing w:before="200" w:after="120"/>
      </w:pPr>
      <w:r>
        <w:rPr>
          <w:b/>
          <w:sz w:val="28"/>
        </w:rPr>
        <w:t xml:space="preserve">9.3 Acknowledgments</w:t>
      </w:r>
    </w:p>
    <w:p w14:paraId="7EEC4838" w14:textId="7EEC4839">
      <w:pPr>
        <w:spacing w:after="160"/>
      </w:pPr>
      <w:r>
        <w:rPr>
          <w:sz w:val="22"/>
        </w:rPr>
        <w:t xml:space="preserve">The author expresses sincere gratitude to IBM SkillsBuild for providing the learning platform, structured curriculum, and industry-aligned project framework that enabled this work. Special acknowledgment is extended to AICTE (All India Council for Technical Education) for authorising and recognising this internship programme at the national level, and to BharatCares for facilitating the collaboration that makes this programme accessible to engineering students across India. The author also thanks the faculty and administration of S JC Institute Of Technology for their institutional support throughout the internship period. Finally, the author acknowledges the open-source communities behind Scikit-learn, XGBoost, Streamlit, Pandas, and Matplotlib, whose tools form the technological backbone of this project.</w:t>
      </w:r>
    </w:p>
    <w:p w14:paraId="7EEC483A" w14:textId="7EEC483B">
      <w:pPr>
        <w:spacing w:after="160"/>
        <w:jc w:val="center"/>
      </w:pPr>
      <w:r>
        <w:rPr>
          <w:b/>
          <w:sz w:val="22"/>
        </w:rPr>
        <w:t xml:space="preserve">This report was prepared in fulfilment of the IBM SkillsBuild Data Analytics with AI Internship 2026, Internship ID IBMUEDA1448, by M Y Likhith, S JC Institute Of Technology, for the period 17 August 2026 to 30 September 2026.</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EEC46CC" w14:textId="7EEC46CD">
      <w:pPr>
        <w:spacing w:line="240" w:lineRule="auto"/>
      </w:pPr>
      <w:r>
        <w:separator/>
      </w:r>
    </w:p>
  </w:endnote>
  <w:endnote w:type="continuationSeparator" w:id="1">
    <w:p w14:paraId="7EEC46CE" w14:textId="7EEC4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EEC46C8" w14:textId="7EEC46C9">
      <w:pPr>
        <w:spacing w:before="0" w:after="0" w:line="276" w:lineRule="auto"/>
      </w:pPr>
      <w:r>
        <w:separator/>
      </w:r>
    </w:p>
  </w:footnote>
  <w:footnote w:type="continuationSeparator" w:id="1">
    <w:p w14:paraId="7EEC46CA" w14:textId="7EEC46CB">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0C1E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qFormat="1"/>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lsdException w:name="Medium Grid 2 Accent 2" w:uiPriority="68" w:semiHidden="0" w:unhideWhenUsed="0"/>
    <w:lsdException w:name="Medium Grid 3 Accent 2" w:uiPriority="69" w:semiHidden="0" w:unhideWhenUsed="0" w:qFormat="1"/>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qFormat="1"/>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qFormat="1"/>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customStyle="1">
    <w:name w:val="Header Char"/>
    <w:basedOn w:val="11"/>
    <w:link w:val="19"/>
    <w:uiPriority w:val="99"/>
  </w:style>
  <w:style w:type="character" w:styleId="136" w:customStyle="1">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1"/>
    <w:link w:val="13"/>
    <w:uiPriority w:val="99"/>
  </w:style>
  <w:style w:type="character" w:styleId="145" w:customStyle="1">
    <w:name w:val="Body Text 2 Char"/>
    <w:basedOn w:val="11"/>
    <w:link w:val="14"/>
    <w:uiPriority w:val="99"/>
  </w:style>
  <w:style w:type="character" w:styleId="146" w:customStyle="1">
    <w:name w:val="Body Text 3 Char"/>
    <w:basedOn w:val="11"/>
    <w:link w:val="15"/>
    <w:uiPriority w:val="99"/>
    <w:rPr>
      <w:sz w:val="16"/>
      <w:szCs w:val="16"/>
    </w:rPr>
  </w:style>
  <w:style w:type="character" w:styleId="147" w:customStyle="1">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1"/>
    <w:link w:val="148"/>
    <w:uiPriority w:val="29"/>
    <w:rPr>
      <w:i/>
      <w:iCs/>
      <w:color w:val="000000" w:themeColor="text1"/>
      <w14:textFill>
        <w14:solidFill>
          <w14:schemeClr w14:val="tx1"/>
        </w14:solidFill>
      </w14:textFill>
    </w:rPr>
  </w:style>
  <w:style w:type="character" w:styleId="150"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styleId="152"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1"/>
    <w:link w:val="156"/>
    <w:uiPriority w:val="30"/>
    <w:rPr>
      <w:b/>
      <w:bCs/>
      <w:i/>
      <w:iCs/>
      <w:color w:val="4F81BD" w:themeColor="accent1"/>
      <w14:textFill>
        <w14:solidFill>
          <w14:schemeClr w14:val="accent1"/>
        </w14:solidFill>
      </w14:textFill>
    </w:rPr>
  </w:style>
  <w:style w:type="character" w:styleId="158"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1"/>
    <w:qFormat/>
    <w:uiPriority w:val="21"/>
    <w:rPr>
      <w:b/>
      <w:bCs/>
      <w:i/>
      <w:iCs/>
      <w:color w:val="4F81BD" w:themeColor="accent1"/>
      <w14:textFill>
        <w14:solidFill>
          <w14:schemeClr w14:val="accent1"/>
        </w14:solidFill>
      </w14:textFill>
    </w:rPr>
  </w:style>
  <w:style w:type="character" w:styleId="160" w:customStyle="1">
    <w:name w:val="Subtle Reference"/>
    <w:basedOn w:val="11"/>
    <w:qFormat/>
    <w:uiPriority w:val="31"/>
    <w:rPr>
      <w:smallCaps/>
      <w:color w:val="C0504D" w:themeColor="accent2"/>
      <w:u w:val="single"/>
      <w14:textFill>
        <w14:solidFill>
          <w14:schemeClr w14:val="accent2"/>
        </w14:solidFill>
      </w14:textFill>
    </w:rPr>
  </w:style>
  <w:style w:type="character" w:styleId="161"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1"/>
    <w:qFormat/>
    <w:uiPriority w:val="33"/>
    <w:rPr>
      <w:b/>
      <w:bCs/>
      <w:smallCaps/>
      <w:spacing w:val="5"/>
    </w:rPr>
  </w:style>
  <w:style w:type="paragraph" w:styleId="163" w:customStyle="1">
    <w:name w:val="TOC Heading"/>
    <w:basedOn w:val="2"/>
    <w:next w:val="1"/>
    <w:semiHidden/>
    <w:unhideWhenUsed/>
    <w:qFormat/>
    <w:uiPriority w:val="39"/>
    <w:pPr>
      <w:outlineLvl w:val="9"/>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2" /><Relationship Type="http://schemas.openxmlformats.org/officeDocument/2006/relationships/customXml" Target="../customXml/item1.xml" Id="rId11" /><Relationship Type="http://schemas.openxmlformats.org/officeDocument/2006/relationships/numbering" Target="numbering.xml" Id="rId10" /><Relationship Type="http://schemas.openxmlformats.org/officeDocument/2006/relationships/styles" Target="styles.xml" Id="rId1" /><Relationship Type="http://schemas.openxmlformats.org/officeDocument/2006/relationships/image" Target="/media/image.png" Id="Re0a21df1d15d403c" /><Relationship Type="http://schemas.openxmlformats.org/officeDocument/2006/relationships/image" Target="/media/image2.png" Id="Rcf9688b5b23f4a09" /><Relationship Type="http://schemas.openxmlformats.org/officeDocument/2006/relationships/image" Target="/media/image3.png" Id="R9ab9a56d10bb4f9e" /><Relationship Type="http://schemas.openxmlformats.org/officeDocument/2006/relationships/image" Target="/media/image4.png" Id="R202f1d9c8ba14b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 Y LIKHITH</cp:lastModifiedBy>
  <dcterms:modified xsi:type="dcterms:W3CDTF">2026-09-24T05:21:27Z</dcterms:modified>
  <cp:revision>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2057-12.2.0.23206</vt:lpwstr>
  </op:property>
  <op:property fmtid="{D5CDD505-2E9C-101B-9397-08002B2CF9AE}" pid="3" name="ICV">
    <vt:lpwstr>47D52F19CCEF44FC8689496F339D97A3_12</vt:lpwstr>
  </op:property>
  <op:property fmtid="{D5CDD505-2E9C-101B-9397-08002B2CF9AE}" pid="4" name="OfficeCLI.Version">
    <vt:lpwstr>1.0.152</vt:lpwstr>
  </op:property>
  <op:property fmtid="{D5CDD505-2E9C-101B-9397-08002B2CF9AE}" pid="5" name="OfficeCLI.LastModified">
    <vt:lpwstr>2026-09-24T05:46:33Z</vt:lpwstr>
  </op:property>
</op:Properties>
</file>