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B50DBD">
      <w:pPr>
        <w:pStyle w:val="36"/>
      </w:pPr>
      <w:r>
        <w:t>BlinkIT Sales Intelligence Engine - Project Report</w:t>
      </w:r>
    </w:p>
    <w:p w14:paraId="4F519A0B">
      <w:pPr>
        <w:pStyle w:val="2"/>
      </w:pPr>
      <w:r>
        <w:t>Executive Summary</w:t>
      </w:r>
    </w:p>
    <w:p w14:paraId="5CB79C2B">
      <w:r>
        <w:t>This project develops a predictive machine learning model for BlinkIT to forecast item-level sales across various dark stores. Utilizing a robust dataset of 8,523 records, the project cleanses the data, engineers critical retail features, and trains multiple models. The XGBoost Regressor emerged as the best model, achieving superior accuracy. Accurate sales prediction enables optimized inventory replenishment, minimizing stockouts and waste in quick-commerce operations, leading to a substantial positive business impact.</w:t>
      </w:r>
    </w:p>
    <w:p w14:paraId="72D068E0">
      <w:pPr>
        <w:pStyle w:val="2"/>
      </w:pPr>
      <w:r>
        <w:t>Introduction &amp; Problem Formulation</w:t>
      </w:r>
    </w:p>
    <w:p w14:paraId="12604940">
      <w:r>
        <w:t>In the fast-paced quick-commerce industry, customer satisfaction heavily relies on product availability. The core problem addressed is predicting the sales of specific items at specific outlets. By framing this as a regression task, we aim to forecast 'Item_Outlet_Sales' to support strategic data-driven decisions for dark store inventory management.</w:t>
      </w:r>
    </w:p>
    <w:p w14:paraId="64B5CFA9">
      <w:pPr>
        <w:pStyle w:val="2"/>
      </w:pPr>
      <w:r>
        <w:t>Exploratory Data Analysis &amp; Key Observations</w:t>
      </w:r>
    </w:p>
    <w:p w14:paraId="13442B0C">
      <w:r>
        <w:t>During EDA, we observed a right-skewed distribution in sales, common in retail environments where a few products drive a large portion of revenue. Outlet types and sizes also showed distinct sales patterns, with Supermarket Type 3 generating the highest average sales.</w:t>
      </w:r>
    </w:p>
    <w:p w14:paraId="1AC18399">
      <w:r>
        <w:drawing>
          <wp:inline distT="0" distB="0" distL="114300" distR="114300">
            <wp:extent cx="5486400" cy="352679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3526971"/>
                    </a:xfrm>
                    <a:prstGeom prst="rect">
                      <a:avLst/>
                    </a:prstGeom>
                  </pic:spPr>
                </pic:pic>
              </a:graphicData>
            </a:graphic>
          </wp:inline>
        </w:drawing>
      </w:r>
    </w:p>
    <w:p w14:paraId="008628CB">
      <w:pPr>
        <w:pStyle w:val="2"/>
      </w:pPr>
      <w:r>
        <w:t>Preprocessing Methodology</w:t>
      </w:r>
    </w:p>
    <w:p w14:paraId="19EE5017">
      <w:r>
        <w:t>A rigorous preprocessing pipeline was constructed to ensure data quality and avoid data leakage. Key steps included:</w:t>
      </w:r>
      <w:r>
        <w:br w:type="textWrapping"/>
      </w:r>
      <w:r>
        <w:t>- Correcting Zero Visibility: 'Item_Visibility' values of 0 were replaced with the median visibility for the respective item category.</w:t>
      </w:r>
      <w:r>
        <w:br w:type="textWrapping"/>
      </w:r>
      <w:r>
        <w:t>- Category Grouping: 'Item_Fat_Content' was standardized, and non-consumable items were assigned a 'Non-Edible' fat content label.</w:t>
      </w:r>
      <w:r>
        <w:br w:type="textWrapping"/>
      </w:r>
      <w:r>
        <w:t>- Imputation &amp; Encoding: A scikit-learn ColumnTransformer was built to apply median imputation and StandardScaler for numericals, and most-frequent imputation with OneHotEncoder for categoricals.</w:t>
      </w:r>
    </w:p>
    <w:p w14:paraId="69F69252">
      <w:pPr>
        <w:pStyle w:val="2"/>
      </w:pPr>
      <w:r>
        <w:t>Model Evaluation &amp; Cross-Validation Benchmarks</w:t>
      </w:r>
    </w:p>
    <w:p w14:paraId="53E40A18">
      <w:r>
        <w:t>Models were evaluated using 5-Fold Cross-Validation to ensure generalization. The benchmark results are summarized below:</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DEA7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00E945C">
            <w:pPr>
              <w:spacing w:after="0" w:line="240" w:lineRule="auto"/>
            </w:pPr>
            <w:r>
              <w:t>Model</w:t>
            </w:r>
          </w:p>
        </w:tc>
        <w:tc>
          <w:tcPr>
            <w:tcW w:w="2160" w:type="dxa"/>
          </w:tcPr>
          <w:p w14:paraId="57CCE75F">
            <w:pPr>
              <w:spacing w:after="0" w:line="240" w:lineRule="auto"/>
            </w:pPr>
            <w:r>
              <w:t>Mean RMSE</w:t>
            </w:r>
          </w:p>
        </w:tc>
        <w:tc>
          <w:tcPr>
            <w:tcW w:w="2160" w:type="dxa"/>
          </w:tcPr>
          <w:p w14:paraId="141B968B">
            <w:pPr>
              <w:spacing w:after="0" w:line="240" w:lineRule="auto"/>
            </w:pPr>
            <w:r>
              <w:t>Mean MAE</w:t>
            </w:r>
          </w:p>
        </w:tc>
        <w:tc>
          <w:tcPr>
            <w:tcW w:w="2160" w:type="dxa"/>
          </w:tcPr>
          <w:p w14:paraId="3C889D7F">
            <w:pPr>
              <w:spacing w:after="0" w:line="240" w:lineRule="auto"/>
            </w:pPr>
            <w:r>
              <w:t>Mean R2</w:t>
            </w:r>
          </w:p>
        </w:tc>
      </w:tr>
      <w:tr w14:paraId="44A1C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4AECBD6">
            <w:pPr>
              <w:spacing w:after="0" w:line="240" w:lineRule="auto"/>
            </w:pPr>
            <w:r>
              <w:t>Linear Regression</w:t>
            </w:r>
          </w:p>
        </w:tc>
        <w:tc>
          <w:tcPr>
            <w:tcW w:w="2160" w:type="dxa"/>
          </w:tcPr>
          <w:p w14:paraId="7DAAABE1">
            <w:pPr>
              <w:spacing w:after="0" w:line="240" w:lineRule="auto"/>
            </w:pPr>
            <w:r>
              <w:t>1130.50</w:t>
            </w:r>
          </w:p>
        </w:tc>
        <w:tc>
          <w:tcPr>
            <w:tcW w:w="2160" w:type="dxa"/>
          </w:tcPr>
          <w:p w14:paraId="483A556A">
            <w:pPr>
              <w:spacing w:after="0" w:line="240" w:lineRule="auto"/>
            </w:pPr>
            <w:r>
              <w:t>840.20</w:t>
            </w:r>
          </w:p>
        </w:tc>
        <w:tc>
          <w:tcPr>
            <w:tcW w:w="2160" w:type="dxa"/>
          </w:tcPr>
          <w:p w14:paraId="2C6B6880">
            <w:pPr>
              <w:spacing w:after="0" w:line="240" w:lineRule="auto"/>
            </w:pPr>
            <w:r>
              <w:t>0.560</w:t>
            </w:r>
          </w:p>
        </w:tc>
      </w:tr>
      <w:tr w14:paraId="3F5B9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3090F61">
            <w:pPr>
              <w:spacing w:after="0" w:line="240" w:lineRule="auto"/>
            </w:pPr>
            <w:r>
              <w:t>Ridge Regression</w:t>
            </w:r>
          </w:p>
        </w:tc>
        <w:tc>
          <w:tcPr>
            <w:tcW w:w="2160" w:type="dxa"/>
          </w:tcPr>
          <w:p w14:paraId="12971F74">
            <w:pPr>
              <w:spacing w:after="0" w:line="240" w:lineRule="auto"/>
            </w:pPr>
            <w:r>
              <w:t>1130.45</w:t>
            </w:r>
          </w:p>
        </w:tc>
        <w:tc>
          <w:tcPr>
            <w:tcW w:w="2160" w:type="dxa"/>
          </w:tcPr>
          <w:p w14:paraId="6E4D1A20">
            <w:pPr>
              <w:spacing w:after="0" w:line="240" w:lineRule="auto"/>
            </w:pPr>
            <w:r>
              <w:t>840.15</w:t>
            </w:r>
          </w:p>
        </w:tc>
        <w:tc>
          <w:tcPr>
            <w:tcW w:w="2160" w:type="dxa"/>
          </w:tcPr>
          <w:p w14:paraId="7CE51BE8">
            <w:pPr>
              <w:spacing w:after="0" w:line="240" w:lineRule="auto"/>
            </w:pPr>
            <w:r>
              <w:t>0.560</w:t>
            </w:r>
          </w:p>
        </w:tc>
      </w:tr>
      <w:tr w14:paraId="7CB90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C304C33">
            <w:pPr>
              <w:spacing w:after="0" w:line="240" w:lineRule="auto"/>
            </w:pPr>
            <w:r>
              <w:t>Random Forest</w:t>
            </w:r>
          </w:p>
        </w:tc>
        <w:tc>
          <w:tcPr>
            <w:tcW w:w="2160" w:type="dxa"/>
          </w:tcPr>
          <w:p w14:paraId="1957566C">
            <w:pPr>
              <w:spacing w:after="0" w:line="240" w:lineRule="auto"/>
            </w:pPr>
            <w:r>
              <w:t>1085.30</w:t>
            </w:r>
          </w:p>
        </w:tc>
        <w:tc>
          <w:tcPr>
            <w:tcW w:w="2160" w:type="dxa"/>
          </w:tcPr>
          <w:p w14:paraId="47EC97A5">
            <w:pPr>
              <w:spacing w:after="0" w:line="240" w:lineRule="auto"/>
            </w:pPr>
            <w:r>
              <w:t>765.40</w:t>
            </w:r>
          </w:p>
        </w:tc>
        <w:tc>
          <w:tcPr>
            <w:tcW w:w="2160" w:type="dxa"/>
          </w:tcPr>
          <w:p w14:paraId="1DE730BE">
            <w:pPr>
              <w:spacing w:after="0" w:line="240" w:lineRule="auto"/>
            </w:pPr>
            <w:r>
              <w:t>0.595</w:t>
            </w:r>
          </w:p>
        </w:tc>
      </w:tr>
      <w:tr w14:paraId="4930E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01C3C07">
            <w:pPr>
              <w:spacing w:after="0" w:line="240" w:lineRule="auto"/>
            </w:pPr>
            <w:r>
              <w:t>XGBoost</w:t>
            </w:r>
          </w:p>
        </w:tc>
        <w:tc>
          <w:tcPr>
            <w:tcW w:w="2160" w:type="dxa"/>
          </w:tcPr>
          <w:p w14:paraId="47E46BB5">
            <w:pPr>
              <w:spacing w:after="0" w:line="240" w:lineRule="auto"/>
            </w:pPr>
            <w:r>
              <w:t>1078.20</w:t>
            </w:r>
          </w:p>
        </w:tc>
        <w:tc>
          <w:tcPr>
            <w:tcW w:w="2160" w:type="dxa"/>
          </w:tcPr>
          <w:p w14:paraId="520771F5">
            <w:pPr>
              <w:spacing w:after="0" w:line="240" w:lineRule="auto"/>
            </w:pPr>
            <w:r>
              <w:t>758.90</w:t>
            </w:r>
          </w:p>
        </w:tc>
        <w:tc>
          <w:tcPr>
            <w:tcW w:w="2160" w:type="dxa"/>
          </w:tcPr>
          <w:p w14:paraId="6A4CCA32">
            <w:pPr>
              <w:spacing w:after="0" w:line="240" w:lineRule="auto"/>
            </w:pPr>
            <w:r>
              <w:t>0.602</w:t>
            </w:r>
          </w:p>
        </w:tc>
      </w:tr>
    </w:tbl>
    <w:p w14:paraId="7EEC469D">
      <w:r>
        <w:br w:type="textWrapping"/>
      </w:r>
      <w:r>
        <w:t>XGBoost outperformed other models across all metrics and was selected for final serialization.</w:t>
      </w:r>
    </w:p>
    <w:p w14:paraId="5A1C2F80">
      <w:r>
        <w:br w:type="textWrapping"/>
      </w:r>
      <w:r>
        <w:t>Web UI Prediction Module:</w:t>
      </w:r>
    </w:p>
    <w:p w14:paraId="0F46EFCE">
      <w:pPr>
        <w:rPr>
          <w:rFonts w:hint="default"/>
          <w:lang w:val="en-US"/>
        </w:rPr>
      </w:pPr>
      <w:r>
        <w:rPr>
          <w:rFonts w:hint="default"/>
          <w:lang w:val="en-US"/>
        </w:rPr>
        <w:drawing>
          <wp:inline distT="0" distB="0" distL="114300" distR="114300">
            <wp:extent cx="5475605" cy="3133725"/>
            <wp:effectExtent l="0" t="0" r="10795" b="5715"/>
            <wp:docPr id="5" name="Picture 5" descr="01_dashboard_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01_dashboard_interface"/>
                    <pic:cNvPicPr>
                      <a:picLocks noChangeAspect="1"/>
                    </pic:cNvPicPr>
                  </pic:nvPicPr>
                  <pic:blipFill>
                    <a:blip r:embed="rId7"/>
                    <a:stretch>
                      <a:fillRect/>
                    </a:stretch>
                  </pic:blipFill>
                  <pic:spPr>
                    <a:xfrm>
                      <a:off x="0" y="0"/>
                      <a:ext cx="5475605" cy="3133725"/>
                    </a:xfrm>
                    <a:prstGeom prst="rect">
                      <a:avLst/>
                    </a:prstGeom>
                  </pic:spPr>
                </pic:pic>
              </a:graphicData>
            </a:graphic>
          </wp:inline>
        </w:drawing>
      </w:r>
    </w:p>
    <w:p w14:paraId="25ECDB8F">
      <w:pPr>
        <w:pStyle w:val="2"/>
      </w:pPr>
      <w:r>
        <w:t>Feature Importance Analysis</w:t>
      </w:r>
    </w:p>
    <w:p w14:paraId="3E45227D">
      <w:r>
        <w:t>The Random Forest/XGBoost models provided insights into the most influential predictors of sales:</w:t>
      </w:r>
      <w:r>
        <w:br w:type="textWrapping"/>
      </w:r>
      <w:r>
        <w:t>- Item MRP: Dominates prediction logic; higher-priced items contribute disproportionately to revenue.</w:t>
      </w:r>
      <w:r>
        <w:br w:type="textWrapping"/>
      </w:r>
      <w:r>
        <w:t>- Outlet Type (e.g., Supermarket Type 3): Strongly dictates baseline store traffic and overall capacity.</w:t>
      </w:r>
      <w:r>
        <w:br w:type="textWrapping"/>
      </w:r>
      <w:r>
        <w:t>- Outlet Age: Older, established outlets show stable and typically higher sales volumes due to customer loyalty.</w:t>
      </w:r>
    </w:p>
    <w:p w14:paraId="60579301">
      <w:r>
        <w:drawing>
          <wp:inline distT="0" distB="0" distL="114300" distR="114300">
            <wp:extent cx="54864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3657600"/>
                    </a:xfrm>
                    <a:prstGeom prst="rect">
                      <a:avLst/>
                    </a:prstGeom>
                  </pic:spPr>
                </pic:pic>
              </a:graphicData>
            </a:graphic>
          </wp:inline>
        </w:drawing>
      </w:r>
    </w:p>
    <w:p w14:paraId="575BE46F">
      <w:pPr>
        <w:pStyle w:val="2"/>
      </w:pPr>
      <w:r>
        <w:t>Actionable Retail Recommendations</w:t>
      </w:r>
    </w:p>
    <w:p w14:paraId="47F36115">
      <w:r>
        <w:t>1. Optimized Replenishment: Dark stores (especially Tier 1/Supermarket Type 3) should prioritize stocking high MRP, high-visibility items to maximize revenue density.</w:t>
      </w:r>
      <w:r>
        <w:br w:type="textWrapping"/>
      </w:r>
      <w:r>
        <w:t>2. Space Allocation: Allocate more physical shelf space to older established outlets for high-velocity items.</w:t>
      </w:r>
      <w:r>
        <w:br w:type="textWrapping"/>
      </w:r>
      <w:r>
        <w:t>3. Marketing Focus: Low-visibility products with high potential margins should be aggressively promoted to boost overall sales.</w:t>
      </w:r>
    </w:p>
    <w:p w14:paraId="12026EC2">
      <w:r>
        <w:br w:type="textWrapping"/>
      </w:r>
      <w:r>
        <w:t>Interactive Dashboard for Strategy Simulation:</w:t>
      </w:r>
    </w:p>
    <w:p w14:paraId="3DED87F8">
      <w:pPr>
        <w:rPr>
          <w:rFonts w:hint="default"/>
          <w:lang w:val="en-US"/>
        </w:rPr>
      </w:pPr>
      <w:bookmarkStart w:id="0" w:name="_GoBack"/>
      <w:r>
        <w:rPr>
          <w:rFonts w:hint="default"/>
          <w:lang w:val="en-US"/>
        </w:rPr>
        <w:drawing>
          <wp:inline distT="0" distB="0" distL="114300" distR="114300">
            <wp:extent cx="5478780" cy="3162300"/>
            <wp:effectExtent l="0" t="0" r="7620" b="7620"/>
            <wp:docPr id="6" name="Picture 6" descr="02_sales_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02_sales_prediction"/>
                    <pic:cNvPicPr>
                      <a:picLocks noChangeAspect="1"/>
                    </pic:cNvPicPr>
                  </pic:nvPicPr>
                  <pic:blipFill>
                    <a:blip r:embed="rId9"/>
                    <a:stretch>
                      <a:fillRect/>
                    </a:stretch>
                  </pic:blipFill>
                  <pic:spPr>
                    <a:xfrm>
                      <a:off x="0" y="0"/>
                      <a:ext cx="5478780" cy="3162300"/>
                    </a:xfrm>
                    <a:prstGeom prst="rect">
                      <a:avLst/>
                    </a:prstGeom>
                  </pic:spPr>
                </pic:pic>
              </a:graphicData>
            </a:graphic>
          </wp:inline>
        </w:drawing>
      </w:r>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E0C1E8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 Y LIKHITH</cp:lastModifiedBy>
  <dcterms:modified xsi:type="dcterms:W3CDTF">2026-09-24T05:21:27Z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47D52F19CCEF44FC8689496F339D97A3_12</vt:lpwstr>
  </property>
</Properties>
</file>