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728E" w14:textId="77777777" w:rsidR="006D3836" w:rsidRDefault="00000000">
      <w:pPr>
        <w:spacing w:after="60"/>
      </w:pPr>
      <w:r>
        <w:rPr>
          <w:color w:val="666666"/>
          <w:sz w:val="20"/>
          <w:szCs w:val="20"/>
        </w:rPr>
        <w:t>CS595 Medical Informatics and AI</w:t>
      </w:r>
    </w:p>
    <w:p w14:paraId="6030728F" w14:textId="77777777" w:rsidR="006D3836" w:rsidRDefault="00000000">
      <w:pPr>
        <w:spacing w:after="120"/>
      </w:pPr>
      <w:r>
        <w:rPr>
          <w:color w:val="666666"/>
          <w:sz w:val="20"/>
          <w:szCs w:val="20"/>
        </w:rPr>
        <w:t>Project Proposal Review</w:t>
      </w:r>
    </w:p>
    <w:p w14:paraId="60307290" w14:textId="77777777" w:rsidR="006D3836" w:rsidRDefault="00000000">
      <w:pPr>
        <w:pStyle w:val="Heading1"/>
      </w:pPr>
      <w:proofErr w:type="spellStart"/>
      <w:r>
        <w:rPr>
          <w:sz w:val="40"/>
          <w:szCs w:val="40"/>
        </w:rPr>
        <w:t>MedSynapse</w:t>
      </w:r>
      <w:proofErr w:type="spellEnd"/>
    </w:p>
    <w:p w14:paraId="60307291" w14:textId="77777777" w:rsidR="006D3836" w:rsidRDefault="00000000">
      <w:pPr>
        <w:spacing w:after="60"/>
      </w:pPr>
      <w:proofErr w:type="spellStart"/>
      <w:r>
        <w:rPr>
          <w:b/>
          <w:bCs/>
          <w:color w:val="2E75B6"/>
          <w:sz w:val="26"/>
          <w:szCs w:val="26"/>
        </w:rPr>
        <w:t>DischargeIQ</w:t>
      </w:r>
      <w:proofErr w:type="spellEnd"/>
      <w:r>
        <w:rPr>
          <w:b/>
          <w:bCs/>
          <w:color w:val="2E75B6"/>
          <w:sz w:val="26"/>
          <w:szCs w:val="26"/>
        </w:rPr>
        <w:t>: Multi-Agent Post-Discharge Diagnostic Intelligence System</w:t>
      </w:r>
    </w:p>
    <w:p w14:paraId="60307292" w14:textId="77777777" w:rsidR="006D3836" w:rsidRDefault="00000000">
      <w:pPr>
        <w:pBdr>
          <w:bottom w:val="single" w:sz="6" w:space="1" w:color="2E75B6"/>
        </w:pBdr>
        <w:spacing w:after="240"/>
      </w:pPr>
      <w:r>
        <w:rPr>
          <w:i/>
          <w:iCs/>
          <w:color w:val="888888"/>
          <w:sz w:val="18"/>
          <w:szCs w:val="18"/>
        </w:rPr>
        <w:t>Instructor Feedback — Spring 2026</w:t>
      </w:r>
    </w:p>
    <w:p w14:paraId="60307293" w14:textId="77777777" w:rsidR="006D3836" w:rsidRDefault="00000000">
      <w:pPr>
        <w:pStyle w:val="Heading2"/>
      </w:pPr>
      <w:r>
        <w:t>1) Summary</w:t>
      </w:r>
    </w:p>
    <w:p w14:paraId="60307294" w14:textId="77777777" w:rsidR="006D3836" w:rsidRDefault="00000000">
      <w:pPr>
        <w:spacing w:after="120"/>
      </w:pPr>
      <w:proofErr w:type="spellStart"/>
      <w:r>
        <w:t>DischargeIQ</w:t>
      </w:r>
      <w:proofErr w:type="spellEnd"/>
      <w:r>
        <w:t xml:space="preserve"> is a five-agent AI system designed to address the hospital discharge comprehension gap. Patients upload a photo or PDF of their discharge document, which is processed by five sequential Claude-based agents: an Extraction Agent that parses structured information (diagnoses, medications, restrictions, follow-up dates, red flags); a Diagnosis Explanation Agent that produces plain-language condition explanations; a Medication Rationale Agent that connects each drug to the diagnosis with side effect and dose-miss guidance; a Recovery Trajectory Agent that generates a condition-specific recovery timeline; and an Alert and Escalation Agent that produces a clear call/ER/normal decision tree. The output is a structured, mobile-friendly page written at a 6th grade reading level, with clinician-validated explanation templates covering the 10 highest-readmission diagnoses.</w:t>
      </w:r>
    </w:p>
    <w:p w14:paraId="60307295" w14:textId="77777777" w:rsidR="006D3836" w:rsidRDefault="00000000">
      <w:pPr>
        <w:pStyle w:val="Heading2"/>
      </w:pPr>
      <w:r>
        <w:t>2) Instructor Assessment</w:t>
      </w:r>
    </w:p>
    <w:p w14:paraId="60307296" w14:textId="77777777" w:rsidR="006D3836" w:rsidRDefault="00000000">
      <w:pPr>
        <w:spacing w:after="120"/>
      </w:pPr>
      <w:proofErr w:type="spellStart"/>
      <w:r>
        <w:t>DischargeIQ</w:t>
      </w:r>
      <w:proofErr w:type="spellEnd"/>
      <w:r>
        <w:t xml:space="preserve"> is one of the strongest proposals in the course — the problem is compellingly framed with excellent statistical support, the NABC structure is professionally executed, the multi-agent architecture is well-justified (each agent handles a distinct task type that benefits from specialization), and the competitive differentiation is clearly articulated. The proposal demonstrates genuine clinical informatics thinking: understanding what patients actually need at discharge, not just what is technically possible.</w:t>
      </w:r>
    </w:p>
    <w:p w14:paraId="60307297" w14:textId="77777777" w:rsidR="006D3836" w:rsidRDefault="00000000">
      <w:pPr>
        <w:spacing w:after="120"/>
      </w:pPr>
      <w:r>
        <w:t>The main concern is scope. Five agents, ten validated diagnosis templates, OCR for photo documents, a mobile-responsive frontend, a PostgreSQL backend, an evaluation framework with Flesch-Kincaid scoring and LLM-as-Judge rubric, and an optional SMS daily checklist stretch goal represent a very full six-week agenda. The proposal notes 'a 6-week academic timeline' and sets clear MVP boundaries, which is a strength — but the MVP itself is still substantial.</w:t>
      </w:r>
    </w:p>
    <w:p w14:paraId="60307298" w14:textId="77777777" w:rsidR="006D3836" w:rsidRDefault="00000000">
      <w:pPr>
        <w:pStyle w:val="Heading2"/>
      </w:pPr>
      <w:r>
        <w:t>3) Likely Challenges</w:t>
      </w:r>
    </w:p>
    <w:p w14:paraId="60307299" w14:textId="77777777" w:rsidR="006D3836" w:rsidRDefault="00000000">
      <w:pPr>
        <w:pStyle w:val="ListParagraph"/>
        <w:numPr>
          <w:ilvl w:val="0"/>
          <w:numId w:val="2"/>
        </w:numPr>
        <w:spacing w:after="60"/>
      </w:pPr>
      <w:r>
        <w:t>Clinical template validation: Building ten clinician-validated explanation templates for the highest-readmission diagnoses requires actual clinical review. Who will validate these? A course-internal SME review is feasible but needs to be planned explicitly.</w:t>
      </w:r>
    </w:p>
    <w:p w14:paraId="6030729A" w14:textId="77777777" w:rsidR="006D3836" w:rsidRDefault="00000000">
      <w:pPr>
        <w:pStyle w:val="ListParagraph"/>
        <w:numPr>
          <w:ilvl w:val="0"/>
          <w:numId w:val="2"/>
        </w:numPr>
        <w:spacing w:after="60"/>
      </w:pPr>
      <w:r>
        <w:t>Document extraction reliability: Photo-uploaded discharge documents have significant OCR variability — different hospital formats, font sizes, handwritten annotations, and image quality. The Extraction Agent needs testing against a diverse set of real or realistic discharge document samples early in the project.</w:t>
      </w:r>
    </w:p>
    <w:p w14:paraId="6030729B" w14:textId="77777777" w:rsidR="006D3836" w:rsidRDefault="00000000">
      <w:pPr>
        <w:pStyle w:val="ListParagraph"/>
        <w:numPr>
          <w:ilvl w:val="0"/>
          <w:numId w:val="2"/>
        </w:numPr>
        <w:spacing w:after="60"/>
      </w:pPr>
      <w:r>
        <w:t xml:space="preserve">Agent chaining fragility: Five sequential agents </w:t>
      </w:r>
      <w:proofErr w:type="gramStart"/>
      <w:r>
        <w:t>means</w:t>
      </w:r>
      <w:proofErr w:type="gramEnd"/>
      <w:r>
        <w:t xml:space="preserve"> an extraction error in Agent 1 propagates through all downstream agents. Robust error handling between agents is essential and often time-consuming to implement correctly.</w:t>
      </w:r>
    </w:p>
    <w:p w14:paraId="6030729C" w14:textId="77777777" w:rsidR="006D3836" w:rsidRDefault="00000000">
      <w:pPr>
        <w:pStyle w:val="ListParagraph"/>
        <w:numPr>
          <w:ilvl w:val="0"/>
          <w:numId w:val="2"/>
        </w:numPr>
        <w:spacing w:after="60"/>
      </w:pPr>
      <w:r>
        <w:lastRenderedPageBreak/>
        <w:t>Reading level targeting: Writing LLM outputs at a 6th grade Flesch-Kincaid level requires prompt engineering iteration. LLMs default to more complex language. The team will need explicit constraints and verification against an FK scorer.</w:t>
      </w:r>
    </w:p>
    <w:p w14:paraId="6030729D" w14:textId="77777777" w:rsidR="006D3836" w:rsidRDefault="00000000">
      <w:pPr>
        <w:pStyle w:val="ListParagraph"/>
        <w:numPr>
          <w:ilvl w:val="0"/>
          <w:numId w:val="2"/>
        </w:numPr>
        <w:spacing w:after="60"/>
      </w:pPr>
      <w:r>
        <w:t>LLM-as-Judge evaluation: Using a second LLM call to evaluate agent output quality is a valid approach but adds per-evaluation cost and requires its own prompt design and validation. Budget API costs accordingly.</w:t>
      </w:r>
    </w:p>
    <w:p w14:paraId="6030729E" w14:textId="77777777" w:rsidR="006D3836" w:rsidRDefault="00000000">
      <w:pPr>
        <w:pStyle w:val="ListParagraph"/>
        <w:numPr>
          <w:ilvl w:val="0"/>
          <w:numId w:val="2"/>
        </w:numPr>
        <w:spacing w:after="60"/>
      </w:pPr>
      <w:r>
        <w:t xml:space="preserve">Ten diagnosis templates </w:t>
      </w:r>
      <w:proofErr w:type="gramStart"/>
      <w:r>
        <w:t>is</w:t>
      </w:r>
      <w:proofErr w:type="gramEnd"/>
      <w:r>
        <w:t xml:space="preserve"> ambitious: building, validating, and testing ten diagnosis-specific templates in six weeks is significant. Consider reducing to three to five templates for the MVP.</w:t>
      </w:r>
    </w:p>
    <w:p w14:paraId="6030729F" w14:textId="77777777" w:rsidR="006D3836" w:rsidRDefault="00000000">
      <w:pPr>
        <w:pStyle w:val="Heading2"/>
      </w:pPr>
      <w:r>
        <w:t>4) Suggestions for Improvement</w:t>
      </w:r>
    </w:p>
    <w:p w14:paraId="603072A0" w14:textId="77777777" w:rsidR="006D3836" w:rsidRDefault="00000000">
      <w:pPr>
        <w:pStyle w:val="ListParagraph"/>
        <w:numPr>
          <w:ilvl w:val="0"/>
          <w:numId w:val="2"/>
        </w:numPr>
        <w:spacing w:after="60"/>
      </w:pPr>
      <w:r>
        <w:t>Reduce the diagnosis template scope for the MVP. Choose three to five diagnoses (heart failure, COPD, diabetes management, hip replacement, and one surgical case) that cover different template types. Demonstrate depth on five rather than shallow coverage of ten.</w:t>
      </w:r>
    </w:p>
    <w:p w14:paraId="603072A1" w14:textId="77777777" w:rsidR="006D3836" w:rsidRDefault="00000000">
      <w:pPr>
        <w:pStyle w:val="ListParagraph"/>
        <w:numPr>
          <w:ilvl w:val="0"/>
          <w:numId w:val="2"/>
        </w:numPr>
        <w:spacing w:after="60"/>
      </w:pPr>
      <w:r>
        <w:t>Test document extraction on 10 real discharge documents (de-identified public examples or synthetic documents) in Week 1. Know your extraction baseline before building Agents 2–5 on top of it.</w:t>
      </w:r>
    </w:p>
    <w:p w14:paraId="603072A2" w14:textId="77777777" w:rsidR="006D3836" w:rsidRDefault="00000000">
      <w:pPr>
        <w:pStyle w:val="ListParagraph"/>
        <w:numPr>
          <w:ilvl w:val="0"/>
          <w:numId w:val="2"/>
        </w:numPr>
        <w:spacing w:after="60"/>
      </w:pPr>
      <w:r>
        <w:t>Build the agent chain incrementally: confirm Agent 1 output before writing Agent 2, confirm Agent 1+2 before adding Agent 3. Do not attempt to integrate all five simultaneously for the first time in Week 5.</w:t>
      </w:r>
    </w:p>
    <w:p w14:paraId="603072A3" w14:textId="77777777" w:rsidR="006D3836" w:rsidRDefault="00000000">
      <w:pPr>
        <w:pStyle w:val="ListParagraph"/>
        <w:numPr>
          <w:ilvl w:val="0"/>
          <w:numId w:val="2"/>
        </w:numPr>
        <w:spacing w:after="60"/>
      </w:pPr>
      <w:r>
        <w:t>Add explicit error handling between agents so that a partial extraction still produces useful downstream output rather than failing silently.</w:t>
      </w:r>
    </w:p>
    <w:p w14:paraId="603072A4" w14:textId="77777777" w:rsidR="006D3836" w:rsidRDefault="00000000">
      <w:pPr>
        <w:pStyle w:val="ListParagraph"/>
        <w:numPr>
          <w:ilvl w:val="0"/>
          <w:numId w:val="2"/>
        </w:numPr>
        <w:spacing w:after="60"/>
      </w:pPr>
      <w:r>
        <w:t>The SMS daily checklist is a genuinely valuable stretch goal — note it clearly as post-MVP and assign a secondary owner who picks it up only after the core five-agent pipeline is stable and tested.</w:t>
      </w:r>
    </w:p>
    <w:p w14:paraId="603072A5" w14:textId="77777777" w:rsidR="006D3836" w:rsidRDefault="00000000">
      <w:pPr>
        <w:pStyle w:val="Heading2"/>
      </w:pPr>
      <w:r>
        <w:t>5) Six-Week Feasibility</w:t>
      </w:r>
    </w:p>
    <w:p w14:paraId="603072A6" w14:textId="77777777" w:rsidR="006D3836" w:rsidRDefault="00000000">
      <w:pPr>
        <w:spacing w:after="120"/>
      </w:pPr>
      <w:r>
        <w:rPr>
          <w:b/>
          <w:bCs/>
          <w:color w:val="1F3864"/>
        </w:rPr>
        <w:t xml:space="preserve">Verdict: </w:t>
      </w:r>
      <w:r>
        <w:t>Feasible in 6 weeks with scope reduction</w:t>
      </w:r>
    </w:p>
    <w:p w14:paraId="603072A7" w14:textId="77777777" w:rsidR="006D3836" w:rsidRDefault="00000000">
      <w:pPr>
        <w:spacing w:after="120"/>
      </w:pPr>
      <w:r>
        <w:t xml:space="preserve">The five-agent architecture is feasible in six weeks because each agent is conceptually straightforward (specialized Claude API calls with structured output schemas) and the team has clearly defined the data interfaces between agents. The proposal's NABC framing and explicit MVP scope </w:t>
      </w:r>
      <w:proofErr w:type="gramStart"/>
      <w:r>
        <w:t>demonstrate</w:t>
      </w:r>
      <w:proofErr w:type="gramEnd"/>
      <w:r>
        <w:t xml:space="preserve"> planning maturity that many proposals lack.</w:t>
      </w:r>
    </w:p>
    <w:p w14:paraId="603072A8" w14:textId="77777777" w:rsidR="006D3836" w:rsidRDefault="00000000">
      <w:pPr>
        <w:spacing w:after="120"/>
      </w:pPr>
      <w:r>
        <w:t>The risk is in the periphery: ten validated clinical templates, OCR photo processing, Flesch-Kincaid scoring with LLM-as-Judge evaluation, and PostgreSQL patient history all compete for time with the core agent pipeline. Reducing to five diagnosis templates, deferring photo OCR to a PDF-first focus for the MVP, and using a simple Python FK library rather than a full LLM evaluation harness would make the project more reliably completable.</w:t>
      </w:r>
    </w:p>
    <w:p w14:paraId="603072A9" w14:textId="77777777" w:rsidR="006D3836" w:rsidRDefault="00000000">
      <w:pPr>
        <w:pStyle w:val="Heading2"/>
      </w:pPr>
      <w:r>
        <w:t>6) Recommended MVP for the Remaining 6 Weeks</w:t>
      </w:r>
    </w:p>
    <w:p w14:paraId="603072AA" w14:textId="77777777" w:rsidR="006D3836" w:rsidRDefault="00000000">
      <w:pPr>
        <w:spacing w:after="120"/>
      </w:pPr>
      <w:r>
        <w:t xml:space="preserve">A realistic MVP: (1) five-agent pipeline built sequentially and tested against five synthetic discharge documents (PDF/digital upload, not photo OCR); (2) five clinician-reviewed explanation templates (heart failure, COPD, diabetes, hip replacement, and one surgical case); (3) structured patient-facing output page with FK reading level scoring; (4) basic Neon PostgreSQL history storage; and (5) mobile-responsive </w:t>
      </w:r>
      <w:proofErr w:type="spellStart"/>
      <w:r>
        <w:t>Streamlit</w:t>
      </w:r>
      <w:proofErr w:type="spellEnd"/>
      <w:r>
        <w:t xml:space="preserve"> or React frontend. LLM-as-Judge evaluation for 20 test cases. Photo OCR, SMS checklist, and physician summary view are stretch goals.</w:t>
      </w:r>
    </w:p>
    <w:p w14:paraId="603072AB" w14:textId="77777777" w:rsidR="006D3836" w:rsidRDefault="00000000">
      <w:pPr>
        <w:pStyle w:val="Heading2"/>
      </w:pPr>
      <w:r>
        <w:lastRenderedPageBreak/>
        <w:t>7) Market Research and Product Feasibility</w:t>
      </w:r>
    </w:p>
    <w:p w14:paraId="603072AC" w14:textId="77777777" w:rsidR="006D3836" w:rsidRDefault="00000000">
      <w:pPr>
        <w:spacing w:after="120"/>
      </w:pPr>
      <w:r>
        <w:t xml:space="preserve">The hospital discharge comprehension problem is well-documented and directly tied to CMS Hospital Readmissions Reduction Program (HRRP) penalties that cost hospitals hundreds of millions annually. Epic's </w:t>
      </w:r>
      <w:proofErr w:type="spellStart"/>
      <w:r>
        <w:t>AfterVisit</w:t>
      </w:r>
      <w:proofErr w:type="spellEnd"/>
      <w:r>
        <w:t xml:space="preserve"> Summary, care management platforms (</w:t>
      </w:r>
      <w:proofErr w:type="spellStart"/>
      <w:r>
        <w:t>Carebook</w:t>
      </w:r>
      <w:proofErr w:type="spellEnd"/>
      <w:r>
        <w:t xml:space="preserve">, </w:t>
      </w:r>
      <w:proofErr w:type="spellStart"/>
      <w:r>
        <w:t>GetWell</w:t>
      </w:r>
      <w:proofErr w:type="spellEnd"/>
      <w:r>
        <w:t xml:space="preserve">, Navigating Cancer), and patient engagement apps (MyChart, </w:t>
      </w:r>
      <w:proofErr w:type="spellStart"/>
      <w:r>
        <w:t>Relatient</w:t>
      </w:r>
      <w:proofErr w:type="spellEnd"/>
      <w:r>
        <w:t xml:space="preserve">) all attempt to address discharge communication, but none provides the diagnosis-to-medication-to-recovery connection that </w:t>
      </w:r>
      <w:proofErr w:type="spellStart"/>
      <w:r>
        <w:t>DischargeIQ</w:t>
      </w:r>
      <w:proofErr w:type="spellEnd"/>
      <w:r>
        <w:t xml:space="preserve"> proposes.</w:t>
      </w:r>
    </w:p>
    <w:p w14:paraId="603072AD" w14:textId="77777777" w:rsidR="006D3836" w:rsidRDefault="00000000">
      <w:pPr>
        <w:spacing w:after="120"/>
      </w:pPr>
      <w:r>
        <w:t>The proposal's key differentiation — connecting the specific discharge document to a specific diagnosis explanation, medication rationale, and recovery trajectory in a single pipeline — is commercially meaningful. Hospital quality improvement departments are actively seeking discharge interventions with measurable comprehension and readmission impact. The CMS penalty structure creates a direct financial incentive for hospitals to invest in discharge comprehension tools.</w:t>
      </w:r>
    </w:p>
    <w:p w14:paraId="603072AE" w14:textId="77777777" w:rsidR="006D3836" w:rsidRDefault="00000000">
      <w:pPr>
        <w:spacing w:after="120"/>
      </w:pPr>
      <w:r>
        <w:t xml:space="preserve">Commercial barriers </w:t>
      </w:r>
      <w:proofErr w:type="gramStart"/>
      <w:r>
        <w:t>include:</w:t>
      </w:r>
      <w:proofErr w:type="gramEnd"/>
      <w:r>
        <w:t xml:space="preserve"> clinical validation of explanation template accuracy before hospital deployment; integration with existing patient portal infrastructure; HIPAA compliance for PHI handling; and competition from established patient engagement vendors who could add similar features. The stated connection to LOF's </w:t>
      </w:r>
      <w:proofErr w:type="spellStart"/>
      <w:r>
        <w:t>TheraCareAI</w:t>
      </w:r>
      <w:proofErr w:type="spellEnd"/>
      <w:r>
        <w:t xml:space="preserve"> as </w:t>
      </w:r>
      <w:proofErr w:type="spellStart"/>
      <w:r>
        <w:t>DischargeIQ</w:t>
      </w:r>
      <w:proofErr w:type="spellEnd"/>
      <w:r>
        <w:t xml:space="preserve"> being 'Box 1' in a broader adherence pipeline is a compelling product narrative.</w:t>
      </w:r>
    </w:p>
    <w:p w14:paraId="603072AF" w14:textId="77777777" w:rsidR="006D3836" w:rsidRDefault="00000000">
      <w:pPr>
        <w:spacing w:after="120"/>
      </w:pPr>
      <w:r>
        <w:rPr>
          <w:b/>
          <w:bCs/>
          <w:color w:val="1F3864"/>
        </w:rPr>
        <w:t xml:space="preserve">Product Potential Rating: </w:t>
      </w:r>
      <w:r>
        <w:t>Strong commercial potential — addresses a financially significant clinical problem, fills a genuine gap in the existing market, and the CMS readmission penalty structure creates strong hospital buyer incentives.</w:t>
      </w:r>
    </w:p>
    <w:p w14:paraId="603072B0" w14:textId="77777777" w:rsidR="006D3836" w:rsidRDefault="00000000">
      <w:pPr>
        <w:pStyle w:val="Heading2"/>
      </w:pPr>
      <w:r>
        <w:t>8) Product Potential Rating</w:t>
      </w:r>
    </w:p>
    <w:p w14:paraId="603072B1" w14:textId="77777777" w:rsidR="006D3836" w:rsidRDefault="00000000">
      <w:pPr>
        <w:spacing w:after="120"/>
      </w:pPr>
      <w:r>
        <w:rPr>
          <w:b/>
          <w:bCs/>
          <w:color w:val="1F3864"/>
        </w:rPr>
        <w:t xml:space="preserve">Rating: </w:t>
      </w:r>
      <w:r>
        <w:t>Strong commercial potential</w:t>
      </w:r>
    </w:p>
    <w:p w14:paraId="603072B2" w14:textId="77777777" w:rsidR="006D3836" w:rsidRDefault="00000000">
      <w:pPr>
        <w:spacing w:after="120"/>
      </w:pPr>
      <w:proofErr w:type="spellStart"/>
      <w:r>
        <w:t>DischargeIQ</w:t>
      </w:r>
      <w:proofErr w:type="spellEnd"/>
      <w:r>
        <w:t xml:space="preserve"> addresses a clinically significant, financially costly, and currently underserved problem. The product differentiation is clearly articulated, the buyer is identifiable (hospital quality improvement), and the financial incentive structure is favorable. Clinical validation and HIPAA compliance are the two highest barriers to commercial adoption, but neither precludes a well-funded commercial effort.</w:t>
      </w:r>
    </w:p>
    <w:p w14:paraId="603072B3" w14:textId="77777777" w:rsidR="006D3836" w:rsidRDefault="00000000">
      <w:pPr>
        <w:pStyle w:val="Heading2"/>
      </w:pPr>
      <w:r>
        <w:t xml:space="preserve">9) </w:t>
      </w:r>
      <w:proofErr w:type="gramStart"/>
      <w:r>
        <w:t>Instructor Comments to the Team</w:t>
      </w:r>
      <w:proofErr w:type="gramEnd"/>
    </w:p>
    <w:p w14:paraId="603072B4" w14:textId="77777777" w:rsidR="006D3836" w:rsidRDefault="00000000">
      <w:pPr>
        <w:spacing w:after="120"/>
      </w:pPr>
      <w:r>
        <w:t xml:space="preserve">This is one of the strongest proposals in the course — well-researched, clinically grounded, clearly differentiated, and appropriately scoped for academic work while showing real commercial vision. Your NABC framing is </w:t>
      </w:r>
      <w:proofErr w:type="gramStart"/>
      <w:r>
        <w:t>professional-grade</w:t>
      </w:r>
      <w:proofErr w:type="gramEnd"/>
      <w:r>
        <w:t>. The five-agent architecture is well-justified and your decision to scope to PDF-first and five diagnosis templates for the MVP shows good judgment. My main recommendation: build the agents incrementally and test each handoff before adding the next. Five agents in a chain means five places where integration bugs can hide. Implement Agent 1 first, confirm its structured output matches your schema, then add Agent 2, and so on. Do not attempt to integrate all five simultaneously. The FK reading level scoring is important for your evaluation — build it in early so you can iterate on your prompts with real data. This project has genuine commercial potential beyond the course, and a well-documented evaluation framework will be critical if you want to demonstrate clinical utility to a hospital audience. Execute carefully.</w:t>
      </w:r>
    </w:p>
    <w:p w14:paraId="603072B5" w14:textId="77777777" w:rsidR="006D3836" w:rsidRDefault="00000000">
      <w:pPr>
        <w:pBdr>
          <w:top w:val="single" w:sz="4" w:space="1" w:color="CCCCCC"/>
        </w:pBdr>
        <w:spacing w:before="360"/>
      </w:pPr>
      <w:r>
        <w:rPr>
          <w:i/>
          <w:iCs/>
          <w:color w:val="999999"/>
          <w:sz w:val="16"/>
          <w:szCs w:val="16"/>
        </w:rPr>
        <w:t>CS595 Medical Informatics and AI — Instructor Review — Spring 2026</w:t>
      </w:r>
    </w:p>
    <w:sectPr w:rsidR="006D38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6F79"/>
    <w:multiLevelType w:val="hybridMultilevel"/>
    <w:tmpl w:val="8152BF90"/>
    <w:lvl w:ilvl="0" w:tplc="A036CA82">
      <w:start w:val="1"/>
      <w:numFmt w:val="bullet"/>
      <w:lvlText w:val="•"/>
      <w:lvlJc w:val="left"/>
      <w:pPr>
        <w:ind w:left="720" w:hanging="360"/>
      </w:pPr>
    </w:lvl>
    <w:lvl w:ilvl="1" w:tplc="567AF292">
      <w:numFmt w:val="decimal"/>
      <w:lvlText w:val=""/>
      <w:lvlJc w:val="left"/>
    </w:lvl>
    <w:lvl w:ilvl="2" w:tplc="67F0B908">
      <w:numFmt w:val="decimal"/>
      <w:lvlText w:val=""/>
      <w:lvlJc w:val="left"/>
    </w:lvl>
    <w:lvl w:ilvl="3" w:tplc="DFA2CBE8">
      <w:numFmt w:val="decimal"/>
      <w:lvlText w:val=""/>
      <w:lvlJc w:val="left"/>
    </w:lvl>
    <w:lvl w:ilvl="4" w:tplc="3962DC76">
      <w:numFmt w:val="decimal"/>
      <w:lvlText w:val=""/>
      <w:lvlJc w:val="left"/>
    </w:lvl>
    <w:lvl w:ilvl="5" w:tplc="2B36004C">
      <w:numFmt w:val="decimal"/>
      <w:lvlText w:val=""/>
      <w:lvlJc w:val="left"/>
    </w:lvl>
    <w:lvl w:ilvl="6" w:tplc="CF78B5F4">
      <w:numFmt w:val="decimal"/>
      <w:lvlText w:val=""/>
      <w:lvlJc w:val="left"/>
    </w:lvl>
    <w:lvl w:ilvl="7" w:tplc="C7E2A428">
      <w:numFmt w:val="decimal"/>
      <w:lvlText w:val=""/>
      <w:lvlJc w:val="left"/>
    </w:lvl>
    <w:lvl w:ilvl="8" w:tplc="1682E70A">
      <w:numFmt w:val="decimal"/>
      <w:lvlText w:val=""/>
      <w:lvlJc w:val="left"/>
    </w:lvl>
  </w:abstractNum>
  <w:abstractNum w:abstractNumId="1" w15:restartNumberingAfterBreak="0">
    <w:nsid w:val="3DA75F76"/>
    <w:multiLevelType w:val="hybridMultilevel"/>
    <w:tmpl w:val="FC1E96AC"/>
    <w:lvl w:ilvl="0" w:tplc="CA547F86">
      <w:start w:val="1"/>
      <w:numFmt w:val="bullet"/>
      <w:lvlText w:val="●"/>
      <w:lvlJc w:val="left"/>
      <w:pPr>
        <w:ind w:left="720" w:hanging="360"/>
      </w:pPr>
    </w:lvl>
    <w:lvl w:ilvl="1" w:tplc="98A2F768">
      <w:start w:val="1"/>
      <w:numFmt w:val="bullet"/>
      <w:lvlText w:val="○"/>
      <w:lvlJc w:val="left"/>
      <w:pPr>
        <w:ind w:left="1440" w:hanging="360"/>
      </w:pPr>
    </w:lvl>
    <w:lvl w:ilvl="2" w:tplc="0FB61CC2">
      <w:start w:val="1"/>
      <w:numFmt w:val="bullet"/>
      <w:lvlText w:val="■"/>
      <w:lvlJc w:val="left"/>
      <w:pPr>
        <w:ind w:left="2160" w:hanging="360"/>
      </w:pPr>
    </w:lvl>
    <w:lvl w:ilvl="3" w:tplc="C1CE8266">
      <w:start w:val="1"/>
      <w:numFmt w:val="bullet"/>
      <w:lvlText w:val="●"/>
      <w:lvlJc w:val="left"/>
      <w:pPr>
        <w:ind w:left="2880" w:hanging="360"/>
      </w:pPr>
    </w:lvl>
    <w:lvl w:ilvl="4" w:tplc="031EFFA4">
      <w:start w:val="1"/>
      <w:numFmt w:val="bullet"/>
      <w:lvlText w:val="○"/>
      <w:lvlJc w:val="left"/>
      <w:pPr>
        <w:ind w:left="3600" w:hanging="360"/>
      </w:pPr>
    </w:lvl>
    <w:lvl w:ilvl="5" w:tplc="F8F2E894">
      <w:start w:val="1"/>
      <w:numFmt w:val="bullet"/>
      <w:lvlText w:val="■"/>
      <w:lvlJc w:val="left"/>
      <w:pPr>
        <w:ind w:left="4320" w:hanging="360"/>
      </w:pPr>
    </w:lvl>
    <w:lvl w:ilvl="6" w:tplc="10CEFD0C">
      <w:start w:val="1"/>
      <w:numFmt w:val="bullet"/>
      <w:lvlText w:val="●"/>
      <w:lvlJc w:val="left"/>
      <w:pPr>
        <w:ind w:left="5040" w:hanging="360"/>
      </w:pPr>
    </w:lvl>
    <w:lvl w:ilvl="7" w:tplc="6EBCB762">
      <w:start w:val="1"/>
      <w:numFmt w:val="bullet"/>
      <w:lvlText w:val="●"/>
      <w:lvlJc w:val="left"/>
      <w:pPr>
        <w:ind w:left="5760" w:hanging="360"/>
      </w:pPr>
    </w:lvl>
    <w:lvl w:ilvl="8" w:tplc="BCF0E3AE">
      <w:start w:val="1"/>
      <w:numFmt w:val="bullet"/>
      <w:lvlText w:val="●"/>
      <w:lvlJc w:val="left"/>
      <w:pPr>
        <w:ind w:left="6480" w:hanging="360"/>
      </w:pPr>
    </w:lvl>
  </w:abstractNum>
  <w:abstractNum w:abstractNumId="2" w15:restartNumberingAfterBreak="0">
    <w:nsid w:val="68FB2630"/>
    <w:multiLevelType w:val="hybridMultilevel"/>
    <w:tmpl w:val="4C18A9E6"/>
    <w:lvl w:ilvl="0" w:tplc="66F09D88">
      <w:start w:val="1"/>
      <w:numFmt w:val="bullet"/>
      <w:lvlText w:val="◦"/>
      <w:lvlJc w:val="left"/>
      <w:pPr>
        <w:ind w:left="1080" w:hanging="360"/>
      </w:pPr>
    </w:lvl>
    <w:lvl w:ilvl="1" w:tplc="FFA85916">
      <w:numFmt w:val="decimal"/>
      <w:lvlText w:val=""/>
      <w:lvlJc w:val="left"/>
    </w:lvl>
    <w:lvl w:ilvl="2" w:tplc="FB82740E">
      <w:numFmt w:val="decimal"/>
      <w:lvlText w:val=""/>
      <w:lvlJc w:val="left"/>
    </w:lvl>
    <w:lvl w:ilvl="3" w:tplc="A7005264">
      <w:numFmt w:val="decimal"/>
      <w:lvlText w:val=""/>
      <w:lvlJc w:val="left"/>
    </w:lvl>
    <w:lvl w:ilvl="4" w:tplc="5D5A9A70">
      <w:numFmt w:val="decimal"/>
      <w:lvlText w:val=""/>
      <w:lvlJc w:val="left"/>
    </w:lvl>
    <w:lvl w:ilvl="5" w:tplc="3BA234E0">
      <w:numFmt w:val="decimal"/>
      <w:lvlText w:val=""/>
      <w:lvlJc w:val="left"/>
    </w:lvl>
    <w:lvl w:ilvl="6" w:tplc="CD04BEEC">
      <w:numFmt w:val="decimal"/>
      <w:lvlText w:val=""/>
      <w:lvlJc w:val="left"/>
    </w:lvl>
    <w:lvl w:ilvl="7" w:tplc="0D14087A">
      <w:numFmt w:val="decimal"/>
      <w:lvlText w:val=""/>
      <w:lvlJc w:val="left"/>
    </w:lvl>
    <w:lvl w:ilvl="8" w:tplc="A90CD7AA">
      <w:numFmt w:val="decimal"/>
      <w:lvlText w:val=""/>
      <w:lvlJc w:val="left"/>
    </w:lvl>
  </w:abstractNum>
  <w:num w:numId="1" w16cid:durableId="787815953">
    <w:abstractNumId w:val="1"/>
    <w:lvlOverride w:ilvl="0">
      <w:startOverride w:val="1"/>
    </w:lvlOverride>
  </w:num>
  <w:num w:numId="2" w16cid:durableId="639382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36"/>
    <w:rsid w:val="002363C8"/>
    <w:rsid w:val="0057633E"/>
    <w:rsid w:val="006D3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728E"/>
  <w15:docId w15:val="{0239C4BF-B71A-4699-9F07-F0D0EA31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2C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1289</Words>
  <Characters>8065</Characters>
  <Application>Microsoft Office Word</Application>
  <DocSecurity>0</DocSecurity>
  <Lines>126</Lines>
  <Paragraphs>40</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Trzesniak</cp:lastModifiedBy>
  <cp:revision>2</cp:revision>
  <dcterms:created xsi:type="dcterms:W3CDTF">2026-03-16T14:45:00Z</dcterms:created>
  <dcterms:modified xsi:type="dcterms:W3CDTF">2026-03-16T15:41:00Z</dcterms:modified>
</cp:coreProperties>
</file>