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0" w:sz="1"/>
              <w:left w:val="single" w:color="CBD5E0" w:sz="1"/>
              <w:bottom w:val="single" w:color="CBD5E0" w:sz="1"/>
              <w:right w:val="single" w:color="CBD5E0" w:sz="1"/>
            </w:tcBorders>
            <w:shd w:fill="0D1B3E" w:val="clear"/>
            <w:tcMar>
              <w:top w:type="dxa" w:w="100"/>
              <w:left w:type="dxa" w:w="160"/>
              <w:bottom w:type="dxa" w:w="100"/>
              <w:right w:type="dxa" w:w="160"/>
            </w:tcMar>
          </w:tcPr>
          <w:p>
            <w:pPr>
              <w:spacing w:after="60" w:before="0"/>
            </w:pPr>
            <w:r>
              <w:rPr>
                <w:rFonts w:ascii="Arial" w:cs="Arial" w:eastAsia="Arial" w:hAnsi="Arial"/>
                <w:b/>
                <w:bCs/>
                <w:color w:val="FFFFFF"/>
                <w:sz w:val="28"/>
                <w:szCs w:val="28"/>
              </w:rPr>
              <w:t xml:space="preserve">BVRIT HYDERABAD COLLEGE OF ENGINEERING FOR WOMEN</w:t>
            </w:r>
          </w:p>
          <w:p>
            <w:pPr>
              <w:spacing w:after="60" w:before="0"/>
            </w:pPr>
            <w:r>
              <w:rPr>
                <w:rFonts w:ascii="Arial" w:cs="Arial" w:eastAsia="Arial" w:hAnsi="Arial"/>
                <w:b/>
                <w:bCs/>
                <w:color w:val="C8962E"/>
                <w:sz w:val="22"/>
                <w:szCs w:val="22"/>
              </w:rPr>
              <w:t xml:space="preserve">College Information Document</w:t>
            </w:r>
          </w:p>
          <w:p>
            <w:pPr>
              <w:spacing w:after="60" w:before="0"/>
            </w:pPr>
            <w:r>
              <w:rPr>
                <w:rFonts w:ascii="Arial" w:cs="Arial" w:eastAsia="Arial" w:hAnsi="Arial"/>
                <w:color w:val="B0BEC5"/>
                <w:sz w:val="20"/>
                <w:szCs w:val="20"/>
              </w:rPr>
              <w:t xml:space="preserve">Comprehensive reference for the BVRIT FAQ Chatbot · Academic Year 2025–26</w:t>
            </w:r>
          </w:p>
          <w:p>
            <w:pPr>
              <w:spacing w:after="120" w:before="0"/>
            </w:pPr>
            <w:r>
              <w:rPr>
                <w:rFonts w:ascii="Arial" w:cs="Arial" w:eastAsia="Arial" w:hAnsi="Arial"/>
                <w:color w:val="8899AA"/>
                <w:sz w:val="18"/>
                <w:szCs w:val="18"/>
              </w:rPr>
              <w:t xml:space="preserve">Version 1.0  ·  Last Updated: 1 July 2025  ·  Document Owner: Office of the Dean (Academics)</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0" w:sz="1"/>
              <w:left w:val="single" w:color="CBD5E0" w:sz="1"/>
              <w:bottom w:val="single" w:color="CBD5E0" w:sz="1"/>
              <w:right w:val="single" w:color="CBD5E0" w:sz="1"/>
            </w:tcBorders>
            <w:shd w:fill="FEF9EF" w:val="clear"/>
            <w:tcMar>
              <w:top w:type="dxa" w:w="100"/>
              <w:left w:type="dxa" w:w="160"/>
              <w:bottom w:type="dxa" w:w="100"/>
              <w:right w:type="dxa" w:w="160"/>
            </w:tcMar>
          </w:tcPr>
          <w:p>
            <w:pPr>
              <w:spacing w:after="60" w:before="0"/>
            </w:pPr>
            <w:r>
              <w:rPr>
                <w:rFonts w:ascii="Arial" w:cs="Arial" w:eastAsia="Arial" w:hAnsi="Arial"/>
                <w:b/>
                <w:bCs/>
                <w:sz w:val="22"/>
                <w:szCs w:val="22"/>
              </w:rPr>
              <w:t xml:space="preserve">NOTICE</w:t>
            </w:r>
          </w:p>
          <w:p>
            <w:pPr>
              <w:spacing w:after="120" w:before="0"/>
            </w:pPr>
            <w:r>
              <w:rPr>
                <w:rFonts w:ascii="Arial" w:cs="Arial" w:eastAsia="Arial" w:hAnsi="Arial"/>
                <w:sz w:val="22"/>
                <w:szCs w:val="22"/>
              </w:rPr>
              <w:t xml:space="preserve">This document is generated for educational purposes as part of the GenAI &amp; Agentic AI Engineering programme. It contains representative data modelled on typical engineering college structures in Telangana. Some figures, dates, and names are illustrative. Students should treat this as their authoritative grounding document for all chatbot exercises.</w:t>
            </w:r>
          </w:p>
        </w:tc>
      </w:tr>
    </w:tbl>
    <w:p>
      <w:pPr>
        <w:spacing w:after="80" w:before="0"/>
      </w:pPr>
    </w:p>
    <w:p>
      <w:pPr>
        <w:pStyle w:val="Heading1"/>
        <w:spacing w:after="180" w:before="400"/>
      </w:pPr>
      <w:r>
        <w:rPr>
          <w:rFonts w:ascii="Arial" w:cs="Arial" w:eastAsia="Arial" w:hAnsi="Arial"/>
          <w:b/>
          <w:bCs/>
          <w:color w:val="0F2D55"/>
          <w:sz w:val="32"/>
          <w:szCs w:val="32"/>
        </w:rPr>
        <w:t xml:space="preserve">1. ABOUT BVRIT</w:t>
      </w:r>
    </w:p>
    <w:p>
      <w:pPr>
        <w:spacing w:after="120" w:before="0"/>
      </w:pPr>
      <w:r>
        <w:rPr>
          <w:rFonts w:ascii="Arial" w:cs="Arial" w:eastAsia="Arial" w:hAnsi="Arial"/>
          <w:sz w:val="22"/>
          <w:szCs w:val="22"/>
        </w:rPr>
        <w:t xml:space="preserve">B V Raju Institute of Technology (BVRIT) Hyderabad College of Engineering for Women is an autonomous institution affiliated to Jawaharlal Nehru Technological University, Hyderabad (JNTUH). The college is located in Narsapur, Medak District, Telangana, on a 125-acre campus approximately 50 km from Hyderabad city centre.</w:t>
      </w:r>
    </w:p>
    <w:p>
      <w:pPr>
        <w:spacing w:after="40" w:before="0"/>
      </w:pPr>
    </w:p>
    <w:p>
      <w:pPr>
        <w:spacing w:after="120" w:before="0"/>
      </w:pPr>
      <w:r>
        <w:rPr>
          <w:rFonts w:ascii="Arial" w:cs="Arial" w:eastAsia="Arial" w:hAnsi="Arial"/>
          <w:sz w:val="22"/>
          <w:szCs w:val="22"/>
        </w:rPr>
        <w:t xml:space="preserve">BVRIT was established in 2009 by the Vishnu Educational Society, inspired by the vision of Sri B V Raju. The college exclusively admits women students and has grown to over 3,500 students across seven B.Tech programmes.</w:t>
      </w:r>
    </w:p>
    <w:p>
      <w:pPr>
        <w:spacing w:after="40" w:before="0"/>
      </w:pPr>
    </w:p>
    <w:p>
      <w:pPr>
        <w:pStyle w:val="Heading2"/>
        <w:spacing w:after="120" w:before="300"/>
      </w:pPr>
      <w:r>
        <w:rPr>
          <w:rFonts w:ascii="Arial" w:cs="Arial" w:eastAsia="Arial" w:hAnsi="Arial"/>
          <w:b/>
          <w:bCs/>
          <w:color w:val="0F7173"/>
          <w:sz w:val="26"/>
          <w:szCs w:val="26"/>
        </w:rPr>
        <w:t xml:space="preserve">1.1 Vision</w:t>
      </w:r>
    </w:p>
    <w:p>
      <w:pPr>
        <w:spacing w:after="120" w:before="0"/>
      </w:pPr>
      <w:r>
        <w:rPr>
          <w:rFonts w:ascii="Arial" w:cs="Arial" w:eastAsia="Arial" w:hAnsi="Arial"/>
          <w:sz w:val="22"/>
          <w:szCs w:val="22"/>
        </w:rPr>
        <w:t xml:space="preserve">To be a premier institution empowering women through quality technical education, research, and innovation.</w:t>
      </w:r>
    </w:p>
    <w:p>
      <w:pPr>
        <w:pStyle w:val="Heading2"/>
        <w:spacing w:after="120" w:before="300"/>
      </w:pPr>
      <w:r>
        <w:rPr>
          <w:rFonts w:ascii="Arial" w:cs="Arial" w:eastAsia="Arial" w:hAnsi="Arial"/>
          <w:b/>
          <w:bCs/>
          <w:color w:val="0F7173"/>
          <w:sz w:val="26"/>
          <w:szCs w:val="26"/>
        </w:rPr>
        <w:t xml:space="preserve">1.2 Mission</w:t>
      </w:r>
    </w:p>
    <w:p>
      <w:pPr>
        <w:spacing w:after="120" w:before="0"/>
      </w:pPr>
      <w:r>
        <w:rPr>
          <w:rFonts w:ascii="Arial" w:cs="Arial" w:eastAsia="Arial" w:hAnsi="Arial"/>
          <w:sz w:val="22"/>
          <w:szCs w:val="22"/>
        </w:rPr>
        <w:t xml:space="preserve">To provide industry-relevant engineering education with a focus on holistic development, ethical leadership, and social responsibility.</w:t>
      </w:r>
    </w:p>
    <w:p>
      <w:pPr>
        <w:pStyle w:val="Heading2"/>
        <w:spacing w:after="120" w:before="300"/>
      </w:pPr>
      <w:r>
        <w:rPr>
          <w:rFonts w:ascii="Arial" w:cs="Arial" w:eastAsia="Arial" w:hAnsi="Arial"/>
          <w:b/>
          <w:bCs/>
          <w:color w:val="0F7173"/>
          <w:sz w:val="26"/>
          <w:szCs w:val="26"/>
        </w:rPr>
        <w:t xml:space="preserve">1.3 Accreditations &amp; Rankings</w:t>
      </w:r>
    </w:p>
    <w:p>
      <w:pPr>
        <w:spacing w:after="120" w:before="0"/>
      </w:pPr>
      <w:r>
        <w:rPr>
          <w:rFonts w:ascii="Arial" w:cs="Arial" w:eastAsia="Arial" w:hAnsi="Arial"/>
          <w:sz w:val="22"/>
          <w:szCs w:val="22"/>
        </w:rPr>
        <w:t xml:space="preserve">• NAAC Accredited with ‘A’ Grade
• NBA Accredited: CSE, ECE, EEE, Mechanical, and IT programmes
• Approved by AICTE, New Delhi
• Autonomous status granted by UGC
• NIRF 2024 Rank Band: 201–300 (Engineering category)</w:t>
      </w:r>
    </w:p>
    <w:p>
      <w:pPr>
        <w:pStyle w:val="Heading1"/>
        <w:spacing w:after="180" w:before="400"/>
      </w:pPr>
      <w:r>
        <w:rPr>
          <w:rFonts w:ascii="Arial" w:cs="Arial" w:eastAsia="Arial" w:hAnsi="Arial"/>
          <w:b/>
          <w:bCs/>
          <w:color w:val="0F2D55"/>
          <w:sz w:val="32"/>
          <w:szCs w:val="32"/>
        </w:rPr>
        <w:t xml:space="preserve">2. DEPARTMENTS &amp; PROGRAMMES</w:t>
      </w:r>
    </w:p>
    <w:p>
      <w:pPr>
        <w:spacing w:after="120" w:before="0"/>
      </w:pPr>
      <w:r>
        <w:rPr>
          <w:rFonts w:ascii="Arial" w:cs="Arial" w:eastAsia="Arial" w:hAnsi="Arial"/>
          <w:sz w:val="22"/>
          <w:szCs w:val="22"/>
        </w:rPr>
        <w:t xml:space="preserve">BVRIT offers seven B.Tech programmes across seven departments. Each department maintains dedicated laboratories, a department library, and active industry partnerships.</w:t>
      </w:r>
    </w:p>
    <w:p>
      <w:pPr>
        <w:spacing w:after="4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900"/>
        <w:gridCol w:w="1300"/>
        <w:gridCol w:w="1300"/>
      </w:tblGrid>
      <w:tr>
        <w:tc>
          <w:tcPr>
            <w:tcW w:type="dxa" w:w="220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Department</w:t>
            </w:r>
          </w:p>
        </w:tc>
        <w:tc>
          <w:tcPr>
            <w:tcW w:type="dxa" w:w="180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Programme</w:t>
            </w:r>
          </w:p>
        </w:tc>
        <w:tc>
          <w:tcPr>
            <w:tcW w:type="dxa" w:w="90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Year Est.</w:t>
            </w:r>
          </w:p>
        </w:tc>
        <w:tc>
          <w:tcPr>
            <w:tcW w:type="dxa" w:w="130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Faculty Count</w:t>
            </w:r>
          </w:p>
        </w:tc>
        <w:tc>
          <w:tcPr>
            <w:tcW w:type="dxa" w:w="130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Student Intake</w:t>
            </w:r>
          </w:p>
        </w:tc>
      </w:tr>
      <w:tr>
        <w:tc>
          <w:tcPr>
            <w:tcW w:type="dxa" w:w="22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Computer Science &amp; Engineering</w:t>
            </w:r>
          </w:p>
        </w:tc>
        <w:tc>
          <w:tcPr>
            <w:tcW w:type="dxa" w:w="1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B.Tech CSE</w:t>
            </w:r>
          </w:p>
        </w:tc>
        <w:tc>
          <w:tcPr>
            <w:tcW w:type="dxa" w:w="9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2009</w:t>
            </w:r>
          </w:p>
        </w:tc>
        <w:tc>
          <w:tcPr>
            <w:tcW w:type="dxa" w:w="13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45</w:t>
            </w:r>
          </w:p>
        </w:tc>
        <w:tc>
          <w:tcPr>
            <w:tcW w:type="dxa" w:w="13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240</w:t>
            </w:r>
          </w:p>
        </w:tc>
      </w:tr>
      <w:tr>
        <w:tc>
          <w:tcPr>
            <w:tcW w:type="dxa" w:w="22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CSE (AI &amp; Machine Learning)</w:t>
            </w:r>
          </w:p>
        </w:tc>
        <w:tc>
          <w:tcPr>
            <w:tcW w:type="dxa" w:w="18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B.Tech CSE (AI&amp;ML)</w:t>
            </w:r>
          </w:p>
        </w:tc>
        <w:tc>
          <w:tcPr>
            <w:tcW w:type="dxa" w:w="9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2021</w:t>
            </w:r>
          </w:p>
        </w:tc>
        <w:tc>
          <w:tcPr>
            <w:tcW w:type="dxa" w:w="13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18</w:t>
            </w:r>
          </w:p>
        </w:tc>
        <w:tc>
          <w:tcPr>
            <w:tcW w:type="dxa" w:w="13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120</w:t>
            </w:r>
          </w:p>
        </w:tc>
      </w:tr>
      <w:tr>
        <w:tc>
          <w:tcPr>
            <w:tcW w:type="dxa" w:w="22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CSE (Data Science)</w:t>
            </w:r>
          </w:p>
        </w:tc>
        <w:tc>
          <w:tcPr>
            <w:tcW w:type="dxa" w:w="1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B.Tech CSE (DS)</w:t>
            </w:r>
          </w:p>
        </w:tc>
        <w:tc>
          <w:tcPr>
            <w:tcW w:type="dxa" w:w="9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2021</w:t>
            </w:r>
          </w:p>
        </w:tc>
        <w:tc>
          <w:tcPr>
            <w:tcW w:type="dxa" w:w="13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16</w:t>
            </w:r>
          </w:p>
        </w:tc>
        <w:tc>
          <w:tcPr>
            <w:tcW w:type="dxa" w:w="13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120</w:t>
            </w:r>
          </w:p>
        </w:tc>
      </w:tr>
      <w:tr>
        <w:tc>
          <w:tcPr>
            <w:tcW w:type="dxa" w:w="22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Electronics &amp; Communication Engg.</w:t>
            </w:r>
          </w:p>
        </w:tc>
        <w:tc>
          <w:tcPr>
            <w:tcW w:type="dxa" w:w="18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B.Tech ECE</w:t>
            </w:r>
          </w:p>
        </w:tc>
        <w:tc>
          <w:tcPr>
            <w:tcW w:type="dxa" w:w="9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2009</w:t>
            </w:r>
          </w:p>
        </w:tc>
        <w:tc>
          <w:tcPr>
            <w:tcW w:type="dxa" w:w="13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38</w:t>
            </w:r>
          </w:p>
        </w:tc>
        <w:tc>
          <w:tcPr>
            <w:tcW w:type="dxa" w:w="13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180</w:t>
            </w:r>
          </w:p>
        </w:tc>
      </w:tr>
      <w:tr>
        <w:tc>
          <w:tcPr>
            <w:tcW w:type="dxa" w:w="22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Electrical &amp; Electronics Engg.</w:t>
            </w:r>
          </w:p>
        </w:tc>
        <w:tc>
          <w:tcPr>
            <w:tcW w:type="dxa" w:w="1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B.Tech EEE</w:t>
            </w:r>
          </w:p>
        </w:tc>
        <w:tc>
          <w:tcPr>
            <w:tcW w:type="dxa" w:w="9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2009</w:t>
            </w:r>
          </w:p>
        </w:tc>
        <w:tc>
          <w:tcPr>
            <w:tcW w:type="dxa" w:w="13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28</w:t>
            </w:r>
          </w:p>
        </w:tc>
        <w:tc>
          <w:tcPr>
            <w:tcW w:type="dxa" w:w="13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120</w:t>
            </w:r>
          </w:p>
        </w:tc>
      </w:tr>
      <w:tr>
        <w:tc>
          <w:tcPr>
            <w:tcW w:type="dxa" w:w="22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Mechanical Engineering</w:t>
            </w:r>
          </w:p>
        </w:tc>
        <w:tc>
          <w:tcPr>
            <w:tcW w:type="dxa" w:w="18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B.Tech Mechanical</w:t>
            </w:r>
          </w:p>
        </w:tc>
        <w:tc>
          <w:tcPr>
            <w:tcW w:type="dxa" w:w="9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2009</w:t>
            </w:r>
          </w:p>
        </w:tc>
        <w:tc>
          <w:tcPr>
            <w:tcW w:type="dxa" w:w="13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25</w:t>
            </w:r>
          </w:p>
        </w:tc>
        <w:tc>
          <w:tcPr>
            <w:tcW w:type="dxa" w:w="13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60</w:t>
            </w:r>
          </w:p>
        </w:tc>
      </w:tr>
      <w:tr>
        <w:tc>
          <w:tcPr>
            <w:tcW w:type="dxa" w:w="22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Information Technology</w:t>
            </w:r>
          </w:p>
        </w:tc>
        <w:tc>
          <w:tcPr>
            <w:tcW w:type="dxa" w:w="1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B.Tech IT</w:t>
            </w:r>
          </w:p>
        </w:tc>
        <w:tc>
          <w:tcPr>
            <w:tcW w:type="dxa" w:w="9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2009</w:t>
            </w:r>
          </w:p>
        </w:tc>
        <w:tc>
          <w:tcPr>
            <w:tcW w:type="dxa" w:w="13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32</w:t>
            </w:r>
          </w:p>
        </w:tc>
        <w:tc>
          <w:tcPr>
            <w:tcW w:type="dxa" w:w="13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180</w:t>
            </w:r>
          </w:p>
        </w:tc>
      </w:tr>
    </w:tbl>
    <w:p>
      <w:pPr>
        <w:spacing w:after="60" w:before="0"/>
      </w:pPr>
    </w:p>
    <w:p>
      <w:pPr>
        <w:pStyle w:val="Heading2"/>
        <w:spacing w:after="120" w:before="300"/>
      </w:pPr>
      <w:r>
        <w:rPr>
          <w:rFonts w:ascii="Arial" w:cs="Arial" w:eastAsia="Arial" w:hAnsi="Arial"/>
          <w:b/>
          <w:bCs/>
          <w:color w:val="0F7173"/>
          <w:sz w:val="26"/>
          <w:szCs w:val="26"/>
        </w:rPr>
        <w:t xml:space="preserve">2.1 Computer Science &amp; Engineering (CSE)</w:t>
      </w:r>
    </w:p>
    <w:p>
      <w:pPr>
        <w:spacing w:after="120" w:before="0"/>
      </w:pPr>
      <w:r>
        <w:rPr>
          <w:rFonts w:ascii="Arial" w:cs="Arial" w:eastAsia="Arial" w:hAnsi="Arial"/>
          <w:sz w:val="22"/>
          <w:szCs w:val="22"/>
        </w:rPr>
        <w:t xml:space="preserve">The CSE department is the largest at BVRIT with 45 faculty members, including 8 with PhD qualifications and 12 pursuing doctoral research. The department operates 6 computing laboratories with 360 workstations. Key research areas include artificial intelligence, cybersecurity, cloud computing, and software engineering.</w:t>
      </w:r>
    </w:p>
    <w:p>
      <w:pPr>
        <w:spacing w:after="120" w:before="0"/>
      </w:pPr>
      <w:r>
        <w:rPr>
          <w:rFonts w:ascii="Arial" w:cs="Arial" w:eastAsia="Arial" w:hAnsi="Arial"/>
          <w:sz w:val="22"/>
          <w:szCs w:val="22"/>
        </w:rPr>
        <w:t xml:space="preserve">The department offers two specialisation tracks from the third year: Data Science and Cyber Security. Students choose one specialisation based on their interests and career goals. The CSE department has a dedicated placement cell that works with companies like TCS, Infosys, Wipro, Cognizant, Amazon, and Microsoft.</w:t>
      </w:r>
    </w:p>
    <w:p>
      <w:pPr>
        <w:spacing w:after="120" w:before="0"/>
      </w:pPr>
      <w:r>
        <w:rPr>
          <w:rFonts w:ascii="Arial" w:cs="Arial" w:eastAsia="Arial" w:hAnsi="Arial"/>
          <w:sz w:val="22"/>
          <w:szCs w:val="22"/>
        </w:rPr>
        <w:t xml:space="preserve">Notable achievements: 15 student research papers published in IEEE conferences in 2024–25. Three teams qualified for Smart India Hackathon 2025 national finals. The BVRIT ACM Student Chapter has 280 active members.</w:t>
      </w:r>
    </w:p>
    <w:p>
      <w:pPr>
        <w:pStyle w:val="Heading2"/>
        <w:spacing w:after="120" w:before="300"/>
      </w:pPr>
      <w:r>
        <w:rPr>
          <w:rFonts w:ascii="Arial" w:cs="Arial" w:eastAsia="Arial" w:hAnsi="Arial"/>
          <w:b/>
          <w:bCs/>
          <w:color w:val="0F7173"/>
          <w:sz w:val="26"/>
          <w:szCs w:val="26"/>
        </w:rPr>
        <w:t xml:space="preserve">2.2 Electronics &amp; Communication Engineering (ECE)</w:t>
      </w:r>
    </w:p>
    <w:p>
      <w:pPr>
        <w:spacing w:after="120" w:before="0"/>
      </w:pPr>
      <w:r>
        <w:rPr>
          <w:rFonts w:ascii="Arial" w:cs="Arial" w:eastAsia="Arial" w:hAnsi="Arial"/>
          <w:sz w:val="22"/>
          <w:szCs w:val="22"/>
        </w:rPr>
        <w:t xml:space="preserve">The ECE department has 38 faculty members, including 6 with PhD qualifications. The department maintains 5 laboratories covering VLSI design, embedded systems, communication systems, signal processing, and IoT. Key research areas include antenna design, wireless communications, and MEMS technology.</w:t>
      </w:r>
    </w:p>
    <w:p>
      <w:pPr>
        <w:spacing w:after="120" w:before="0"/>
      </w:pPr>
      <w:r>
        <w:rPr>
          <w:rFonts w:ascii="Arial" w:cs="Arial" w:eastAsia="Arial" w:hAnsi="Arial"/>
          <w:sz w:val="22"/>
          <w:szCs w:val="22"/>
        </w:rPr>
        <w:t xml:space="preserve">The ECE department partners with Texas Instruments for an embedded systems lab and with National Instruments for a LabVIEW certification programme. Students have access to industry-standard EDA tools including Cadence Virtuoso and Synopsys Design Compiler.</w:t>
      </w:r>
    </w:p>
    <w:p>
      <w:pPr>
        <w:spacing w:after="120" w:before="0"/>
      </w:pPr>
      <w:r>
        <w:rPr>
          <w:rFonts w:ascii="Arial" w:cs="Arial" w:eastAsia="Arial" w:hAnsi="Arial"/>
          <w:sz w:val="22"/>
          <w:szCs w:val="22"/>
        </w:rPr>
        <w:t xml:space="preserve">Notable achievements: 8 student patents filed in 2024–25. The department’s robotics team won second place at Robocon 2025 regional qualifiers.</w:t>
      </w:r>
    </w:p>
    <w:p>
      <w:pPr>
        <w:pStyle w:val="Heading2"/>
        <w:spacing w:after="120" w:before="300"/>
      </w:pPr>
      <w:r>
        <w:rPr>
          <w:rFonts w:ascii="Arial" w:cs="Arial" w:eastAsia="Arial" w:hAnsi="Arial"/>
          <w:b/>
          <w:bCs/>
          <w:color w:val="0F7173"/>
          <w:sz w:val="26"/>
          <w:szCs w:val="26"/>
        </w:rPr>
        <w:t xml:space="preserve">2.3 Electrical &amp; Electronics Engineering (EEE)</w:t>
      </w:r>
    </w:p>
    <w:p>
      <w:pPr>
        <w:spacing w:after="120" w:before="0"/>
      </w:pPr>
      <w:r>
        <w:rPr>
          <w:rFonts w:ascii="Arial" w:cs="Arial" w:eastAsia="Arial" w:hAnsi="Arial"/>
          <w:sz w:val="22"/>
          <w:szCs w:val="22"/>
        </w:rPr>
        <w:t xml:space="preserve">The EEE department has 28 faculty members, including 5 with PhD qualifications. The department operates 4 laboratories: power electronics, electrical machines, control systems, and renewable energy. The department has a 10 kW rooftop solar installation used for teaching and research.</w:t>
      </w:r>
    </w:p>
    <w:p>
      <w:pPr>
        <w:spacing w:after="120" w:before="0"/>
      </w:pPr>
      <w:r>
        <w:rPr>
          <w:rFonts w:ascii="Arial" w:cs="Arial" w:eastAsia="Arial" w:hAnsi="Arial"/>
          <w:sz w:val="22"/>
          <w:szCs w:val="22"/>
        </w:rPr>
        <w:t xml:space="preserve">Key focus areas include smart grid technology, electric vehicle systems, and power system protection. The department collaborates with BHEL and NTPC for industrial training programmes.</w:t>
      </w:r>
    </w:p>
    <w:p>
      <w:pPr>
        <w:pStyle w:val="Heading2"/>
        <w:spacing w:after="120" w:before="300"/>
      </w:pPr>
      <w:r>
        <w:rPr>
          <w:rFonts w:ascii="Arial" w:cs="Arial" w:eastAsia="Arial" w:hAnsi="Arial"/>
          <w:b/>
          <w:bCs/>
          <w:color w:val="0F7173"/>
          <w:sz w:val="26"/>
          <w:szCs w:val="26"/>
        </w:rPr>
        <w:t xml:space="preserve">2.4 Mechanical Engineering</w:t>
      </w:r>
    </w:p>
    <w:p>
      <w:pPr>
        <w:spacing w:after="120" w:before="0"/>
      </w:pPr>
      <w:r>
        <w:rPr>
          <w:rFonts w:ascii="Arial" w:cs="Arial" w:eastAsia="Arial" w:hAnsi="Arial"/>
          <w:sz w:val="22"/>
          <w:szCs w:val="22"/>
        </w:rPr>
        <w:t xml:space="preserve">The Mechanical Engineering department has 25 faculty members, including 4 with PhD qualifications. Facilities include workshops for manufacturing processes, a CAD/CAM laboratory, thermal engineering lab, and a material testing laboratory. The department has an MoU with Siemens for NX software training.</w:t>
      </w:r>
    </w:p>
    <w:p>
      <w:pPr>
        <w:spacing w:after="120" w:before="0"/>
      </w:pPr>
      <w:r>
        <w:rPr>
          <w:rFonts w:ascii="Arial" w:cs="Arial" w:eastAsia="Arial" w:hAnsi="Arial"/>
          <w:sz w:val="22"/>
          <w:szCs w:val="22"/>
        </w:rPr>
        <w:t xml:space="preserve">The department operates a student-run Formula SAE team that designs, builds, and races an open-wheel car annually. The team placed 8th nationally in Formula Bharat 2025.</w:t>
      </w:r>
    </w:p>
    <w:p>
      <w:pPr>
        <w:pStyle w:val="Heading2"/>
        <w:spacing w:after="120" w:before="300"/>
      </w:pPr>
      <w:r>
        <w:rPr>
          <w:rFonts w:ascii="Arial" w:cs="Arial" w:eastAsia="Arial" w:hAnsi="Arial"/>
          <w:b/>
          <w:bCs/>
          <w:color w:val="0F7173"/>
          <w:sz w:val="26"/>
          <w:szCs w:val="26"/>
        </w:rPr>
        <w:t xml:space="preserve">2.5 Information Technology (IT)</w:t>
      </w:r>
    </w:p>
    <w:p>
      <w:pPr>
        <w:spacing w:after="120" w:before="0"/>
      </w:pPr>
      <w:r>
        <w:rPr>
          <w:rFonts w:ascii="Arial" w:cs="Arial" w:eastAsia="Arial" w:hAnsi="Arial"/>
          <w:sz w:val="22"/>
          <w:szCs w:val="22"/>
        </w:rPr>
        <w:t xml:space="preserve">The IT department has 32 faculty members, including 5 with PhD qualifications. The department focuses on web technologies, database systems, software testing, and network security. It operates 4 computing laboratories with 240 workstations.</w:t>
      </w:r>
    </w:p>
    <w:p>
      <w:pPr>
        <w:spacing w:after="120" w:before="0"/>
      </w:pPr>
      <w:r>
        <w:rPr>
          <w:rFonts w:ascii="Arial" w:cs="Arial" w:eastAsia="Arial" w:hAnsi="Arial"/>
          <w:sz w:val="22"/>
          <w:szCs w:val="22"/>
        </w:rPr>
        <w:t xml:space="preserve">The IT department runs an annual 24-hour hackathon (BVRIT HackIT) that attracts participants from 30+ colleges across Telangana. The department has active partnerships with Oracle Academy, Red Hat, and AWS Educate.</w:t>
      </w:r>
    </w:p>
    <w:p>
      <w:pPr>
        <w:pStyle w:val="Heading2"/>
        <w:spacing w:after="120" w:before="300"/>
      </w:pPr>
      <w:r>
        <w:rPr>
          <w:rFonts w:ascii="Arial" w:cs="Arial" w:eastAsia="Arial" w:hAnsi="Arial"/>
          <w:b/>
          <w:bCs/>
          <w:color w:val="0F7173"/>
          <w:sz w:val="26"/>
          <w:szCs w:val="26"/>
        </w:rPr>
        <w:t xml:space="preserve">2.6 CSE (Artificial Intelligence &amp; Machine Learning)</w:t>
      </w:r>
    </w:p>
    <w:p>
      <w:pPr>
        <w:spacing w:after="120" w:before="0"/>
      </w:pPr>
      <w:r>
        <w:rPr>
          <w:rFonts w:ascii="Arial" w:cs="Arial" w:eastAsia="Arial" w:hAnsi="Arial"/>
          <w:sz w:val="22"/>
          <w:szCs w:val="22"/>
        </w:rPr>
        <w:t xml:space="preserve">Established in 2021, the AI&amp;ML programme has 18 faculty members, including 3 with PhD qualifications and 6 with industry experience in AI/ML. The department has a dedicated GPU computing lab with 8 NVIDIA A100 workstations for deep learning research.</w:t>
      </w:r>
    </w:p>
    <w:p>
      <w:pPr>
        <w:spacing w:after="120" w:before="0"/>
      </w:pPr>
      <w:r>
        <w:rPr>
          <w:rFonts w:ascii="Arial" w:cs="Arial" w:eastAsia="Arial" w:hAnsi="Arial"/>
          <w:sz w:val="22"/>
          <w:szCs w:val="22"/>
        </w:rPr>
        <w:t xml:space="preserve">Core specialisation areas: computer vision, natural language processing, reinforcement learning, and MLOps. Students complete a mandatory 6-month industry internship in the final year. Partner companies include Google, NVIDIA, and Qualcomm.</w:t>
      </w:r>
    </w:p>
    <w:p>
      <w:pPr>
        <w:pStyle w:val="Heading2"/>
        <w:spacing w:after="120" w:before="300"/>
      </w:pPr>
      <w:r>
        <w:rPr>
          <w:rFonts w:ascii="Arial" w:cs="Arial" w:eastAsia="Arial" w:hAnsi="Arial"/>
          <w:b/>
          <w:bCs/>
          <w:color w:val="0F7173"/>
          <w:sz w:val="26"/>
          <w:szCs w:val="26"/>
        </w:rPr>
        <w:t xml:space="preserve">2.7 CSE (Data Science)</w:t>
      </w:r>
    </w:p>
    <w:p>
      <w:pPr>
        <w:spacing w:after="120" w:before="0"/>
      </w:pPr>
      <w:r>
        <w:rPr>
          <w:rFonts w:ascii="Arial" w:cs="Arial" w:eastAsia="Arial" w:hAnsi="Arial"/>
          <w:sz w:val="22"/>
          <w:szCs w:val="22"/>
        </w:rPr>
        <w:t xml:space="preserve">Established in 2021, the Data Science programme has 16 faculty members, including 2 with PhD qualifications and 5 with industry data science experience. The department emphasises statistical modelling, big data systems, and data engineering.</w:t>
      </w:r>
    </w:p>
    <w:p>
      <w:pPr>
        <w:spacing w:after="120" w:before="0"/>
      </w:pPr>
      <w:r>
        <w:rPr>
          <w:rFonts w:ascii="Arial" w:cs="Arial" w:eastAsia="Arial" w:hAnsi="Arial"/>
          <w:sz w:val="22"/>
          <w:szCs w:val="22"/>
        </w:rPr>
        <w:t xml:space="preserve">Students gain hands-on experience with tools including Apache Spark, Hadoop, Tableau, Power BI, and cloud platforms (AWS, Azure). The department partners with Deloitte and EY for case study projects.</w:t>
      </w:r>
    </w:p>
    <w:p>
      <w:pPr>
        <w:pStyle w:val="Heading1"/>
        <w:spacing w:after="180" w:before="400"/>
      </w:pPr>
      <w:r>
        <w:rPr>
          <w:rFonts w:ascii="Arial" w:cs="Arial" w:eastAsia="Arial" w:hAnsi="Arial"/>
          <w:b/>
          <w:bCs/>
          <w:color w:val="0F2D55"/>
          <w:sz w:val="32"/>
          <w:szCs w:val="32"/>
        </w:rPr>
        <w:t xml:space="preserve">3. FEE STRUCTURE</w:t>
      </w:r>
    </w:p>
    <w:p>
      <w:pPr>
        <w:spacing w:after="120" w:before="0"/>
      </w:pPr>
      <w:r>
        <w:rPr>
          <w:rFonts w:ascii="Arial" w:cs="Arial" w:eastAsia="Arial" w:hAnsi="Arial"/>
          <w:sz w:val="22"/>
          <w:szCs w:val="22"/>
        </w:rPr>
        <w:t xml:space="preserve">All fees are quoted in Indian Rupees (₹) for the academic year 2025–26. Fees are payable annually at the beginning of each academic year. The fee structure is approved by the Telangana State Council for Higher Education (TSCHE).</w:t>
      </w:r>
    </w:p>
    <w:p>
      <w:pPr>
        <w:spacing w:after="40" w:before="0"/>
      </w:pPr>
    </w:p>
    <w:p>
      <w:pPr>
        <w:pStyle w:val="Heading2"/>
        <w:spacing w:after="120" w:before="300"/>
      </w:pPr>
      <w:r>
        <w:rPr>
          <w:rFonts w:ascii="Arial" w:cs="Arial" w:eastAsia="Arial" w:hAnsi="Arial"/>
          <w:b/>
          <w:bCs/>
          <w:color w:val="0F7173"/>
          <w:sz w:val="26"/>
          <w:szCs w:val="26"/>
        </w:rPr>
        <w:t xml:space="preserve">3.1 Tuition Fees by Programme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780"/>
        <w:gridCol w:w="2780"/>
      </w:tblGrid>
      <w:tr>
        <w:tc>
          <w:tcPr>
            <w:tcW w:type="dxa" w:w="380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Programme</w:t>
            </w:r>
          </w:p>
        </w:tc>
        <w:tc>
          <w:tcPr>
            <w:tcW w:type="dxa" w:w="278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Annual Tuition Fee (₹)</w:t>
            </w:r>
          </w:p>
        </w:tc>
        <w:tc>
          <w:tcPr>
            <w:tcW w:type="dxa" w:w="278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4-Year Total (₹)</w:t>
            </w:r>
          </w:p>
        </w:tc>
      </w:tr>
      <w:tr>
        <w:tc>
          <w:tcPr>
            <w:tcW w:type="dxa" w:w="3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B.Tech CSE</w:t>
            </w:r>
          </w:p>
        </w:tc>
        <w:tc>
          <w:tcPr>
            <w:tcW w:type="dxa" w:w="278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₹1,20,000</w:t>
            </w:r>
          </w:p>
        </w:tc>
        <w:tc>
          <w:tcPr>
            <w:tcW w:type="dxa" w:w="278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₹4,80,000</w:t>
            </w:r>
          </w:p>
        </w:tc>
      </w:tr>
      <w:tr>
        <w:tc>
          <w:tcPr>
            <w:tcW w:type="dxa" w:w="38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B.Tech CSE (AI&amp;ML)</w:t>
            </w:r>
          </w:p>
        </w:tc>
        <w:tc>
          <w:tcPr>
            <w:tcW w:type="dxa" w:w="278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₹1,35,000</w:t>
            </w:r>
          </w:p>
        </w:tc>
        <w:tc>
          <w:tcPr>
            <w:tcW w:type="dxa" w:w="278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₹5,40,000</w:t>
            </w:r>
          </w:p>
        </w:tc>
      </w:tr>
      <w:tr>
        <w:tc>
          <w:tcPr>
            <w:tcW w:type="dxa" w:w="3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B.Tech CSE (Data Science)</w:t>
            </w:r>
          </w:p>
        </w:tc>
        <w:tc>
          <w:tcPr>
            <w:tcW w:type="dxa" w:w="278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₹1,35,000</w:t>
            </w:r>
          </w:p>
        </w:tc>
        <w:tc>
          <w:tcPr>
            <w:tcW w:type="dxa" w:w="278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₹5,40,000</w:t>
            </w:r>
          </w:p>
        </w:tc>
      </w:tr>
      <w:tr>
        <w:tc>
          <w:tcPr>
            <w:tcW w:type="dxa" w:w="38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B.Tech ECE</w:t>
            </w:r>
          </w:p>
        </w:tc>
        <w:tc>
          <w:tcPr>
            <w:tcW w:type="dxa" w:w="278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₹1,10,000</w:t>
            </w:r>
          </w:p>
        </w:tc>
        <w:tc>
          <w:tcPr>
            <w:tcW w:type="dxa" w:w="278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₹4,40,000</w:t>
            </w:r>
          </w:p>
        </w:tc>
      </w:tr>
      <w:tr>
        <w:tc>
          <w:tcPr>
            <w:tcW w:type="dxa" w:w="3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B.Tech EEE</w:t>
            </w:r>
          </w:p>
        </w:tc>
        <w:tc>
          <w:tcPr>
            <w:tcW w:type="dxa" w:w="278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₹1,00,000</w:t>
            </w:r>
          </w:p>
        </w:tc>
        <w:tc>
          <w:tcPr>
            <w:tcW w:type="dxa" w:w="278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₹4,00,000</w:t>
            </w:r>
          </w:p>
        </w:tc>
      </w:tr>
      <w:tr>
        <w:tc>
          <w:tcPr>
            <w:tcW w:type="dxa" w:w="38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B.Tech Mechanical</w:t>
            </w:r>
          </w:p>
        </w:tc>
        <w:tc>
          <w:tcPr>
            <w:tcW w:type="dxa" w:w="278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₹1,00,000</w:t>
            </w:r>
          </w:p>
        </w:tc>
        <w:tc>
          <w:tcPr>
            <w:tcW w:type="dxa" w:w="278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₹4,00,000</w:t>
            </w:r>
          </w:p>
        </w:tc>
      </w:tr>
      <w:tr>
        <w:tc>
          <w:tcPr>
            <w:tcW w:type="dxa" w:w="3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B.Tech IT</w:t>
            </w:r>
          </w:p>
        </w:tc>
        <w:tc>
          <w:tcPr>
            <w:tcW w:type="dxa" w:w="278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₹1,10,000</w:t>
            </w:r>
          </w:p>
        </w:tc>
        <w:tc>
          <w:tcPr>
            <w:tcW w:type="dxa" w:w="278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₹4,40,000</w:t>
            </w:r>
          </w:p>
        </w:tc>
      </w:tr>
    </w:tbl>
    <w:p>
      <w:pPr>
        <w:spacing w:after="60" w:before="0"/>
      </w:pPr>
    </w:p>
    <w:p>
      <w:pPr>
        <w:pStyle w:val="Heading2"/>
        <w:spacing w:after="120" w:before="300"/>
      </w:pPr>
      <w:r>
        <w:rPr>
          <w:rFonts w:ascii="Arial" w:cs="Arial" w:eastAsia="Arial" w:hAnsi="Arial"/>
          <w:b/>
          <w:bCs/>
          <w:color w:val="0F7173"/>
          <w:sz w:val="26"/>
          <w:szCs w:val="26"/>
        </w:rPr>
        <w:t xml:space="preserve">3.2 Hostel Fees</w:t>
      </w:r>
    </w:p>
    <w:p>
      <w:pPr>
        <w:spacing w:after="120" w:before="0"/>
      </w:pPr>
      <w:r>
        <w:rPr>
          <w:rFonts w:ascii="Arial" w:cs="Arial" w:eastAsia="Arial" w:hAnsi="Arial"/>
          <w:sz w:val="22"/>
          <w:szCs w:val="22"/>
        </w:rPr>
        <w:t xml:space="preserve">Hostel accommodation is available for all students. The campus has 5 hostel blocks with a total capacity of 3,200 students.</w:t>
      </w:r>
    </w:p>
    <w:p>
      <w:pPr>
        <w:spacing w:after="4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780"/>
        <w:gridCol w:w="2780"/>
      </w:tblGrid>
      <w:tr>
        <w:tc>
          <w:tcPr>
            <w:tcW w:type="dxa" w:w="380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Hostel Component</w:t>
            </w:r>
          </w:p>
        </w:tc>
        <w:tc>
          <w:tcPr>
            <w:tcW w:type="dxa" w:w="278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Annual Fee (₹)</w:t>
            </w:r>
          </w:p>
        </w:tc>
        <w:tc>
          <w:tcPr>
            <w:tcW w:type="dxa" w:w="278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4-Year Total (₹)</w:t>
            </w:r>
          </w:p>
        </w:tc>
      </w:tr>
      <w:tr>
        <w:tc>
          <w:tcPr>
            <w:tcW w:type="dxa" w:w="3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Room Rent (Shared, 3-seater)</w:t>
            </w:r>
          </w:p>
        </w:tc>
        <w:tc>
          <w:tcPr>
            <w:tcW w:type="dxa" w:w="278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₹60,000</w:t>
            </w:r>
          </w:p>
        </w:tc>
        <w:tc>
          <w:tcPr>
            <w:tcW w:type="dxa" w:w="278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₹2,40,000</w:t>
            </w:r>
          </w:p>
        </w:tc>
      </w:tr>
      <w:tr>
        <w:tc>
          <w:tcPr>
            <w:tcW w:type="dxa" w:w="38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Room Rent (Shared, 2-seater)</w:t>
            </w:r>
          </w:p>
        </w:tc>
        <w:tc>
          <w:tcPr>
            <w:tcW w:type="dxa" w:w="278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₹75,000</w:t>
            </w:r>
          </w:p>
        </w:tc>
        <w:tc>
          <w:tcPr>
            <w:tcW w:type="dxa" w:w="278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₹3,00,000</w:t>
            </w:r>
          </w:p>
        </w:tc>
      </w:tr>
      <w:tr>
        <w:tc>
          <w:tcPr>
            <w:tcW w:type="dxa" w:w="3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Mess Charges (Vegetarian)</w:t>
            </w:r>
          </w:p>
        </w:tc>
        <w:tc>
          <w:tcPr>
            <w:tcW w:type="dxa" w:w="278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₹48,000</w:t>
            </w:r>
          </w:p>
        </w:tc>
        <w:tc>
          <w:tcPr>
            <w:tcW w:type="dxa" w:w="278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₹1,92,000</w:t>
            </w:r>
          </w:p>
        </w:tc>
      </w:tr>
      <w:tr>
        <w:tc>
          <w:tcPr>
            <w:tcW w:type="dxa" w:w="38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Mess Charges (Non-Vegetarian)</w:t>
            </w:r>
          </w:p>
        </w:tc>
        <w:tc>
          <w:tcPr>
            <w:tcW w:type="dxa" w:w="278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₹54,000</w:t>
            </w:r>
          </w:p>
        </w:tc>
        <w:tc>
          <w:tcPr>
            <w:tcW w:type="dxa" w:w="278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₹2,16,000</w:t>
            </w:r>
          </w:p>
        </w:tc>
      </w:tr>
    </w:tbl>
    <w:p>
      <w:pPr>
        <w:spacing w:after="60" w:before="0"/>
      </w:pPr>
    </w:p>
    <w:p>
      <w:pPr>
        <w:pStyle w:val="Heading2"/>
        <w:spacing w:after="120" w:before="300"/>
      </w:pPr>
      <w:r>
        <w:rPr>
          <w:rFonts w:ascii="Arial" w:cs="Arial" w:eastAsia="Arial" w:hAnsi="Arial"/>
          <w:b/>
          <w:bCs/>
          <w:color w:val="0F7173"/>
          <w:sz w:val="26"/>
          <w:szCs w:val="26"/>
        </w:rPr>
        <w:t xml:space="preserve">3.3 Other Fees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780"/>
        <w:gridCol w:w="2780"/>
      </w:tblGrid>
      <w:tr>
        <w:tc>
          <w:tcPr>
            <w:tcW w:type="dxa" w:w="380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Fee Component</w:t>
            </w:r>
          </w:p>
        </w:tc>
        <w:tc>
          <w:tcPr>
            <w:tcW w:type="dxa" w:w="278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Annual Fee (₹)</w:t>
            </w:r>
          </w:p>
        </w:tc>
        <w:tc>
          <w:tcPr>
            <w:tcW w:type="dxa" w:w="278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Payable</w:t>
            </w:r>
          </w:p>
        </w:tc>
      </w:tr>
      <w:tr>
        <w:tc>
          <w:tcPr>
            <w:tcW w:type="dxa" w:w="3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Transport (College Bus)</w:t>
            </w:r>
          </w:p>
        </w:tc>
        <w:tc>
          <w:tcPr>
            <w:tcW w:type="dxa" w:w="278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₹45,000</w:t>
            </w:r>
          </w:p>
        </w:tc>
        <w:tc>
          <w:tcPr>
            <w:tcW w:type="dxa" w:w="278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Per year (optional)</w:t>
            </w:r>
          </w:p>
        </w:tc>
      </w:tr>
      <w:tr>
        <w:tc>
          <w:tcPr>
            <w:tcW w:type="dxa" w:w="38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Laboratory Fee</w:t>
            </w:r>
          </w:p>
        </w:tc>
        <w:tc>
          <w:tcPr>
            <w:tcW w:type="dxa" w:w="278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₹15,000</w:t>
            </w:r>
          </w:p>
        </w:tc>
        <w:tc>
          <w:tcPr>
            <w:tcW w:type="dxa" w:w="278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Per year</w:t>
            </w:r>
          </w:p>
        </w:tc>
      </w:tr>
      <w:tr>
        <w:tc>
          <w:tcPr>
            <w:tcW w:type="dxa" w:w="3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Library &amp; Digital Resources</w:t>
            </w:r>
          </w:p>
        </w:tc>
        <w:tc>
          <w:tcPr>
            <w:tcW w:type="dxa" w:w="278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₹8,000</w:t>
            </w:r>
          </w:p>
        </w:tc>
        <w:tc>
          <w:tcPr>
            <w:tcW w:type="dxa" w:w="278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Per year</w:t>
            </w:r>
          </w:p>
        </w:tc>
      </w:tr>
      <w:tr>
        <w:tc>
          <w:tcPr>
            <w:tcW w:type="dxa" w:w="38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Examination Fee</w:t>
            </w:r>
          </w:p>
        </w:tc>
        <w:tc>
          <w:tcPr>
            <w:tcW w:type="dxa" w:w="278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₹5,000</w:t>
            </w:r>
          </w:p>
        </w:tc>
        <w:tc>
          <w:tcPr>
            <w:tcW w:type="dxa" w:w="278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Per semester (₹10,000/year)</w:t>
            </w:r>
          </w:p>
        </w:tc>
      </w:tr>
      <w:tr>
        <w:tc>
          <w:tcPr>
            <w:tcW w:type="dxa" w:w="3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Student Activity Fee</w:t>
            </w:r>
          </w:p>
        </w:tc>
        <w:tc>
          <w:tcPr>
            <w:tcW w:type="dxa" w:w="278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₹3,000</w:t>
            </w:r>
          </w:p>
        </w:tc>
        <w:tc>
          <w:tcPr>
            <w:tcW w:type="dxa" w:w="278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Per year</w:t>
            </w:r>
          </w:p>
        </w:tc>
      </w:tr>
      <w:tr>
        <w:tc>
          <w:tcPr>
            <w:tcW w:type="dxa" w:w="38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Caution Deposit (Refundable)</w:t>
            </w:r>
          </w:p>
        </w:tc>
        <w:tc>
          <w:tcPr>
            <w:tcW w:type="dxa" w:w="278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₹10,000</w:t>
            </w:r>
          </w:p>
        </w:tc>
        <w:tc>
          <w:tcPr>
            <w:tcW w:type="dxa" w:w="278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One-time (at admission)</w:t>
            </w:r>
          </w:p>
        </w:tc>
      </w:tr>
      <w:tr>
        <w:tc>
          <w:tcPr>
            <w:tcW w:type="dxa" w:w="3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Admission Processing Fee</w:t>
            </w:r>
          </w:p>
        </w:tc>
        <w:tc>
          <w:tcPr>
            <w:tcW w:type="dxa" w:w="278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₹5,000</w:t>
            </w:r>
          </w:p>
        </w:tc>
        <w:tc>
          <w:tcPr>
            <w:tcW w:type="dxa" w:w="278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One-time (at admission)</w:t>
            </w:r>
          </w:p>
        </w:tc>
      </w:tr>
    </w:tbl>
    <w:p>
      <w:pPr>
        <w:spacing w:after="60" w:before="0"/>
      </w:pPr>
    </w:p>
    <w:p>
      <w:pPr>
        <w:pStyle w:val="Heading2"/>
        <w:spacing w:after="120" w:before="300"/>
      </w:pPr>
      <w:r>
        <w:rPr>
          <w:rFonts w:ascii="Arial" w:cs="Arial" w:eastAsia="Arial" w:hAnsi="Arial"/>
          <w:b/>
          <w:bCs/>
          <w:color w:val="0F7173"/>
          <w:sz w:val="26"/>
          <w:szCs w:val="26"/>
        </w:rPr>
        <w:t xml:space="preserve">3.4 Total Cost of Attendance (Estimated)</w:t>
      </w:r>
    </w:p>
    <w:p>
      <w:pPr>
        <w:spacing w:after="120" w:before="0"/>
      </w:pPr>
      <w:r>
        <w:rPr>
          <w:rFonts w:ascii="Arial" w:cs="Arial" w:eastAsia="Arial" w:hAnsi="Arial"/>
          <w:sz w:val="22"/>
          <w:szCs w:val="22"/>
        </w:rPr>
        <w:t xml:space="preserve">The following table provides an estimated total cost of attendance for four years, assuming hostel residence with a 3-seater room and vegetarian mess.</w:t>
      </w:r>
    </w:p>
    <w:p>
      <w:pPr>
        <w:spacing w:after="4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815"/>
        <w:gridCol w:w="1815"/>
        <w:gridCol w:w="1815"/>
        <w:gridCol w:w="1815"/>
      </w:tblGrid>
      <w:tr>
        <w:tc>
          <w:tcPr>
            <w:tcW w:type="dxa" w:w="210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Component</w:t>
            </w:r>
          </w:p>
        </w:tc>
        <w:tc>
          <w:tcPr>
            <w:tcW w:type="dxa" w:w="1815"/>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CSE</w:t>
            </w:r>
          </w:p>
        </w:tc>
        <w:tc>
          <w:tcPr>
            <w:tcW w:type="dxa" w:w="1815"/>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ECE</w:t>
            </w:r>
          </w:p>
        </w:tc>
        <w:tc>
          <w:tcPr>
            <w:tcW w:type="dxa" w:w="1815"/>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EEE</w:t>
            </w:r>
          </w:p>
        </w:tc>
        <w:tc>
          <w:tcPr>
            <w:tcW w:type="dxa" w:w="1815"/>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Mechanical</w:t>
            </w:r>
          </w:p>
        </w:tc>
      </w:tr>
      <w:tr>
        <w:tc>
          <w:tcPr>
            <w:tcW w:type="dxa" w:w="21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Tuition (4 years)</w:t>
            </w:r>
          </w:p>
        </w:tc>
        <w:tc>
          <w:tcPr>
            <w:tcW w:type="dxa" w:w="1815"/>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₹4,80,000</w:t>
            </w:r>
          </w:p>
        </w:tc>
        <w:tc>
          <w:tcPr>
            <w:tcW w:type="dxa" w:w="1815"/>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₹4,40,000</w:t>
            </w:r>
          </w:p>
        </w:tc>
        <w:tc>
          <w:tcPr>
            <w:tcW w:type="dxa" w:w="1815"/>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₹4,00,000</w:t>
            </w:r>
          </w:p>
        </w:tc>
        <w:tc>
          <w:tcPr>
            <w:tcW w:type="dxa" w:w="1815"/>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₹4,00,000</w:t>
            </w:r>
          </w:p>
        </w:tc>
      </w:tr>
      <w:tr>
        <w:tc>
          <w:tcPr>
            <w:tcW w:type="dxa" w:w="21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Hostel Room (4 years)</w:t>
            </w:r>
          </w:p>
        </w:tc>
        <w:tc>
          <w:tcPr>
            <w:tcW w:type="dxa" w:w="1815"/>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₹2,40,000</w:t>
            </w:r>
          </w:p>
        </w:tc>
        <w:tc>
          <w:tcPr>
            <w:tcW w:type="dxa" w:w="1815"/>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₹2,40,000</w:t>
            </w:r>
          </w:p>
        </w:tc>
        <w:tc>
          <w:tcPr>
            <w:tcW w:type="dxa" w:w="1815"/>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₹2,40,000</w:t>
            </w:r>
          </w:p>
        </w:tc>
        <w:tc>
          <w:tcPr>
            <w:tcW w:type="dxa" w:w="1815"/>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₹2,40,000</w:t>
            </w:r>
          </w:p>
        </w:tc>
      </w:tr>
      <w:tr>
        <w:tc>
          <w:tcPr>
            <w:tcW w:type="dxa" w:w="21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Mess (4 years)</w:t>
            </w:r>
          </w:p>
        </w:tc>
        <w:tc>
          <w:tcPr>
            <w:tcW w:type="dxa" w:w="1815"/>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₹1,92,000</w:t>
            </w:r>
          </w:p>
        </w:tc>
        <w:tc>
          <w:tcPr>
            <w:tcW w:type="dxa" w:w="1815"/>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₹1,92,000</w:t>
            </w:r>
          </w:p>
        </w:tc>
        <w:tc>
          <w:tcPr>
            <w:tcW w:type="dxa" w:w="1815"/>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₹1,92,000</w:t>
            </w:r>
          </w:p>
        </w:tc>
        <w:tc>
          <w:tcPr>
            <w:tcW w:type="dxa" w:w="1815"/>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₹1,92,000</w:t>
            </w:r>
          </w:p>
        </w:tc>
      </w:tr>
      <w:tr>
        <w:tc>
          <w:tcPr>
            <w:tcW w:type="dxa" w:w="21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Lab Fee (4 years)</w:t>
            </w:r>
          </w:p>
        </w:tc>
        <w:tc>
          <w:tcPr>
            <w:tcW w:type="dxa" w:w="1815"/>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₹60,000</w:t>
            </w:r>
          </w:p>
        </w:tc>
        <w:tc>
          <w:tcPr>
            <w:tcW w:type="dxa" w:w="1815"/>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₹60,000</w:t>
            </w:r>
          </w:p>
        </w:tc>
        <w:tc>
          <w:tcPr>
            <w:tcW w:type="dxa" w:w="1815"/>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₹60,000</w:t>
            </w:r>
          </w:p>
        </w:tc>
        <w:tc>
          <w:tcPr>
            <w:tcW w:type="dxa" w:w="1815"/>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₹60,000</w:t>
            </w:r>
          </w:p>
        </w:tc>
      </w:tr>
      <w:tr>
        <w:tc>
          <w:tcPr>
            <w:tcW w:type="dxa" w:w="21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Library (4 years)</w:t>
            </w:r>
          </w:p>
        </w:tc>
        <w:tc>
          <w:tcPr>
            <w:tcW w:type="dxa" w:w="1815"/>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₹32,000</w:t>
            </w:r>
          </w:p>
        </w:tc>
        <w:tc>
          <w:tcPr>
            <w:tcW w:type="dxa" w:w="1815"/>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₹32,000</w:t>
            </w:r>
          </w:p>
        </w:tc>
        <w:tc>
          <w:tcPr>
            <w:tcW w:type="dxa" w:w="1815"/>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₹32,000</w:t>
            </w:r>
          </w:p>
        </w:tc>
        <w:tc>
          <w:tcPr>
            <w:tcW w:type="dxa" w:w="1815"/>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₹32,000</w:t>
            </w:r>
          </w:p>
        </w:tc>
      </w:tr>
      <w:tr>
        <w:tc>
          <w:tcPr>
            <w:tcW w:type="dxa" w:w="21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Exam Fee (4 years)</w:t>
            </w:r>
          </w:p>
        </w:tc>
        <w:tc>
          <w:tcPr>
            <w:tcW w:type="dxa" w:w="1815"/>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₹40,000</w:t>
            </w:r>
          </w:p>
        </w:tc>
        <w:tc>
          <w:tcPr>
            <w:tcW w:type="dxa" w:w="1815"/>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₹40,000</w:t>
            </w:r>
          </w:p>
        </w:tc>
        <w:tc>
          <w:tcPr>
            <w:tcW w:type="dxa" w:w="1815"/>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₹40,000</w:t>
            </w:r>
          </w:p>
        </w:tc>
        <w:tc>
          <w:tcPr>
            <w:tcW w:type="dxa" w:w="1815"/>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₹40,000</w:t>
            </w:r>
          </w:p>
        </w:tc>
      </w:tr>
      <w:tr>
        <w:tc>
          <w:tcPr>
            <w:tcW w:type="dxa" w:w="21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Activity Fee (4 years)</w:t>
            </w:r>
          </w:p>
        </w:tc>
        <w:tc>
          <w:tcPr>
            <w:tcW w:type="dxa" w:w="1815"/>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₹12,000</w:t>
            </w:r>
          </w:p>
        </w:tc>
        <w:tc>
          <w:tcPr>
            <w:tcW w:type="dxa" w:w="1815"/>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₹12,000</w:t>
            </w:r>
          </w:p>
        </w:tc>
        <w:tc>
          <w:tcPr>
            <w:tcW w:type="dxa" w:w="1815"/>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₹12,000</w:t>
            </w:r>
          </w:p>
        </w:tc>
        <w:tc>
          <w:tcPr>
            <w:tcW w:type="dxa" w:w="1815"/>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₹12,000</w:t>
            </w:r>
          </w:p>
        </w:tc>
      </w:tr>
      <w:tr>
        <w:tc>
          <w:tcPr>
            <w:tcW w:type="dxa" w:w="21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One-time Fees</w:t>
            </w:r>
          </w:p>
        </w:tc>
        <w:tc>
          <w:tcPr>
            <w:tcW w:type="dxa" w:w="1815"/>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₹15,000</w:t>
            </w:r>
          </w:p>
        </w:tc>
        <w:tc>
          <w:tcPr>
            <w:tcW w:type="dxa" w:w="1815"/>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₹15,000</w:t>
            </w:r>
          </w:p>
        </w:tc>
        <w:tc>
          <w:tcPr>
            <w:tcW w:type="dxa" w:w="1815"/>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₹15,000</w:t>
            </w:r>
          </w:p>
        </w:tc>
        <w:tc>
          <w:tcPr>
            <w:tcW w:type="dxa" w:w="1815"/>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₹15,000</w:t>
            </w:r>
          </w:p>
        </w:tc>
      </w:tr>
      <w:tr>
        <w:tc>
          <w:tcPr>
            <w:tcW w:type="dxa" w:w="21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TOTAL (4 years)</w:t>
            </w:r>
          </w:p>
        </w:tc>
        <w:tc>
          <w:tcPr>
            <w:tcW w:type="dxa" w:w="1815"/>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₹10,71,000</w:t>
            </w:r>
          </w:p>
        </w:tc>
        <w:tc>
          <w:tcPr>
            <w:tcW w:type="dxa" w:w="1815"/>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₹10,31,000</w:t>
            </w:r>
          </w:p>
        </w:tc>
        <w:tc>
          <w:tcPr>
            <w:tcW w:type="dxa" w:w="1815"/>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₹9,91,000</w:t>
            </w:r>
          </w:p>
        </w:tc>
        <w:tc>
          <w:tcPr>
            <w:tcW w:type="dxa" w:w="1815"/>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₹9,91,000</w:t>
            </w:r>
          </w:p>
        </w:tc>
      </w:tr>
    </w:tbl>
    <w:p>
      <w:pPr>
        <w:spacing w:after="40" w:before="0"/>
      </w:pPr>
    </w:p>
    <w:p>
      <w:pPr>
        <w:spacing w:after="120" w:before="0"/>
      </w:pPr>
      <w:r>
        <w:rPr>
          <w:rFonts w:ascii="Arial" w:cs="Arial" w:eastAsia="Arial" w:hAnsi="Arial"/>
          <w:sz w:val="22"/>
          <w:szCs w:val="22"/>
        </w:rPr>
        <w:t xml:space="preserve">Note: Transport fees (₹45,000/year) are optional and not included in the totals above. Students using their own transport do not pay this fee.</w:t>
      </w:r>
    </w:p>
    <w:p>
      <w:pPr>
        <w:pStyle w:val="Heading1"/>
        <w:spacing w:after="180" w:before="400"/>
      </w:pPr>
      <w:r>
        <w:rPr>
          <w:rFonts w:ascii="Arial" w:cs="Arial" w:eastAsia="Arial" w:hAnsi="Arial"/>
          <w:b/>
          <w:bCs/>
          <w:color w:val="0F2D55"/>
          <w:sz w:val="32"/>
          <w:szCs w:val="32"/>
        </w:rPr>
        <w:t xml:space="preserve">4. SCHOLARSHIPS &amp; FEE CONCESSIONS</w:t>
      </w:r>
    </w:p>
    <w:p>
      <w:pPr>
        <w:spacing w:after="120" w:before="0"/>
      </w:pPr>
      <w:r>
        <w:rPr>
          <w:rFonts w:ascii="Arial" w:cs="Arial" w:eastAsia="Arial" w:hAnsi="Arial"/>
          <w:sz w:val="22"/>
          <w:szCs w:val="22"/>
        </w:rPr>
        <w:t xml:space="preserve">BVRIT offers several scholarship schemes to support meritorious and economically disadvantaged students. Scholarships are applied as a percentage discount on the annual tuition fee only (not on hostel, mess, or other fees).</w:t>
      </w:r>
    </w:p>
    <w:p>
      <w:pPr>
        <w:spacing w:after="40" w:before="0"/>
      </w:pPr>
    </w:p>
    <w:p>
      <w:pPr>
        <w:pStyle w:val="Heading2"/>
        <w:spacing w:after="120" w:before="300"/>
      </w:pPr>
      <w:r>
        <w:rPr>
          <w:rFonts w:ascii="Arial" w:cs="Arial" w:eastAsia="Arial" w:hAnsi="Arial"/>
          <w:b/>
          <w:bCs/>
          <w:color w:val="0F7173"/>
          <w:sz w:val="26"/>
          <w:szCs w:val="26"/>
        </w:rPr>
        <w:t xml:space="preserve">4.1 Merit Scholarships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400"/>
        <w:gridCol w:w="1960"/>
      </w:tblGrid>
      <w:tr>
        <w:tc>
          <w:tcPr>
            <w:tcW w:type="dxa" w:w="220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Scholarship</w:t>
            </w:r>
          </w:p>
        </w:tc>
        <w:tc>
          <w:tcPr>
            <w:tcW w:type="dxa" w:w="280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Eligibility</w:t>
            </w:r>
          </w:p>
        </w:tc>
        <w:tc>
          <w:tcPr>
            <w:tcW w:type="dxa" w:w="240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Discount on Tuition</w:t>
            </w:r>
          </w:p>
        </w:tc>
        <w:tc>
          <w:tcPr>
            <w:tcW w:type="dxa" w:w="196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Renewable?</w:t>
            </w:r>
          </w:p>
        </w:tc>
      </w:tr>
      <w:tr>
        <w:tc>
          <w:tcPr>
            <w:tcW w:type="dxa" w:w="22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Founder’s Scholarship</w:t>
            </w:r>
          </w:p>
        </w:tc>
        <w:tc>
          <w:tcPr>
            <w:tcW w:type="dxa" w:w="2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EAMCET rank within top 1,000</w:t>
            </w:r>
          </w:p>
        </w:tc>
        <w:tc>
          <w:tcPr>
            <w:tcW w:type="dxa" w:w="24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100% (full tuition waiver)</w:t>
            </w:r>
          </w:p>
        </w:tc>
        <w:tc>
          <w:tcPr>
            <w:tcW w:type="dxa" w:w="196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Yes, if CGPA ≥ 8.5</w:t>
            </w:r>
          </w:p>
        </w:tc>
      </w:tr>
      <w:tr>
        <w:tc>
          <w:tcPr>
            <w:tcW w:type="dxa" w:w="22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Academic Excellence</w:t>
            </w:r>
          </w:p>
        </w:tc>
        <w:tc>
          <w:tcPr>
            <w:tcW w:type="dxa" w:w="28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EAMCET rank 1,001 – 5,000</w:t>
            </w:r>
          </w:p>
        </w:tc>
        <w:tc>
          <w:tcPr>
            <w:tcW w:type="dxa" w:w="24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50% discount on tuition</w:t>
            </w:r>
          </w:p>
        </w:tc>
        <w:tc>
          <w:tcPr>
            <w:tcW w:type="dxa" w:w="196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Yes, if CGPA ≥ 8.0</w:t>
            </w:r>
          </w:p>
        </w:tc>
      </w:tr>
      <w:tr>
        <w:tc>
          <w:tcPr>
            <w:tcW w:type="dxa" w:w="22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Merit Reward</w:t>
            </w:r>
          </w:p>
        </w:tc>
        <w:tc>
          <w:tcPr>
            <w:tcW w:type="dxa" w:w="2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EAMCET rank 5,001 – 15,000</w:t>
            </w:r>
          </w:p>
        </w:tc>
        <w:tc>
          <w:tcPr>
            <w:tcW w:type="dxa" w:w="24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25% discount on tuition</w:t>
            </w:r>
          </w:p>
        </w:tc>
        <w:tc>
          <w:tcPr>
            <w:tcW w:type="dxa" w:w="196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Yes, if CGPA ≥ 7.5</w:t>
            </w:r>
          </w:p>
        </w:tc>
      </w:tr>
      <w:tr>
        <w:tc>
          <w:tcPr>
            <w:tcW w:type="dxa" w:w="22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Sports Scholarship</w:t>
            </w:r>
          </w:p>
        </w:tc>
        <w:tc>
          <w:tcPr>
            <w:tcW w:type="dxa" w:w="28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National/state level sports achievement</w:t>
            </w:r>
          </w:p>
        </w:tc>
        <w:tc>
          <w:tcPr>
            <w:tcW w:type="dxa" w:w="24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25% discount on tuition</w:t>
            </w:r>
          </w:p>
        </w:tc>
        <w:tc>
          <w:tcPr>
            <w:tcW w:type="dxa" w:w="196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Yes, if active participation</w:t>
            </w:r>
          </w:p>
        </w:tc>
      </w:tr>
    </w:tbl>
    <w:p>
      <w:pPr>
        <w:spacing w:after="60" w:before="0"/>
      </w:pPr>
    </w:p>
    <w:p>
      <w:pPr>
        <w:pStyle w:val="Heading2"/>
        <w:spacing w:after="120" w:before="300"/>
      </w:pPr>
      <w:r>
        <w:rPr>
          <w:rFonts w:ascii="Arial" w:cs="Arial" w:eastAsia="Arial" w:hAnsi="Arial"/>
          <w:b/>
          <w:bCs/>
          <w:color w:val="0F7173"/>
          <w:sz w:val="26"/>
          <w:szCs w:val="26"/>
        </w:rPr>
        <w:t xml:space="preserve">4.2 Need-Based Fee Concessions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760"/>
        <w:gridCol w:w="2800"/>
      </w:tblGrid>
      <w:tr>
        <w:tc>
          <w:tcPr>
            <w:tcW w:type="dxa" w:w="280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Concession</w:t>
            </w:r>
          </w:p>
        </w:tc>
        <w:tc>
          <w:tcPr>
            <w:tcW w:type="dxa" w:w="376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Eligibility</w:t>
            </w:r>
          </w:p>
        </w:tc>
        <w:tc>
          <w:tcPr>
            <w:tcW w:type="dxa" w:w="280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Discount on Tuition</w:t>
            </w:r>
          </w:p>
        </w:tc>
      </w:tr>
      <w:tr>
        <w:tc>
          <w:tcPr>
            <w:tcW w:type="dxa" w:w="2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Economically Weaker Section (EWS)</w:t>
            </w:r>
          </w:p>
        </w:tc>
        <w:tc>
          <w:tcPr>
            <w:tcW w:type="dxa" w:w="376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Family income below ₹8 lakh/year</w:t>
            </w:r>
          </w:p>
        </w:tc>
        <w:tc>
          <w:tcPr>
            <w:tcW w:type="dxa" w:w="2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50% discount</w:t>
            </w:r>
          </w:p>
        </w:tc>
      </w:tr>
      <w:tr>
        <w:tc>
          <w:tcPr>
            <w:tcW w:type="dxa" w:w="28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SC/ST Scholarship</w:t>
            </w:r>
          </w:p>
        </w:tc>
        <w:tc>
          <w:tcPr>
            <w:tcW w:type="dxa" w:w="376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Telangana state SC/ST students</w:t>
            </w:r>
          </w:p>
        </w:tc>
        <w:tc>
          <w:tcPr>
            <w:tcW w:type="dxa" w:w="28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Full tuition reimbursement via state govt</w:t>
            </w:r>
          </w:p>
        </w:tc>
      </w:tr>
      <w:tr>
        <w:tc>
          <w:tcPr>
            <w:tcW w:type="dxa" w:w="2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BC Fee Reimbursement</w:t>
            </w:r>
          </w:p>
        </w:tc>
        <w:tc>
          <w:tcPr>
            <w:tcW w:type="dxa" w:w="376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Telangana BC students, income &lt; ₹2 lakh</w:t>
            </w:r>
          </w:p>
        </w:tc>
        <w:tc>
          <w:tcPr>
            <w:tcW w:type="dxa" w:w="2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Full tuition reimbursement via state govt</w:t>
            </w:r>
          </w:p>
        </w:tc>
      </w:tr>
      <w:tr>
        <w:tc>
          <w:tcPr>
            <w:tcW w:type="dxa" w:w="28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Sibling Discount</w:t>
            </w:r>
          </w:p>
        </w:tc>
        <w:tc>
          <w:tcPr>
            <w:tcW w:type="dxa" w:w="376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Second sibling currently enrolled at BVRIT</w:t>
            </w:r>
          </w:p>
        </w:tc>
        <w:tc>
          <w:tcPr>
            <w:tcW w:type="dxa" w:w="28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10% discount on tuition</w:t>
            </w:r>
          </w:p>
        </w:tc>
      </w:tr>
    </w:tbl>
    <w:p>
      <w:pPr>
        <w:spacing w:after="40" w:before="0"/>
      </w:pPr>
    </w:p>
    <w:p>
      <w:pPr>
        <w:spacing w:after="120" w:before="0"/>
      </w:pPr>
      <w:r>
        <w:rPr>
          <w:rFonts w:ascii="Arial" w:cs="Arial" w:eastAsia="Arial" w:hAnsi="Arial"/>
          <w:sz w:val="22"/>
          <w:szCs w:val="22"/>
        </w:rPr>
        <w:t xml:space="preserve">Note: Government scholarships (SC/ST, BC) are subject to state government disbursement timelines. Students must pay the full fee at admission and receive reimbursement after government processing, which typically takes 3–6 months.</w:t>
      </w:r>
    </w:p>
    <w:p>
      <w:pPr>
        <w:pStyle w:val="Heading1"/>
        <w:spacing w:after="180" w:before="400"/>
      </w:pPr>
      <w:r>
        <w:rPr>
          <w:rFonts w:ascii="Arial" w:cs="Arial" w:eastAsia="Arial" w:hAnsi="Arial"/>
          <w:b/>
          <w:bCs/>
          <w:color w:val="0F2D55"/>
          <w:sz w:val="32"/>
          <w:szCs w:val="32"/>
        </w:rPr>
        <w:t xml:space="preserve">5. ADMISSIONS</w:t>
      </w:r>
    </w:p>
    <w:p>
      <w:pPr>
        <w:pStyle w:val="Heading2"/>
        <w:spacing w:after="120" w:before="300"/>
      </w:pPr>
      <w:r>
        <w:rPr>
          <w:rFonts w:ascii="Arial" w:cs="Arial" w:eastAsia="Arial" w:hAnsi="Arial"/>
          <w:b/>
          <w:bCs/>
          <w:color w:val="0F7173"/>
          <w:sz w:val="26"/>
          <w:szCs w:val="26"/>
        </w:rPr>
        <w:t xml:space="preserve">5.1 Eligibility</w:t>
      </w:r>
    </w:p>
    <w:p>
      <w:pPr>
        <w:spacing w:after="120" w:before="0"/>
      </w:pPr>
      <w:r>
        <w:rPr>
          <w:rFonts w:ascii="Arial" w:cs="Arial" w:eastAsia="Arial" w:hAnsi="Arial"/>
          <w:sz w:val="22"/>
          <w:szCs w:val="22"/>
        </w:rPr>
        <w:t xml:space="preserve">Candidates must have passed the Intermediate examination (or equivalent) with Mathematics, Physics, and Chemistry (MPC) with a minimum of 45% aggregate marks (40% for reserved categories). A valid TS EAMCET or AP EAMCET rank is required for admission through counselling.</w:t>
      </w:r>
    </w:p>
    <w:p>
      <w:pPr>
        <w:spacing w:after="40" w:before="0"/>
      </w:pPr>
    </w:p>
    <w:p>
      <w:pPr>
        <w:spacing w:after="120" w:before="0"/>
      </w:pPr>
      <w:r>
        <w:rPr>
          <w:rFonts w:ascii="Arial" w:cs="Arial" w:eastAsia="Arial" w:hAnsi="Arial"/>
          <w:sz w:val="22"/>
          <w:szCs w:val="22"/>
        </w:rPr>
        <w:t xml:space="preserve">Direct admission under the management quota requires a minimum of 50% in MPC and a valid EAMCET rank. JEE Main qualified candidates are also eligible.</w:t>
      </w:r>
    </w:p>
    <w:p>
      <w:pPr>
        <w:pStyle w:val="Heading2"/>
        <w:spacing w:after="120" w:before="300"/>
      </w:pPr>
      <w:r>
        <w:rPr>
          <w:rFonts w:ascii="Arial" w:cs="Arial" w:eastAsia="Arial" w:hAnsi="Arial"/>
          <w:b/>
          <w:bCs/>
          <w:color w:val="0F7173"/>
          <w:sz w:val="26"/>
          <w:szCs w:val="26"/>
        </w:rPr>
        <w:t xml:space="preserve">5.2 Admission Process</w:t>
      </w:r>
    </w:p>
    <w:p>
      <w:pPr>
        <w:spacing w:after="120" w:before="0"/>
      </w:pPr>
      <w:r>
        <w:rPr>
          <w:rFonts w:ascii="Arial" w:cs="Arial" w:eastAsia="Arial" w:hAnsi="Arial"/>
          <w:sz w:val="22"/>
          <w:szCs w:val="22"/>
        </w:rPr>
        <w:t xml:space="preserve">1. Obtain TS EAMCET or AP EAMCET rank.
2. Participate in the TSCHE web counselling process and select BVRIT as a preference.
3. Report to the college with original documents within 5 days of allotment.
4. Complete document verification, fee payment, and hostel allocation.
5. Attend the orientation programme on the first day of classes.</w:t>
      </w:r>
    </w:p>
    <w:p>
      <w:pPr>
        <w:pStyle w:val="Heading2"/>
        <w:spacing w:after="120" w:before="300"/>
      </w:pPr>
      <w:r>
        <w:rPr>
          <w:rFonts w:ascii="Arial" w:cs="Arial" w:eastAsia="Arial" w:hAnsi="Arial"/>
          <w:b/>
          <w:bCs/>
          <w:color w:val="0F7173"/>
          <w:sz w:val="26"/>
          <w:szCs w:val="26"/>
        </w:rPr>
        <w:t xml:space="preserve">5.3 Important Dates — Academic Year 2025–26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160"/>
      </w:tblGrid>
      <w:tr>
        <w:tc>
          <w:tcPr>
            <w:tcW w:type="dxa" w:w="420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Event</w:t>
            </w:r>
          </w:p>
        </w:tc>
        <w:tc>
          <w:tcPr>
            <w:tcW w:type="dxa" w:w="300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Date</w:t>
            </w:r>
          </w:p>
        </w:tc>
        <w:tc>
          <w:tcPr>
            <w:tcW w:type="dxa" w:w="216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Status</w:t>
            </w:r>
          </w:p>
        </w:tc>
      </w:tr>
      <w:tr>
        <w:tc>
          <w:tcPr>
            <w:tcW w:type="dxa" w:w="42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TS EAMCET 2025 Exam</w:t>
            </w:r>
          </w:p>
        </w:tc>
        <w:tc>
          <w:tcPr>
            <w:tcW w:type="dxa" w:w="30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15 May 2025</w:t>
            </w:r>
          </w:p>
        </w:tc>
        <w:tc>
          <w:tcPr>
            <w:tcW w:type="dxa" w:w="216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Completed</w:t>
            </w:r>
          </w:p>
        </w:tc>
      </w:tr>
      <w:tr>
        <w:tc>
          <w:tcPr>
            <w:tcW w:type="dxa" w:w="42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TS EAMCET Results Announced</w:t>
            </w:r>
          </w:p>
        </w:tc>
        <w:tc>
          <w:tcPr>
            <w:tcW w:type="dxa" w:w="30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5 June 2025</w:t>
            </w:r>
          </w:p>
        </w:tc>
        <w:tc>
          <w:tcPr>
            <w:tcW w:type="dxa" w:w="216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Completed</w:t>
            </w:r>
          </w:p>
        </w:tc>
      </w:tr>
      <w:tr>
        <w:tc>
          <w:tcPr>
            <w:tcW w:type="dxa" w:w="42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TSCHE Web Counselling Round 1</w:t>
            </w:r>
          </w:p>
        </w:tc>
        <w:tc>
          <w:tcPr>
            <w:tcW w:type="dxa" w:w="30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 July – 15 July 2025</w:t>
            </w:r>
          </w:p>
        </w:tc>
        <w:tc>
          <w:tcPr>
            <w:tcW w:type="dxa" w:w="216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Completed</w:t>
            </w:r>
          </w:p>
        </w:tc>
      </w:tr>
      <w:tr>
        <w:tc>
          <w:tcPr>
            <w:tcW w:type="dxa" w:w="42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TSCHE Web Counselling Round 2</w:t>
            </w:r>
          </w:p>
        </w:tc>
        <w:tc>
          <w:tcPr>
            <w:tcW w:type="dxa" w:w="30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20 July – 31 July 2025</w:t>
            </w:r>
          </w:p>
        </w:tc>
        <w:tc>
          <w:tcPr>
            <w:tcW w:type="dxa" w:w="216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Completed</w:t>
            </w:r>
          </w:p>
        </w:tc>
      </w:tr>
      <w:tr>
        <w:tc>
          <w:tcPr>
            <w:tcW w:type="dxa" w:w="42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Last Date for Round 2 Reporting</w:t>
            </w:r>
          </w:p>
        </w:tc>
        <w:tc>
          <w:tcPr>
            <w:tcW w:type="dxa" w:w="30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5 August 2025</w:t>
            </w:r>
          </w:p>
        </w:tc>
        <w:tc>
          <w:tcPr>
            <w:tcW w:type="dxa" w:w="216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Upcoming</w:t>
            </w:r>
          </w:p>
        </w:tc>
      </w:tr>
      <w:tr>
        <w:tc>
          <w:tcPr>
            <w:tcW w:type="dxa" w:w="42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Management Quota Admission Deadline</w:t>
            </w:r>
          </w:p>
        </w:tc>
        <w:tc>
          <w:tcPr>
            <w:tcW w:type="dxa" w:w="30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15 August 2025</w:t>
            </w:r>
          </w:p>
        </w:tc>
        <w:tc>
          <w:tcPr>
            <w:tcW w:type="dxa" w:w="216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Upcoming</w:t>
            </w:r>
          </w:p>
        </w:tc>
      </w:tr>
      <w:tr>
        <w:tc>
          <w:tcPr>
            <w:tcW w:type="dxa" w:w="42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Orientation Programme</w:t>
            </w:r>
          </w:p>
        </w:tc>
        <w:tc>
          <w:tcPr>
            <w:tcW w:type="dxa" w:w="30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18 August 2025</w:t>
            </w:r>
          </w:p>
        </w:tc>
        <w:tc>
          <w:tcPr>
            <w:tcW w:type="dxa" w:w="216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Upcoming</w:t>
            </w:r>
          </w:p>
        </w:tc>
      </w:tr>
      <w:tr>
        <w:tc>
          <w:tcPr>
            <w:tcW w:type="dxa" w:w="42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Classes Commence</w:t>
            </w:r>
          </w:p>
        </w:tc>
        <w:tc>
          <w:tcPr>
            <w:tcW w:type="dxa" w:w="30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19 August 2025</w:t>
            </w:r>
          </w:p>
        </w:tc>
        <w:tc>
          <w:tcPr>
            <w:tcW w:type="dxa" w:w="216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Upcoming</w:t>
            </w:r>
          </w:p>
        </w:tc>
      </w:tr>
      <w:tr>
        <w:tc>
          <w:tcPr>
            <w:tcW w:type="dxa" w:w="42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Last Date for Late Admission (with penalty)</w:t>
            </w:r>
          </w:p>
        </w:tc>
        <w:tc>
          <w:tcPr>
            <w:tcW w:type="dxa" w:w="30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31 August 2025</w:t>
            </w:r>
          </w:p>
        </w:tc>
        <w:tc>
          <w:tcPr>
            <w:tcW w:type="dxa" w:w="216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Upcoming</w:t>
            </w:r>
          </w:p>
        </w:tc>
      </w:tr>
      <w:tr>
        <w:tc>
          <w:tcPr>
            <w:tcW w:type="dxa" w:w="42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Mid-Semester Exam 1</w:t>
            </w:r>
          </w:p>
        </w:tc>
        <w:tc>
          <w:tcPr>
            <w:tcW w:type="dxa" w:w="30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15 October – 20 October 2025</w:t>
            </w:r>
          </w:p>
        </w:tc>
        <w:tc>
          <w:tcPr>
            <w:tcW w:type="dxa" w:w="216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Upcoming</w:t>
            </w:r>
          </w:p>
        </w:tc>
      </w:tr>
      <w:tr>
        <w:tc>
          <w:tcPr>
            <w:tcW w:type="dxa" w:w="42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End-Semester Exam (Odd Semester)</w:t>
            </w:r>
          </w:p>
        </w:tc>
        <w:tc>
          <w:tcPr>
            <w:tcW w:type="dxa" w:w="30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 December – 15 December 2025</w:t>
            </w:r>
          </w:p>
        </w:tc>
        <w:tc>
          <w:tcPr>
            <w:tcW w:type="dxa" w:w="216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Upcoming</w:t>
            </w:r>
          </w:p>
        </w:tc>
      </w:tr>
      <w:tr>
        <w:tc>
          <w:tcPr>
            <w:tcW w:type="dxa" w:w="42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Even Semester Classes Begin</w:t>
            </w:r>
          </w:p>
        </w:tc>
        <w:tc>
          <w:tcPr>
            <w:tcW w:type="dxa" w:w="30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5 January 2026</w:t>
            </w:r>
          </w:p>
        </w:tc>
        <w:tc>
          <w:tcPr>
            <w:tcW w:type="dxa" w:w="216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Upcoming</w:t>
            </w:r>
          </w:p>
        </w:tc>
      </w:tr>
      <w:tr>
        <w:tc>
          <w:tcPr>
            <w:tcW w:type="dxa" w:w="42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Mid-Semester Exam 2</w:t>
            </w:r>
          </w:p>
        </w:tc>
        <w:tc>
          <w:tcPr>
            <w:tcW w:type="dxa" w:w="30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15 March – 20 March 2026</w:t>
            </w:r>
          </w:p>
        </w:tc>
        <w:tc>
          <w:tcPr>
            <w:tcW w:type="dxa" w:w="216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Upcoming</w:t>
            </w:r>
          </w:p>
        </w:tc>
      </w:tr>
      <w:tr>
        <w:tc>
          <w:tcPr>
            <w:tcW w:type="dxa" w:w="42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End-Semester Exam (Even Semester)</w:t>
            </w:r>
          </w:p>
        </w:tc>
        <w:tc>
          <w:tcPr>
            <w:tcW w:type="dxa" w:w="30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1 May – 15 May 2026</w:t>
            </w:r>
          </w:p>
        </w:tc>
        <w:tc>
          <w:tcPr>
            <w:tcW w:type="dxa" w:w="216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Upcoming</w:t>
            </w:r>
          </w:p>
        </w:tc>
      </w:tr>
    </w:tbl>
    <w:p>
      <w:pPr>
        <w:spacing w:after="40" w:before="0"/>
      </w:pPr>
    </w:p>
    <w:p>
      <w:pPr>
        <w:spacing w:after="120" w:before="0"/>
      </w:pPr>
      <w:r>
        <w:rPr>
          <w:rFonts w:ascii="Arial" w:cs="Arial" w:eastAsia="Arial" w:hAnsi="Arial"/>
          <w:sz w:val="22"/>
          <w:szCs w:val="22"/>
        </w:rPr>
        <w:t xml:space="preserve">Note: All dates are subject to change based on TSCHE and JNTUH academic calendar notifications. Students should verify dates on the official BVRIT website (www.bvrithyderabad.edu.in) before making any decisions.</w:t>
      </w:r>
    </w:p>
    <w:p>
      <w:pPr>
        <w:pStyle w:val="Heading1"/>
        <w:spacing w:after="180" w:before="400"/>
      </w:pPr>
      <w:r>
        <w:rPr>
          <w:rFonts w:ascii="Arial" w:cs="Arial" w:eastAsia="Arial" w:hAnsi="Arial"/>
          <w:b/>
          <w:bCs/>
          <w:color w:val="0F2D55"/>
          <w:sz w:val="32"/>
          <w:szCs w:val="32"/>
        </w:rPr>
        <w:t xml:space="preserve">6. PLACEMENTS</w:t>
      </w:r>
    </w:p>
    <w:p>
      <w:pPr>
        <w:spacing w:after="120" w:before="0"/>
      </w:pPr>
      <w:r>
        <w:rPr>
          <w:rFonts w:ascii="Arial" w:cs="Arial" w:eastAsia="Arial" w:hAnsi="Arial"/>
          <w:sz w:val="22"/>
          <w:szCs w:val="22"/>
        </w:rPr>
        <w:t xml:space="preserve">The Training &amp; Placement Cell coordinates campus recruitment activities, industry internships, and career development programmes. The placement season runs from August to April each year.</w:t>
      </w:r>
    </w:p>
    <w:p>
      <w:pPr>
        <w:pStyle w:val="Heading2"/>
        <w:spacing w:after="120" w:before="300"/>
      </w:pPr>
      <w:r>
        <w:rPr>
          <w:rFonts w:ascii="Arial" w:cs="Arial" w:eastAsia="Arial" w:hAnsi="Arial"/>
          <w:b/>
          <w:bCs/>
          <w:color w:val="0F7173"/>
          <w:sz w:val="26"/>
          <w:szCs w:val="26"/>
        </w:rPr>
        <w:t xml:space="preserve">6.1 Placement Statistics (2024–25)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066"/>
        <w:gridCol w:w="1066"/>
        <w:gridCol w:w="1066"/>
        <w:gridCol w:w="1066"/>
        <w:gridCol w:w="1066"/>
        <w:gridCol w:w="1066"/>
        <w:gridCol w:w="1066"/>
      </w:tblGrid>
      <w:tr>
        <w:tc>
          <w:tcPr>
            <w:tcW w:type="dxa" w:w="190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Metric</w:t>
            </w:r>
          </w:p>
        </w:tc>
        <w:tc>
          <w:tcPr>
            <w:tcW w:type="dxa" w:w="1066"/>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CSE</w:t>
            </w:r>
          </w:p>
        </w:tc>
        <w:tc>
          <w:tcPr>
            <w:tcW w:type="dxa" w:w="1066"/>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ECE</w:t>
            </w:r>
          </w:p>
        </w:tc>
        <w:tc>
          <w:tcPr>
            <w:tcW w:type="dxa" w:w="1066"/>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EEE</w:t>
            </w:r>
          </w:p>
        </w:tc>
        <w:tc>
          <w:tcPr>
            <w:tcW w:type="dxa" w:w="1066"/>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Mech</w:t>
            </w:r>
          </w:p>
        </w:tc>
        <w:tc>
          <w:tcPr>
            <w:tcW w:type="dxa" w:w="1066"/>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IT</w:t>
            </w:r>
          </w:p>
        </w:tc>
        <w:tc>
          <w:tcPr>
            <w:tcW w:type="dxa" w:w="1066"/>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AI&amp;ML</w:t>
            </w:r>
          </w:p>
        </w:tc>
        <w:tc>
          <w:tcPr>
            <w:tcW w:type="dxa" w:w="1066"/>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DS</w:t>
            </w:r>
          </w:p>
        </w:tc>
      </w:tr>
      <w:tr>
        <w:tc>
          <w:tcPr>
            <w:tcW w:type="dxa" w:w="19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Eligible Students</w:t>
            </w:r>
          </w:p>
        </w:tc>
        <w:tc>
          <w:tcPr>
            <w:tcW w:type="dxa" w:w="1066"/>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228</w:t>
            </w:r>
          </w:p>
        </w:tc>
        <w:tc>
          <w:tcPr>
            <w:tcW w:type="dxa" w:w="1066"/>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165</w:t>
            </w:r>
          </w:p>
        </w:tc>
        <w:tc>
          <w:tcPr>
            <w:tcW w:type="dxa" w:w="1066"/>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108</w:t>
            </w:r>
          </w:p>
        </w:tc>
        <w:tc>
          <w:tcPr>
            <w:tcW w:type="dxa" w:w="1066"/>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52</w:t>
            </w:r>
          </w:p>
        </w:tc>
        <w:tc>
          <w:tcPr>
            <w:tcW w:type="dxa" w:w="1066"/>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168</w:t>
            </w:r>
          </w:p>
        </w:tc>
        <w:tc>
          <w:tcPr>
            <w:tcW w:type="dxa" w:w="1066"/>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105</w:t>
            </w:r>
          </w:p>
        </w:tc>
        <w:tc>
          <w:tcPr>
            <w:tcW w:type="dxa" w:w="1066"/>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102</w:t>
            </w:r>
          </w:p>
        </w:tc>
      </w:tr>
      <w:tr>
        <w:tc>
          <w:tcPr>
            <w:tcW w:type="dxa" w:w="19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Students Placed</w:t>
            </w:r>
          </w:p>
        </w:tc>
        <w:tc>
          <w:tcPr>
            <w:tcW w:type="dxa" w:w="1066"/>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205</w:t>
            </w:r>
          </w:p>
        </w:tc>
        <w:tc>
          <w:tcPr>
            <w:tcW w:type="dxa" w:w="1066"/>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132</w:t>
            </w:r>
          </w:p>
        </w:tc>
        <w:tc>
          <w:tcPr>
            <w:tcW w:type="dxa" w:w="1066"/>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78</w:t>
            </w:r>
          </w:p>
        </w:tc>
        <w:tc>
          <w:tcPr>
            <w:tcW w:type="dxa" w:w="1066"/>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35</w:t>
            </w:r>
          </w:p>
        </w:tc>
        <w:tc>
          <w:tcPr>
            <w:tcW w:type="dxa" w:w="1066"/>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147</w:t>
            </w:r>
          </w:p>
        </w:tc>
        <w:tc>
          <w:tcPr>
            <w:tcW w:type="dxa" w:w="1066"/>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89</w:t>
            </w:r>
          </w:p>
        </w:tc>
        <w:tc>
          <w:tcPr>
            <w:tcW w:type="dxa" w:w="1066"/>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85</w:t>
            </w:r>
          </w:p>
        </w:tc>
      </w:tr>
      <w:tr>
        <w:tc>
          <w:tcPr>
            <w:tcW w:type="dxa" w:w="19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Placement %</w:t>
            </w:r>
          </w:p>
        </w:tc>
        <w:tc>
          <w:tcPr>
            <w:tcW w:type="dxa" w:w="1066"/>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89.9%</w:t>
            </w:r>
          </w:p>
        </w:tc>
        <w:tc>
          <w:tcPr>
            <w:tcW w:type="dxa" w:w="1066"/>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80.0%</w:t>
            </w:r>
          </w:p>
        </w:tc>
        <w:tc>
          <w:tcPr>
            <w:tcW w:type="dxa" w:w="1066"/>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72.2%</w:t>
            </w:r>
          </w:p>
        </w:tc>
        <w:tc>
          <w:tcPr>
            <w:tcW w:type="dxa" w:w="1066"/>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67.3%</w:t>
            </w:r>
          </w:p>
        </w:tc>
        <w:tc>
          <w:tcPr>
            <w:tcW w:type="dxa" w:w="1066"/>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87.5%</w:t>
            </w:r>
          </w:p>
        </w:tc>
        <w:tc>
          <w:tcPr>
            <w:tcW w:type="dxa" w:w="1066"/>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84.8%</w:t>
            </w:r>
          </w:p>
        </w:tc>
        <w:tc>
          <w:tcPr>
            <w:tcW w:type="dxa" w:w="1066"/>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83.3%</w:t>
            </w:r>
          </w:p>
        </w:tc>
      </w:tr>
      <w:tr>
        <w:tc>
          <w:tcPr>
            <w:tcW w:type="dxa" w:w="19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Highest Package (LPA)</w:t>
            </w:r>
          </w:p>
        </w:tc>
        <w:tc>
          <w:tcPr>
            <w:tcW w:type="dxa" w:w="1066"/>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₹24.0</w:t>
            </w:r>
          </w:p>
        </w:tc>
        <w:tc>
          <w:tcPr>
            <w:tcW w:type="dxa" w:w="1066"/>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₹18.5</w:t>
            </w:r>
          </w:p>
        </w:tc>
        <w:tc>
          <w:tcPr>
            <w:tcW w:type="dxa" w:w="1066"/>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₹12.0</w:t>
            </w:r>
          </w:p>
        </w:tc>
        <w:tc>
          <w:tcPr>
            <w:tcW w:type="dxa" w:w="1066"/>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₹10.5</w:t>
            </w:r>
          </w:p>
        </w:tc>
        <w:tc>
          <w:tcPr>
            <w:tcW w:type="dxa" w:w="1066"/>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₹21.0</w:t>
            </w:r>
          </w:p>
        </w:tc>
        <w:tc>
          <w:tcPr>
            <w:tcW w:type="dxa" w:w="1066"/>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₹22.0</w:t>
            </w:r>
          </w:p>
        </w:tc>
        <w:tc>
          <w:tcPr>
            <w:tcW w:type="dxa" w:w="1066"/>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₹20.0</w:t>
            </w:r>
          </w:p>
        </w:tc>
      </w:tr>
      <w:tr>
        <w:tc>
          <w:tcPr>
            <w:tcW w:type="dxa" w:w="19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Average Package (LPA)</w:t>
            </w:r>
          </w:p>
        </w:tc>
        <w:tc>
          <w:tcPr>
            <w:tcW w:type="dxa" w:w="1066"/>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₹6.2</w:t>
            </w:r>
          </w:p>
        </w:tc>
        <w:tc>
          <w:tcPr>
            <w:tcW w:type="dxa" w:w="1066"/>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₹5.1</w:t>
            </w:r>
          </w:p>
        </w:tc>
        <w:tc>
          <w:tcPr>
            <w:tcW w:type="dxa" w:w="1066"/>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₹4.3</w:t>
            </w:r>
          </w:p>
        </w:tc>
        <w:tc>
          <w:tcPr>
            <w:tcW w:type="dxa" w:w="1066"/>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₹4.0</w:t>
            </w:r>
          </w:p>
        </w:tc>
        <w:tc>
          <w:tcPr>
            <w:tcW w:type="dxa" w:w="1066"/>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₹5.8</w:t>
            </w:r>
          </w:p>
        </w:tc>
        <w:tc>
          <w:tcPr>
            <w:tcW w:type="dxa" w:w="1066"/>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₹6.5</w:t>
            </w:r>
          </w:p>
        </w:tc>
        <w:tc>
          <w:tcPr>
            <w:tcW w:type="dxa" w:w="1066"/>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₹6.0</w:t>
            </w:r>
          </w:p>
        </w:tc>
      </w:tr>
      <w:tr>
        <w:tc>
          <w:tcPr>
            <w:tcW w:type="dxa" w:w="19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Median Package (LPA)</w:t>
            </w:r>
          </w:p>
        </w:tc>
        <w:tc>
          <w:tcPr>
            <w:tcW w:type="dxa" w:w="1066"/>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₹5.5</w:t>
            </w:r>
          </w:p>
        </w:tc>
        <w:tc>
          <w:tcPr>
            <w:tcW w:type="dxa" w:w="1066"/>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₹4.5</w:t>
            </w:r>
          </w:p>
        </w:tc>
        <w:tc>
          <w:tcPr>
            <w:tcW w:type="dxa" w:w="1066"/>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₹3.8</w:t>
            </w:r>
          </w:p>
        </w:tc>
        <w:tc>
          <w:tcPr>
            <w:tcW w:type="dxa" w:w="1066"/>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₹3.5</w:t>
            </w:r>
          </w:p>
        </w:tc>
        <w:tc>
          <w:tcPr>
            <w:tcW w:type="dxa" w:w="1066"/>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₹5.2</w:t>
            </w:r>
          </w:p>
        </w:tc>
        <w:tc>
          <w:tcPr>
            <w:tcW w:type="dxa" w:w="1066"/>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₹5.8</w:t>
            </w:r>
          </w:p>
        </w:tc>
        <w:tc>
          <w:tcPr>
            <w:tcW w:type="dxa" w:w="1066"/>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₹5.5</w:t>
            </w:r>
          </w:p>
        </w:tc>
      </w:tr>
    </w:tbl>
    <w:p>
      <w:pPr>
        <w:spacing w:after="60" w:before="0"/>
      </w:pPr>
    </w:p>
    <w:p>
      <w:pPr>
        <w:pStyle w:val="Heading2"/>
        <w:spacing w:after="120" w:before="300"/>
      </w:pPr>
      <w:r>
        <w:rPr>
          <w:rFonts w:ascii="Arial" w:cs="Arial" w:eastAsia="Arial" w:hAnsi="Arial"/>
          <w:b/>
          <w:bCs/>
          <w:color w:val="0F7173"/>
          <w:sz w:val="26"/>
          <w:szCs w:val="26"/>
        </w:rPr>
        <w:t xml:space="preserve">6.2 Top Recruiters (2024–25)</w:t>
      </w:r>
    </w:p>
    <w:p>
      <w:pPr>
        <w:spacing w:after="120" w:before="0"/>
      </w:pPr>
      <w:r>
        <w:rPr>
          <w:rFonts w:ascii="Arial" w:cs="Arial" w:eastAsia="Arial" w:hAnsi="Arial"/>
          <w:sz w:val="22"/>
          <w:szCs w:val="22"/>
        </w:rPr>
        <w:t xml:space="preserve">• IT Services: TCS, Infosys, Wipro, Cognizant, HCL Technologies, Tech Mahindra, Capgemini
• Product Companies: Amazon, Microsoft, Google (internships), Salesforce, ServiceNow
• Core Companies: BHEL, L&amp;T, Tata Motors, Schneider Electric, Siemens
• Startups &amp; Mid-size: Zoho, Freshworks, Razorpay, PhonePe, Swiggy (tech roles)
• Consulting: Deloitte, EY, KPMG (technology consulting roles)</w:t>
      </w:r>
    </w:p>
    <w:p>
      <w:pPr>
        <w:pStyle w:val="Heading2"/>
        <w:spacing w:after="120" w:before="300"/>
      </w:pPr>
      <w:r>
        <w:rPr>
          <w:rFonts w:ascii="Arial" w:cs="Arial" w:eastAsia="Arial" w:hAnsi="Arial"/>
          <w:b/>
          <w:bCs/>
          <w:color w:val="0F7173"/>
          <w:sz w:val="26"/>
          <w:szCs w:val="26"/>
        </w:rPr>
        <w:t xml:space="preserve">6.3 Internship Programme</w:t>
      </w:r>
    </w:p>
    <w:p>
      <w:pPr>
        <w:spacing w:after="120" w:before="0"/>
      </w:pPr>
      <w:r>
        <w:rPr>
          <w:rFonts w:ascii="Arial" w:cs="Arial" w:eastAsia="Arial" w:hAnsi="Arial"/>
          <w:sz w:val="22"/>
          <w:szCs w:val="22"/>
        </w:rPr>
        <w:t xml:space="preserve">All students complete a mandatory internship: 6 weeks after Year 3 (summer) and 6 months in Year 4 (for select programmes). Stipends range from ₹10,000 to ₹60,000 per month depending on the company and role. In 2024–25, 78% of students who completed internships at product companies received pre-placement offers.</w:t>
      </w:r>
    </w:p>
    <w:p>
      <w:pPr>
        <w:spacing w:after="4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0" w:sz="1"/>
              <w:left w:val="single" w:color="CBD5E0" w:sz="1"/>
              <w:bottom w:val="single" w:color="CBD5E0" w:sz="1"/>
              <w:right w:val="single" w:color="CBD5E0" w:sz="1"/>
            </w:tcBorders>
            <w:shd w:fill="FEF9EF" w:val="clear"/>
            <w:tcMar>
              <w:top w:type="dxa" w:w="100"/>
              <w:left w:type="dxa" w:w="160"/>
              <w:bottom w:type="dxa" w:w="100"/>
              <w:right w:type="dxa" w:w="160"/>
            </w:tcMar>
          </w:tcPr>
          <w:p>
            <w:pPr>
              <w:spacing w:after="60" w:before="0"/>
            </w:pPr>
            <w:r>
              <w:rPr>
                <w:rFonts w:ascii="Arial" w:cs="Arial" w:eastAsia="Arial" w:hAnsi="Arial"/>
                <w:b/>
                <w:bCs/>
                <w:sz w:val="22"/>
                <w:szCs w:val="22"/>
              </w:rPr>
              <w:t xml:space="preserve">⚠️  Disclaimer</w:t>
            </w:r>
          </w:p>
          <w:p>
            <w:pPr>
              <w:spacing w:after="120" w:before="0"/>
            </w:pPr>
            <w:r>
              <w:rPr>
                <w:rFonts w:ascii="Arial" w:cs="Arial" w:eastAsia="Arial" w:hAnsi="Arial"/>
                <w:sz w:val="22"/>
                <w:szCs w:val="22"/>
              </w:rPr>
              <w:t xml:space="preserve">Placement statistics are historical data from the 2024–25 academic year and do not guarantee future outcomes. Individual placement depends on academic performance, skills, interview performance, and market conditions. BVRIT does not guarantee placement to any student.</w:t>
            </w:r>
          </w:p>
        </w:tc>
      </w:tr>
    </w:tbl>
    <w:p>
      <w:pPr>
        <w:pStyle w:val="Heading1"/>
        <w:spacing w:after="180" w:before="400"/>
      </w:pPr>
      <w:r>
        <w:rPr>
          <w:rFonts w:ascii="Arial" w:cs="Arial" w:eastAsia="Arial" w:hAnsi="Arial"/>
          <w:b/>
          <w:bCs/>
          <w:color w:val="0F2D55"/>
          <w:sz w:val="32"/>
          <w:szCs w:val="32"/>
        </w:rPr>
        <w:t xml:space="preserve">7. CAMPUS &amp; FACILITIES</w:t>
      </w:r>
    </w:p>
    <w:p>
      <w:pPr>
        <w:pStyle w:val="Heading2"/>
        <w:spacing w:after="120" w:before="300"/>
      </w:pPr>
      <w:r>
        <w:rPr>
          <w:rFonts w:ascii="Arial" w:cs="Arial" w:eastAsia="Arial" w:hAnsi="Arial"/>
          <w:b/>
          <w:bCs/>
          <w:color w:val="0F7173"/>
          <w:sz w:val="26"/>
          <w:szCs w:val="26"/>
        </w:rPr>
        <w:t xml:space="preserve">7.1 Academic Facilities</w:t>
      </w:r>
    </w:p>
    <w:p>
      <w:pPr>
        <w:spacing w:after="120" w:before="0"/>
      </w:pPr>
      <w:r>
        <w:rPr>
          <w:rFonts w:ascii="Arial" w:cs="Arial" w:eastAsia="Arial" w:hAnsi="Arial"/>
          <w:sz w:val="22"/>
          <w:szCs w:val="22"/>
        </w:rPr>
        <w:t xml:space="preserve">• Central Library: 50,000+ volumes, 2,500 e-journals, 24/7 digital access, 200-seat reading hall
• Computing Labs: 1,200+ workstations across all departments, 100 Mbps dedicated internet
• Smart Classrooms: all classrooms equipped with interactive displays and lecture recording
• Research Centre: shared facility with high-performance computing, GPU cluster, and 3D printing
• Language Lab: 60-seat lab for English communication skills and soft skills training</w:t>
      </w:r>
    </w:p>
    <w:p>
      <w:pPr>
        <w:pStyle w:val="Heading2"/>
        <w:spacing w:after="120" w:before="300"/>
      </w:pPr>
      <w:r>
        <w:rPr>
          <w:rFonts w:ascii="Arial" w:cs="Arial" w:eastAsia="Arial" w:hAnsi="Arial"/>
          <w:b/>
          <w:bCs/>
          <w:color w:val="0F7173"/>
          <w:sz w:val="26"/>
          <w:szCs w:val="26"/>
        </w:rPr>
        <w:t xml:space="preserve">7.2 Hostel Facilities</w:t>
      </w:r>
    </w:p>
    <w:p>
      <w:pPr>
        <w:spacing w:after="120" w:before="0"/>
      </w:pPr>
      <w:r>
        <w:rPr>
          <w:rFonts w:ascii="Arial" w:cs="Arial" w:eastAsia="Arial" w:hAnsi="Arial"/>
          <w:sz w:val="22"/>
          <w:szCs w:val="22"/>
        </w:rPr>
        <w:t xml:space="preserve">BVRIT provides on-campus hostel accommodation for all students. The campus has 5 hostel blocks (Jasmine, Lotus, Orchid, Rose, and Tulip) with a total capacity of 3,200 students. Each room is furnished with beds, study tables, chairs, and wardrobes.</w:t>
      </w:r>
    </w:p>
    <w:p>
      <w:pPr>
        <w:spacing w:after="120" w:before="0"/>
      </w:pPr>
      <w:r>
        <w:rPr>
          <w:rFonts w:ascii="Arial" w:cs="Arial" w:eastAsia="Arial" w:hAnsi="Arial"/>
          <w:sz w:val="22"/>
          <w:szCs w:val="22"/>
        </w:rPr>
        <w:t xml:space="preserve">Hostel facilities include: 24/7 Wi-Fi (50 Mbps per hostel block), RO purified drinking water, hot water supply (6–8 AM, 6–8 PM), laundry service (outsourced, ₹300/month), common rooms with TV and indoor games, and 24-hour security with CCTV surveillance.</w:t>
      </w:r>
    </w:p>
    <w:p>
      <w:pPr>
        <w:spacing w:after="120" w:before="0"/>
      </w:pPr>
      <w:r>
        <w:rPr>
          <w:rFonts w:ascii="Arial" w:cs="Arial" w:eastAsia="Arial" w:hAnsi="Arial"/>
          <w:sz w:val="22"/>
          <w:szCs w:val="22"/>
        </w:rPr>
        <w:t xml:space="preserve">The mess serves three meals daily (breakfast, lunch, dinner) plus evening snacks. The menu rotates weekly and accommodates vegetarian and non-vegetarian preferences. A student mess committee reviews food quality monthly.</w:t>
      </w:r>
    </w:p>
    <w:p>
      <w:pPr>
        <w:pStyle w:val="Heading2"/>
        <w:spacing w:after="120" w:before="300"/>
      </w:pPr>
      <w:r>
        <w:rPr>
          <w:rFonts w:ascii="Arial" w:cs="Arial" w:eastAsia="Arial" w:hAnsi="Arial"/>
          <w:b/>
          <w:bCs/>
          <w:color w:val="0F7173"/>
          <w:sz w:val="26"/>
          <w:szCs w:val="26"/>
        </w:rPr>
        <w:t xml:space="preserve">7.3 Sports &amp; Recreation</w:t>
      </w:r>
    </w:p>
    <w:p>
      <w:pPr>
        <w:spacing w:after="120" w:before="0"/>
      </w:pPr>
      <w:r>
        <w:rPr>
          <w:rFonts w:ascii="Arial" w:cs="Arial" w:eastAsia="Arial" w:hAnsi="Arial"/>
          <w:sz w:val="22"/>
          <w:szCs w:val="22"/>
        </w:rPr>
        <w:t xml:space="preserve">• Indoor: badminton courts (4), table tennis (6 tables), chess room, yoga hall, gymnasium
• Outdoor: cricket ground, football field, basketball courts (2), volleyball courts (2), tennis court, 400m athletic track
• Annual sports meet: BVRIT Olympia (held in February)
• Professional coaching available for: badminton, basketball, and athletics</w:t>
      </w:r>
    </w:p>
    <w:p>
      <w:pPr>
        <w:pStyle w:val="Heading2"/>
        <w:spacing w:after="120" w:before="300"/>
      </w:pPr>
      <w:r>
        <w:rPr>
          <w:rFonts w:ascii="Arial" w:cs="Arial" w:eastAsia="Arial" w:hAnsi="Arial"/>
          <w:b/>
          <w:bCs/>
          <w:color w:val="0F7173"/>
          <w:sz w:val="26"/>
          <w:szCs w:val="26"/>
        </w:rPr>
        <w:t xml:space="preserve">7.4 Transport</w:t>
      </w:r>
    </w:p>
    <w:p>
      <w:pPr>
        <w:spacing w:after="120" w:before="0"/>
      </w:pPr>
      <w:r>
        <w:rPr>
          <w:rFonts w:ascii="Arial" w:cs="Arial" w:eastAsia="Arial" w:hAnsi="Arial"/>
          <w:sz w:val="22"/>
          <w:szCs w:val="22"/>
        </w:rPr>
        <w:t xml:space="preserve">BVRIT operates 35 college buses covering routes across Hyderabad, Secunderabad, Kukatpally, Miyapur, Ameerpet, Dilsukhnagar, and LB Nagar. Buses depart from designated pickup points at 7:00 AM and return by 5:30 PM. The annual transport fee is ₹45,000. Students using their own transport (two-wheelers are permitted with valid licence and helmet) do not pay this fee. Parking is available on campus at no additional cost.</w:t>
      </w:r>
    </w:p>
    <w:p>
      <w:pPr>
        <w:pStyle w:val="Heading2"/>
        <w:spacing w:after="120" w:before="300"/>
      </w:pPr>
      <w:r>
        <w:rPr>
          <w:rFonts w:ascii="Arial" w:cs="Arial" w:eastAsia="Arial" w:hAnsi="Arial"/>
          <w:b/>
          <w:bCs/>
          <w:color w:val="0F7173"/>
          <w:sz w:val="26"/>
          <w:szCs w:val="26"/>
        </w:rPr>
        <w:t xml:space="preserve">7.5 Medical &amp; Wellness</w:t>
      </w:r>
    </w:p>
    <w:p>
      <w:pPr>
        <w:spacing w:after="120" w:before="0"/>
      </w:pPr>
      <w:r>
        <w:rPr>
          <w:rFonts w:ascii="Arial" w:cs="Arial" w:eastAsia="Arial" w:hAnsi="Arial"/>
          <w:sz w:val="22"/>
          <w:szCs w:val="22"/>
        </w:rPr>
        <w:t xml:space="preserve">A full-time medical officer is available on campus (9 AM – 5 PM, Monday–Saturday). Emergency medical support is available 24/7. The nearest hospital is Apollo Hospitals, Jubilee Hills (45 km). An ambulance is stationed on campus. All students are covered under a group medical insurance policy (₹1 lakh coverage) included in the admission fee.</w:t>
      </w:r>
    </w:p>
    <w:p>
      <w:pPr>
        <w:pStyle w:val="Heading1"/>
        <w:spacing w:after="180" w:before="400"/>
      </w:pPr>
      <w:r>
        <w:rPr>
          <w:rFonts w:ascii="Arial" w:cs="Arial" w:eastAsia="Arial" w:hAnsi="Arial"/>
          <w:b/>
          <w:bCs/>
          <w:color w:val="0F2D55"/>
          <w:sz w:val="32"/>
          <w:szCs w:val="32"/>
        </w:rPr>
        <w:t xml:space="preserve">8. KEY FACULTY</w:t>
      </w:r>
    </w:p>
    <w:p>
      <w:pPr>
        <w:pStyle w:val="Heading2"/>
        <w:spacing w:after="120" w:before="300"/>
      </w:pPr>
      <w:r>
        <w:rPr>
          <w:rFonts w:ascii="Arial" w:cs="Arial" w:eastAsia="Arial" w:hAnsi="Arial"/>
          <w:b/>
          <w:bCs/>
          <w:color w:val="0F7173"/>
          <w:sz w:val="26"/>
          <w:szCs w:val="26"/>
        </w:rPr>
        <w:t xml:space="preserve">8.1 College Leadership</w:t>
      </w:r>
    </w:p>
    <w:p>
      <w:pPr>
        <w:spacing w:after="120" w:before="0"/>
      </w:pPr>
      <w:r>
        <w:rPr>
          <w:rFonts w:ascii="Arial" w:cs="Arial" w:eastAsia="Arial" w:hAnsi="Arial"/>
          <w:sz w:val="22"/>
          <w:szCs w:val="22"/>
        </w:rPr>
        <w:t xml:space="preserve">• Principal: Dr. K. Lakshmi Prasad, PhD (IIT Madras), 28 years of academic experience
• Vice-Principal: Dr. M. Sravanthi, PhD (NIT Warangal), 22 years in academia
• Dean (Academics): Dr. P. Raghavendra, PhD (JNTUH), responsible for curriculum and quality
• Dean (Student Affairs): Dr. S. Kavitha, PhD (Osmania University), responsible for student welfare
• Training &amp; Placement Officer: Prof. N. Venkat Reddy, 18 years of industry + academic experience</w:t>
      </w:r>
    </w:p>
    <w:p>
      <w:pPr>
        <w:pStyle w:val="Heading2"/>
        <w:spacing w:after="120" w:before="300"/>
      </w:pPr>
      <w:r>
        <w:rPr>
          <w:rFonts w:ascii="Arial" w:cs="Arial" w:eastAsia="Arial" w:hAnsi="Arial"/>
          <w:b/>
          <w:bCs/>
          <w:color w:val="0F7173"/>
          <w:sz w:val="26"/>
          <w:szCs w:val="26"/>
        </w:rPr>
        <w:t xml:space="preserve">8.2 Department Heads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400"/>
        <w:gridCol w:w="3160"/>
      </w:tblGrid>
      <w:tr>
        <w:tc>
          <w:tcPr>
            <w:tcW w:type="dxa" w:w="180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Department</w:t>
            </w:r>
          </w:p>
        </w:tc>
        <w:tc>
          <w:tcPr>
            <w:tcW w:type="dxa" w:w="200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HOD</w:t>
            </w:r>
          </w:p>
        </w:tc>
        <w:tc>
          <w:tcPr>
            <w:tcW w:type="dxa" w:w="240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Qualification</w:t>
            </w:r>
          </w:p>
        </w:tc>
        <w:tc>
          <w:tcPr>
            <w:tcW w:type="dxa" w:w="316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Research Area</w:t>
            </w:r>
          </w:p>
        </w:tc>
      </w:tr>
      <w:tr>
        <w:tc>
          <w:tcPr>
            <w:tcW w:type="dxa" w:w="1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CSE</w:t>
            </w:r>
          </w:p>
        </w:tc>
        <w:tc>
          <w:tcPr>
            <w:tcW w:type="dxa" w:w="20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Dr. A. Padmavathi</w:t>
            </w:r>
          </w:p>
        </w:tc>
        <w:tc>
          <w:tcPr>
            <w:tcW w:type="dxa" w:w="24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PhD (IIT Hyderabad)</w:t>
            </w:r>
          </w:p>
        </w:tc>
        <w:tc>
          <w:tcPr>
            <w:tcW w:type="dxa" w:w="316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Machine Learning, NLP</w:t>
            </w:r>
          </w:p>
        </w:tc>
      </w:tr>
      <w:tr>
        <w:tc>
          <w:tcPr>
            <w:tcW w:type="dxa" w:w="18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CSE (AI&amp;ML)</w:t>
            </w:r>
          </w:p>
        </w:tc>
        <w:tc>
          <w:tcPr>
            <w:tcW w:type="dxa" w:w="20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Dr. R. Swathi</w:t>
            </w:r>
          </w:p>
        </w:tc>
        <w:tc>
          <w:tcPr>
            <w:tcW w:type="dxa" w:w="24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PhD (IIIT Hyderabad)</w:t>
            </w:r>
          </w:p>
        </w:tc>
        <w:tc>
          <w:tcPr>
            <w:tcW w:type="dxa" w:w="316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Deep Learning, Computer Vision</w:t>
            </w:r>
          </w:p>
        </w:tc>
      </w:tr>
      <w:tr>
        <w:tc>
          <w:tcPr>
            <w:tcW w:type="dxa" w:w="1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CSE (DS)</w:t>
            </w:r>
          </w:p>
        </w:tc>
        <w:tc>
          <w:tcPr>
            <w:tcW w:type="dxa" w:w="20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Dr. B. Lakshmi</w:t>
            </w:r>
          </w:p>
        </w:tc>
        <w:tc>
          <w:tcPr>
            <w:tcW w:type="dxa" w:w="24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PhD (IISc Bangalore)</w:t>
            </w:r>
          </w:p>
        </w:tc>
        <w:tc>
          <w:tcPr>
            <w:tcW w:type="dxa" w:w="316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Big Data Analytics, Statistical Learning</w:t>
            </w:r>
          </w:p>
        </w:tc>
      </w:tr>
      <w:tr>
        <w:tc>
          <w:tcPr>
            <w:tcW w:type="dxa" w:w="18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ECE</w:t>
            </w:r>
          </w:p>
        </w:tc>
        <w:tc>
          <w:tcPr>
            <w:tcW w:type="dxa" w:w="20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Dr. K. Anitha</w:t>
            </w:r>
          </w:p>
        </w:tc>
        <w:tc>
          <w:tcPr>
            <w:tcW w:type="dxa" w:w="24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PhD (NIT Warangal)</w:t>
            </w:r>
          </w:p>
        </w:tc>
        <w:tc>
          <w:tcPr>
            <w:tcW w:type="dxa" w:w="316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VLSI Design, Embedded Systems</w:t>
            </w:r>
          </w:p>
        </w:tc>
      </w:tr>
      <w:tr>
        <w:tc>
          <w:tcPr>
            <w:tcW w:type="dxa" w:w="1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EEE</w:t>
            </w:r>
          </w:p>
        </w:tc>
        <w:tc>
          <w:tcPr>
            <w:tcW w:type="dxa" w:w="20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Dr. T. Manohar</w:t>
            </w:r>
          </w:p>
        </w:tc>
        <w:tc>
          <w:tcPr>
            <w:tcW w:type="dxa" w:w="24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PhD (IIT Bombay)</w:t>
            </w:r>
          </w:p>
        </w:tc>
        <w:tc>
          <w:tcPr>
            <w:tcW w:type="dxa" w:w="316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Power Electronics, Smart Grids</w:t>
            </w:r>
          </w:p>
        </w:tc>
      </w:tr>
      <w:tr>
        <w:tc>
          <w:tcPr>
            <w:tcW w:type="dxa" w:w="18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Mechanical</w:t>
            </w:r>
          </w:p>
        </w:tc>
        <w:tc>
          <w:tcPr>
            <w:tcW w:type="dxa" w:w="20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Dr. V. Anuradha</w:t>
            </w:r>
          </w:p>
        </w:tc>
        <w:tc>
          <w:tcPr>
            <w:tcW w:type="dxa" w:w="24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PhD (NIT Trichy)</w:t>
            </w:r>
          </w:p>
        </w:tc>
        <w:tc>
          <w:tcPr>
            <w:tcW w:type="dxa" w:w="316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CAD/CAM, Additive Manufacturing</w:t>
            </w:r>
          </w:p>
        </w:tc>
      </w:tr>
      <w:tr>
        <w:tc>
          <w:tcPr>
            <w:tcW w:type="dxa" w:w="18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IT</w:t>
            </w:r>
          </w:p>
        </w:tc>
        <w:tc>
          <w:tcPr>
            <w:tcW w:type="dxa" w:w="20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Dr. S. Priya</w:t>
            </w:r>
          </w:p>
        </w:tc>
        <w:tc>
          <w:tcPr>
            <w:tcW w:type="dxa" w:w="24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PhD (JNTUH)</w:t>
            </w:r>
          </w:p>
        </w:tc>
        <w:tc>
          <w:tcPr>
            <w:tcW w:type="dxa" w:w="316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Cloud Computing, Network Security</w:t>
            </w:r>
          </w:p>
        </w:tc>
      </w:tr>
    </w:tbl>
    <w:p>
      <w:pPr>
        <w:pStyle w:val="Heading1"/>
        <w:spacing w:after="180" w:before="400"/>
      </w:pPr>
      <w:r>
        <w:rPr>
          <w:rFonts w:ascii="Arial" w:cs="Arial" w:eastAsia="Arial" w:hAnsi="Arial"/>
          <w:b/>
          <w:bCs/>
          <w:color w:val="0F2D55"/>
          <w:sz w:val="32"/>
          <w:szCs w:val="32"/>
        </w:rPr>
        <w:t xml:space="preserve">9. STUDENT SUPPORT SERVICES</w:t>
      </w:r>
    </w:p>
    <w:p>
      <w:pPr>
        <w:pStyle w:val="Heading2"/>
        <w:spacing w:after="120" w:before="300"/>
      </w:pPr>
      <w:r>
        <w:rPr>
          <w:rFonts w:ascii="Arial" w:cs="Arial" w:eastAsia="Arial" w:hAnsi="Arial"/>
          <w:b/>
          <w:bCs/>
          <w:color w:val="0F7173"/>
          <w:sz w:val="26"/>
          <w:szCs w:val="26"/>
        </w:rPr>
        <w:t xml:space="preserve">9.1 Student Counselling Centre</w:t>
      </w:r>
    </w:p>
    <w:p>
      <w:pPr>
        <w:spacing w:after="120" w:before="0"/>
      </w:pPr>
      <w:r>
        <w:rPr>
          <w:rFonts w:ascii="Arial" w:cs="Arial" w:eastAsia="Arial" w:hAnsi="Arial"/>
          <w:sz w:val="22"/>
          <w:szCs w:val="22"/>
        </w:rPr>
        <w:t xml:space="preserve">The Student Counselling Centre provides free, confidential support for academic stress, personal issues, and mental health concerns. Two full-time counsellors are available Monday–Saturday, 9 AM – 5 PM. Appointments can be booked in person at the Admin Block, Room 105, or via email at counselling@bvrit.ac.in. Walk-ins are welcome.</w:t>
      </w:r>
    </w:p>
    <w:p>
      <w:pPr>
        <w:spacing w:after="120" w:before="0"/>
      </w:pPr>
      <w:r>
        <w:rPr>
          <w:rFonts w:ascii="Arial" w:cs="Arial" w:eastAsia="Arial" w:hAnsi="Arial"/>
          <w:b/>
          <w:bCs/>
          <w:sz w:val="22"/>
          <w:szCs w:val="22"/>
        </w:rPr>
        <w:t xml:space="preserve">In case of crisis: </w:t>
      </w:r>
      <w:r>
        <w:rPr>
          <w:rFonts w:ascii="Arial" w:cs="Arial" w:eastAsia="Arial" w:hAnsi="Arial"/>
          <w:sz w:val="22"/>
          <w:szCs w:val="22"/>
        </w:rPr>
        <w:t xml:space="preserve">Students in distress can contact the counselling centre directly or call the 24-hour student helpline at 08455-221144. For after-hours emergencies, contact hostel wardens or campus security (available 24/7).</w:t>
      </w:r>
    </w:p>
    <w:p>
      <w:pPr>
        <w:spacing w:after="120" w:before="0"/>
      </w:pPr>
      <w:r>
        <w:rPr>
          <w:rFonts w:ascii="Arial" w:cs="Arial" w:eastAsia="Arial" w:hAnsi="Arial"/>
          <w:b/>
          <w:bCs/>
          <w:sz w:val="22"/>
          <w:szCs w:val="22"/>
        </w:rPr>
        <w:t xml:space="preserve">External crisis resources: </w:t>
      </w:r>
      <w:r>
        <w:rPr>
          <w:rFonts w:ascii="Arial" w:cs="Arial" w:eastAsia="Arial" w:hAnsi="Arial"/>
          <w:sz w:val="22"/>
          <w:szCs w:val="22"/>
        </w:rPr>
        <w:t xml:space="preserve">iCall — 9152987821 (Mon–Sat, 8 AM – 10 PM). Vandrevala Foundation Helpline — 1860-2662-345 (24/7). NIMHANS Helpline — 080-46110007.</w:t>
      </w:r>
    </w:p>
    <w:p>
      <w:pPr>
        <w:pStyle w:val="Heading2"/>
        <w:spacing w:after="120" w:before="300"/>
      </w:pPr>
      <w:r>
        <w:rPr>
          <w:rFonts w:ascii="Arial" w:cs="Arial" w:eastAsia="Arial" w:hAnsi="Arial"/>
          <w:b/>
          <w:bCs/>
          <w:color w:val="0F7173"/>
          <w:sz w:val="26"/>
          <w:szCs w:val="26"/>
        </w:rPr>
        <w:t xml:space="preserve">9.2 Anti-Ragging Committee</w:t>
      </w:r>
    </w:p>
    <w:p>
      <w:pPr>
        <w:spacing w:after="120" w:before="0"/>
      </w:pPr>
      <w:r>
        <w:rPr>
          <w:rFonts w:ascii="Arial" w:cs="Arial" w:eastAsia="Arial" w:hAnsi="Arial"/>
          <w:sz w:val="22"/>
          <w:szCs w:val="22"/>
        </w:rPr>
        <w:t xml:space="preserve">BVRIT has a zero-tolerance policy on ragging. The Anti-Ragging Committee can be contacted at antiragging@bvrit.ac.in or the UGC helpline 1800-180-5522. All complaints are investigated within 48 hours.</w:t>
      </w:r>
    </w:p>
    <w:p>
      <w:pPr>
        <w:pStyle w:val="Heading2"/>
        <w:spacing w:after="120" w:before="300"/>
      </w:pPr>
      <w:r>
        <w:rPr>
          <w:rFonts w:ascii="Arial" w:cs="Arial" w:eastAsia="Arial" w:hAnsi="Arial"/>
          <w:b/>
          <w:bCs/>
          <w:color w:val="0F7173"/>
          <w:sz w:val="26"/>
          <w:szCs w:val="26"/>
        </w:rPr>
        <w:t xml:space="preserve">9.3 Grievance Redressal</w:t>
      </w:r>
    </w:p>
    <w:p>
      <w:pPr>
        <w:spacing w:after="120" w:before="0"/>
      </w:pPr>
      <w:r>
        <w:rPr>
          <w:rFonts w:ascii="Arial" w:cs="Arial" w:eastAsia="Arial" w:hAnsi="Arial"/>
          <w:sz w:val="22"/>
          <w:szCs w:val="22"/>
        </w:rPr>
        <w:t xml:space="preserve">Students can submit grievances through the online portal (portal.bvrit.ac.in/grievance) or in writing to the Dean (Student Affairs). All grievances receive a response within 7 working days. The Grievance Redressal Committee meets monthly to review pending cases.</w:t>
      </w:r>
    </w:p>
    <w:p>
      <w:pPr>
        <w:pStyle w:val="Heading1"/>
        <w:spacing w:after="180" w:before="400"/>
      </w:pPr>
      <w:r>
        <w:rPr>
          <w:rFonts w:ascii="Arial" w:cs="Arial" w:eastAsia="Arial" w:hAnsi="Arial"/>
          <w:b/>
          <w:bCs/>
          <w:color w:val="0F2D55"/>
          <w:sz w:val="32"/>
          <w:szCs w:val="32"/>
        </w:rPr>
        <w:t xml:space="preserve">10. CONTACT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200"/>
        <w:gridCol w:w="3660"/>
      </w:tblGrid>
      <w:tr>
        <w:tc>
          <w:tcPr>
            <w:tcW w:type="dxa" w:w="250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Purpose</w:t>
            </w:r>
          </w:p>
        </w:tc>
        <w:tc>
          <w:tcPr>
            <w:tcW w:type="dxa" w:w="320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Contact</w:t>
            </w:r>
          </w:p>
        </w:tc>
        <w:tc>
          <w:tcPr>
            <w:tcW w:type="dxa" w:w="3660"/>
            <w:tcBorders>
              <w:top w:val="single" w:color="CBD5E0" w:sz="1"/>
              <w:left w:val="single" w:color="CBD5E0" w:sz="1"/>
              <w:bottom w:val="single" w:color="CBD5E0" w:sz="1"/>
              <w:right w:val="single" w:color="CBD5E0" w:sz="1"/>
            </w:tcBorders>
            <w:shd w:fill="0F2D55" w:val="clear"/>
            <w:tcMar>
              <w:top w:type="dxa" w:w="60"/>
              <w:left w:type="dxa" w:w="100"/>
              <w:bottom w:type="dxa" w:w="60"/>
              <w:right w:type="dxa" w:w="100"/>
            </w:tcMar>
          </w:tcPr>
          <w:p>
            <w:pPr>
              <w:spacing w:after="120" w:before="0"/>
            </w:pPr>
            <w:r>
              <w:rPr>
                <w:rFonts w:ascii="Arial" w:cs="Arial" w:eastAsia="Arial" w:hAnsi="Arial"/>
                <w:b/>
                <w:bCs/>
                <w:color w:val="FFFFFF"/>
                <w:sz w:val="20"/>
                <w:szCs w:val="20"/>
              </w:rPr>
              <w:t xml:space="preserve">Details</w:t>
            </w:r>
          </w:p>
        </w:tc>
      </w:tr>
      <w:tr>
        <w:tc>
          <w:tcPr>
            <w:tcW w:type="dxa" w:w="25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General Enquiries</w:t>
            </w:r>
          </w:p>
        </w:tc>
        <w:tc>
          <w:tcPr>
            <w:tcW w:type="dxa" w:w="32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info@bvrit.ac.in</w:t>
            </w:r>
          </w:p>
        </w:tc>
        <w:tc>
          <w:tcPr>
            <w:tcW w:type="dxa" w:w="366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08455-221100</w:t>
            </w:r>
          </w:p>
        </w:tc>
      </w:tr>
      <w:tr>
        <w:tc>
          <w:tcPr>
            <w:tcW w:type="dxa" w:w="25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Admissions Office</w:t>
            </w:r>
          </w:p>
        </w:tc>
        <w:tc>
          <w:tcPr>
            <w:tcW w:type="dxa" w:w="32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admissions@bvrit.ac.in</w:t>
            </w:r>
          </w:p>
        </w:tc>
        <w:tc>
          <w:tcPr>
            <w:tcW w:type="dxa" w:w="366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08455-221111</w:t>
            </w:r>
          </w:p>
        </w:tc>
      </w:tr>
      <w:tr>
        <w:tc>
          <w:tcPr>
            <w:tcW w:type="dxa" w:w="25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Fee Payment Queries</w:t>
            </w:r>
          </w:p>
        </w:tc>
        <w:tc>
          <w:tcPr>
            <w:tcW w:type="dxa" w:w="32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accounts@bvrit.ac.in</w:t>
            </w:r>
          </w:p>
        </w:tc>
        <w:tc>
          <w:tcPr>
            <w:tcW w:type="dxa" w:w="366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08455-221122</w:t>
            </w:r>
          </w:p>
        </w:tc>
      </w:tr>
      <w:tr>
        <w:tc>
          <w:tcPr>
            <w:tcW w:type="dxa" w:w="25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Training &amp; Placement</w:t>
            </w:r>
          </w:p>
        </w:tc>
        <w:tc>
          <w:tcPr>
            <w:tcW w:type="dxa" w:w="32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placements@bvrit.ac.in</w:t>
            </w:r>
          </w:p>
        </w:tc>
        <w:tc>
          <w:tcPr>
            <w:tcW w:type="dxa" w:w="366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08455-221133</w:t>
            </w:r>
          </w:p>
        </w:tc>
      </w:tr>
      <w:tr>
        <w:tc>
          <w:tcPr>
            <w:tcW w:type="dxa" w:w="25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Hostel &amp; Accommodation</w:t>
            </w:r>
          </w:p>
        </w:tc>
        <w:tc>
          <w:tcPr>
            <w:tcW w:type="dxa" w:w="32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hostel@bvrit.ac.in</w:t>
            </w:r>
          </w:p>
        </w:tc>
        <w:tc>
          <w:tcPr>
            <w:tcW w:type="dxa" w:w="366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08455-221144</w:t>
            </w:r>
          </w:p>
        </w:tc>
      </w:tr>
      <w:tr>
        <w:tc>
          <w:tcPr>
            <w:tcW w:type="dxa" w:w="25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Student Counselling</w:t>
            </w:r>
          </w:p>
        </w:tc>
        <w:tc>
          <w:tcPr>
            <w:tcW w:type="dxa" w:w="32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counselling@bvrit.ac.in</w:t>
            </w:r>
          </w:p>
        </w:tc>
        <w:tc>
          <w:tcPr>
            <w:tcW w:type="dxa" w:w="366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08455-221155</w:t>
            </w:r>
          </w:p>
        </w:tc>
      </w:tr>
      <w:tr>
        <w:tc>
          <w:tcPr>
            <w:tcW w:type="dxa" w:w="25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Transport</w:t>
            </w:r>
          </w:p>
        </w:tc>
        <w:tc>
          <w:tcPr>
            <w:tcW w:type="dxa" w:w="32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transport@bvrit.ac.in</w:t>
            </w:r>
          </w:p>
        </w:tc>
        <w:tc>
          <w:tcPr>
            <w:tcW w:type="dxa" w:w="366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08455-221166</w:t>
            </w:r>
          </w:p>
        </w:tc>
      </w:tr>
      <w:tr>
        <w:tc>
          <w:tcPr>
            <w:tcW w:type="dxa" w:w="25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Examination Cell</w:t>
            </w:r>
          </w:p>
        </w:tc>
        <w:tc>
          <w:tcPr>
            <w:tcW w:type="dxa" w:w="32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exams@bvrit.ac.in</w:t>
            </w:r>
          </w:p>
        </w:tc>
        <w:tc>
          <w:tcPr>
            <w:tcW w:type="dxa" w:w="366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08455-221177</w:t>
            </w:r>
          </w:p>
        </w:tc>
      </w:tr>
      <w:tr>
        <w:tc>
          <w:tcPr>
            <w:tcW w:type="dxa" w:w="25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Principal’s Office</w:t>
            </w:r>
          </w:p>
        </w:tc>
        <w:tc>
          <w:tcPr>
            <w:tcW w:type="dxa" w:w="320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principal@bvrit.ac.in</w:t>
            </w:r>
          </w:p>
        </w:tc>
        <w:tc>
          <w:tcPr>
            <w:tcW w:type="dxa" w:w="3660"/>
            <w:tcBorders>
              <w:top w:val="single" w:color="CBD5E0" w:sz="1"/>
              <w:left w:val="single" w:color="CBD5E0" w:sz="1"/>
              <w:bottom w:val="single" w:color="CBD5E0" w:sz="1"/>
              <w:right w:val="single" w:color="CBD5E0" w:sz="1"/>
            </w:tcBorders>
            <w:shd w:fill="FFFFFF" w:val="clear"/>
            <w:tcMar>
              <w:top w:type="dxa" w:w="60"/>
              <w:left w:type="dxa" w:w="100"/>
              <w:bottom w:type="dxa" w:w="60"/>
              <w:right w:type="dxa" w:w="100"/>
            </w:tcMar>
          </w:tcPr>
          <w:p>
            <w:pPr>
              <w:spacing w:after="120" w:before="0"/>
            </w:pPr>
            <w:r>
              <w:rPr>
                <w:rFonts w:ascii="Arial" w:cs="Arial" w:eastAsia="Arial" w:hAnsi="Arial"/>
                <w:sz w:val="20"/>
                <w:szCs w:val="20"/>
              </w:rPr>
              <w:t xml:space="preserve">08455-221100 (ext. 101)</w:t>
            </w:r>
          </w:p>
        </w:tc>
      </w:tr>
      <w:tr>
        <w:tc>
          <w:tcPr>
            <w:tcW w:type="dxa" w:w="25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Dean (Student Affairs)</w:t>
            </w:r>
          </w:p>
        </w:tc>
        <w:tc>
          <w:tcPr>
            <w:tcW w:type="dxa" w:w="320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dean.sa@bvrit.ac.in</w:t>
            </w:r>
          </w:p>
        </w:tc>
        <w:tc>
          <w:tcPr>
            <w:tcW w:type="dxa" w:w="3660"/>
            <w:tcBorders>
              <w:top w:val="single" w:color="CBD5E0" w:sz="1"/>
              <w:left w:val="single" w:color="CBD5E0" w:sz="1"/>
              <w:bottom w:val="single" w:color="CBD5E0" w:sz="1"/>
              <w:right w:val="single" w:color="CBD5E0" w:sz="1"/>
            </w:tcBorders>
            <w:shd w:fill="F7FAFC" w:val="clear"/>
            <w:tcMar>
              <w:top w:type="dxa" w:w="60"/>
              <w:left w:type="dxa" w:w="100"/>
              <w:bottom w:type="dxa" w:w="60"/>
              <w:right w:type="dxa" w:w="100"/>
            </w:tcMar>
          </w:tcPr>
          <w:p>
            <w:pPr>
              <w:spacing w:after="120" w:before="0"/>
            </w:pPr>
            <w:r>
              <w:rPr>
                <w:rFonts w:ascii="Arial" w:cs="Arial" w:eastAsia="Arial" w:hAnsi="Arial"/>
                <w:sz w:val="20"/>
                <w:szCs w:val="20"/>
              </w:rPr>
              <w:t xml:space="preserve">08455-221100 (ext. 105)</w:t>
            </w:r>
          </w:p>
        </w:tc>
      </w:tr>
    </w:tbl>
    <w:p>
      <w:pPr>
        <w:spacing w:after="60" w:before="0"/>
      </w:pPr>
    </w:p>
    <w:p>
      <w:pPr>
        <w:pStyle w:val="Heading2"/>
        <w:spacing w:after="120" w:before="300"/>
      </w:pPr>
      <w:r>
        <w:rPr>
          <w:rFonts w:ascii="Arial" w:cs="Arial" w:eastAsia="Arial" w:hAnsi="Arial"/>
          <w:b/>
          <w:bCs/>
          <w:color w:val="0F7173"/>
          <w:sz w:val="26"/>
          <w:szCs w:val="26"/>
        </w:rPr>
        <w:t xml:space="preserve">10.1 Campus Address</w:t>
      </w:r>
    </w:p>
    <w:p>
      <w:pPr>
        <w:spacing w:after="120" w:before="0"/>
      </w:pPr>
      <w:r>
        <w:rPr>
          <w:rFonts w:ascii="Arial" w:cs="Arial" w:eastAsia="Arial" w:hAnsi="Arial"/>
          <w:sz w:val="22"/>
          <w:szCs w:val="22"/>
        </w:rPr>
        <w:t xml:space="preserve">B V Raju Institute of Technology (BVRIT)
Hyderabad College of Engineering for Women
Narsapur, Medak District
Telangana — 502313
India</w:t>
      </w:r>
    </w:p>
    <w:p>
      <w:pPr>
        <w:spacing w:after="40" w:before="0"/>
      </w:pPr>
    </w:p>
    <w:p>
      <w:pPr>
        <w:spacing w:after="120" w:before="0"/>
      </w:pPr>
      <w:r>
        <w:rPr>
          <w:rFonts w:ascii="Arial" w:cs="Arial" w:eastAsia="Arial" w:hAnsi="Arial"/>
          <w:sz w:val="22"/>
          <w:szCs w:val="22"/>
        </w:rPr>
        <w:t xml:space="preserve">Website: www.bvrithyderabad.edu.in
Google Maps: https://maps.google.com/?q=BVRIT+Narsapur</w:t>
      </w:r>
    </w:p>
    <w:p>
      <w:pPr>
        <w:spacing w:after="120" w:before="0"/>
      </w:pPr>
    </w:p>
    <w:p>
      <w:pPr>
        <w:spacing w:after="120" w:before="0"/>
        <w:jc w:val="center"/>
      </w:pPr>
      <w:r>
        <w:rPr>
          <w:rFonts w:ascii="Arial" w:cs="Arial" w:eastAsia="Arial" w:hAnsi="Arial"/>
          <w:color w:val="5A6B7F"/>
          <w:sz w:val="18"/>
          <w:szCs w:val="18"/>
        </w:rPr>
        <w:t xml:space="preserve">End of Document  ·  BVRIT College Information  ·  Academic Year 2025–26  ·  Version 1.0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2026-07-03T13:23:46.007Z</dcterms:created>
  <dcterms:modified xsi:type="dcterms:W3CDTF">2026-07-03T13:23:46.021Z</dcterms:modified>
</cp:coreProperties>
</file>

<file path=docProps/custom.xml><?xml version="1.0" encoding="utf-8"?>
<Properties xmlns="http://schemas.openxmlformats.org/officeDocument/2006/custom-properties" xmlns:vt="http://schemas.openxmlformats.org/officeDocument/2006/docPropsVTypes"/>
</file>