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Finance System Access Request (FICTIONAL)</w:t>
      </w:r>
    </w:p>
    <w:p>
      <w:r>
        <w:t>Employee: Rahul Sharma</w:t>
      </w:r>
    </w:p>
    <w:p>
      <w:r>
        <w:t>Email: rahul@example.com</w:t>
      </w:r>
    </w:p>
    <w:p>
      <w:r>
        <w:t>Phone: 9876543210</w:t>
      </w:r>
    </w:p>
    <w:p>
      <w:r>
        <w:t>Employee ID: EMP-1042</w:t>
      </w:r>
    </w:p>
    <w:p>
      <w:r>
        <w:t>Request: Access to the finance reporting system.</w:t>
      </w:r>
    </w:p>
    <w:p>
      <w:pPr>
        <w:pStyle w:val="Heading2"/>
      </w:pPr>
      <w:r>
        <w:t>Approval chain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</w:tr>
      <w:tr>
        <w:tc>
          <w:tcPr>
            <w:tcW w:type="dxa" w:w="2880"/>
          </w:tcPr>
          <w:p>
            <w:r>
              <w:t>Line manager</w:t>
            </w:r>
          </w:p>
        </w:tc>
        <w:tc>
          <w:tcPr>
            <w:tcW w:type="dxa" w:w="2880"/>
          </w:tcPr>
          <w:p>
            <w:r>
              <w:t>Priya Nair</w:t>
            </w:r>
          </w:p>
        </w:tc>
        <w:tc>
          <w:tcPr>
            <w:tcW w:type="dxa" w:w="2880"/>
          </w:tcPr>
          <w:p>
            <w:r>
              <w:t>priya.nair@example.com</w:t>
            </w:r>
          </w:p>
        </w:tc>
      </w:tr>
      <w:tr>
        <w:tc>
          <w:tcPr>
            <w:tcW w:type="dxa" w:w="2880"/>
          </w:tcPr>
          <w:p>
            <w:r>
              <w:t>Data owner</w:t>
            </w:r>
          </w:p>
        </w:tc>
        <w:tc>
          <w:tcPr>
            <w:tcW w:type="dxa" w:w="2880"/>
          </w:tcPr>
          <w:p>
            <w:r>
              <w:t>Daniel Brooks</w:t>
            </w:r>
          </w:p>
        </w:tc>
        <w:tc>
          <w:tcPr>
            <w:tcW w:type="dxa" w:w="2880"/>
          </w:tcPr>
          <w:p>
            <w:r>
              <w:t>d.brooks@example.com</w:t>
            </w:r>
          </w:p>
        </w:tc>
      </w:tr>
    </w:tbl>
    <w:p>
      <w:r>
        <w:t>Business justification: quarterly close requires read-only access to the finance reporting dashboards. Access is reviewed after 90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Sharma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