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Information Security Policy Summary (FICTIONAL)</w:t>
      </w:r>
    </w:p>
    <w:p>
      <w:r>
        <w:t>Policy GRP-POL-001 version 6.0 was approved on 15 January 2026.</w:t>
      </w:r>
    </w:p>
    <w:p>
      <w:r>
        <w:t>Section 3.1 requires multi-factor authentication for 100% of privileged accounts.</w:t>
      </w:r>
    </w:p>
    <w:p>
      <w:r>
        <w:t>Risk RSK-4488 and control CTL-IAM-04 are reviewed every quarter (Q1-Q4 2026).</w:t>
      </w:r>
    </w:p>
    <w:p>
      <w:r>
        <w:t>Issue ISS-2026-0112 tracks the 2025-2026 remediation plan.</w:t>
      </w:r>
    </w:p>
    <w:p>
      <w:r>
        <w:t>The finance team owns the reporting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