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>Дренажный Колодец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F19D2">
        <w:rPr>
          <w:i/>
          <w:iCs/>
          <w:color w:val="000000"/>
          <w:sz w:val="22"/>
          <w:szCs w:val="22"/>
        </w:rPr>
        <w:t>1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Дренажный Колодец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50C9" w:rsidRDefault="002050C9">
      <w:r>
        <w:separator/>
      </w:r>
    </w:p>
  </w:endnote>
  <w:endnote w:type="continuationSeparator" w:id="0">
    <w:p w:rsidR="002050C9" w:rsidRDefault="00205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50C9" w:rsidRDefault="002050C9">
      <w:r>
        <w:rPr>
          <w:color w:val="000000"/>
        </w:rPr>
        <w:separator/>
      </w:r>
    </w:p>
  </w:footnote>
  <w:footnote w:type="continuationSeparator" w:id="0">
    <w:p w:rsidR="002050C9" w:rsidRDefault="002050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02B4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171EE-C5F5-49B5-AC1B-1041EAEA5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2021-03-16T05:30:00Z</dcterms:modified>
</cp:coreProperties>
</file>