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1"/>
        <w:tblOverlap w:val="never"/>
        <w:tblW w:w="14992" w:type="dxa"/>
        <w:tblLayout w:type="fixed"/>
        <w:tblLook w:val="04A0"/>
      </w:tblPr>
      <w:tblGrid>
        <w:gridCol w:w="534"/>
        <w:gridCol w:w="11907"/>
        <w:gridCol w:w="2551"/>
      </w:tblGrid>
      <w:tr w:rsidR="003E221A" w:rsidRPr="00BF0BDE" w:rsidTr="00BD27E4">
        <w:tc>
          <w:tcPr>
            <w:tcW w:w="534" w:type="dxa"/>
          </w:tcPr>
          <w:p w:rsidR="003E221A" w:rsidRPr="00BF0BDE" w:rsidRDefault="003E221A" w:rsidP="00BD27E4">
            <w:pPr>
              <w:rPr>
                <w:rFonts w:cstheme="minorHAnsi"/>
              </w:rPr>
            </w:pPr>
            <w:r w:rsidRPr="00BF0BDE">
              <w:rPr>
                <w:rFonts w:cstheme="minorHAnsi"/>
              </w:rPr>
              <w:t>4.</w:t>
            </w:r>
          </w:p>
        </w:tc>
        <w:tc>
          <w:tcPr>
            <w:tcW w:w="11907" w:type="dxa"/>
          </w:tcPr>
          <w:p w:rsidR="003E221A" w:rsidRDefault="003E221A" w:rsidP="00BD27E4">
            <w:pPr>
              <w:tabs>
                <w:tab w:val="left" w:pos="1080"/>
              </w:tabs>
              <w:contextualSpacing/>
              <w:rPr>
                <w:rFonts w:cstheme="minorHAnsi"/>
                <w:b/>
              </w:rPr>
            </w:pPr>
            <w:r w:rsidRPr="00BF0BDE">
              <w:rPr>
                <w:rFonts w:cstheme="minorHAnsi"/>
                <w:b/>
              </w:rPr>
              <w:t>Источники возникновения ЧС</w:t>
            </w:r>
          </w:p>
          <w:p w:rsidR="003E221A" w:rsidRPr="00203087" w:rsidRDefault="003E221A" w:rsidP="00BD27E4">
            <w:pPr>
              <w:tabs>
                <w:tab w:val="left" w:pos="1080"/>
              </w:tabs>
              <w:contextualSpacing/>
              <w:rPr>
                <w:rFonts w:cstheme="minorHAnsi"/>
              </w:rPr>
            </w:pPr>
            <w:r w:rsidRPr="00BF0BDE">
              <w:rPr>
                <w:rFonts w:cstheme="minorHAnsi"/>
              </w:rPr>
              <w:t>Зная, откуда приходит беда, мы</w:t>
            </w:r>
            <w:r>
              <w:rPr>
                <w:rFonts w:cstheme="minorHAnsi"/>
              </w:rPr>
              <w:t xml:space="preserve"> можем отыскать</w:t>
            </w:r>
            <w:r w:rsidRPr="00BF0BDE">
              <w:rPr>
                <w:rFonts w:cstheme="minorHAnsi"/>
              </w:rPr>
              <w:t xml:space="preserve"> оптимальный способ выхода из ЧС и более эффективно преодолевать ее последствия.</w:t>
            </w:r>
            <w:r>
              <w:rPr>
                <w:rFonts w:cstheme="minorHAnsi"/>
              </w:rPr>
              <w:t xml:space="preserve"> В</w:t>
            </w:r>
            <w:r w:rsidRPr="00BF0BDE">
              <w:rPr>
                <w:rFonts w:cstheme="minorHAnsi"/>
              </w:rPr>
              <w:t xml:space="preserve"> зависимости от источника происхождения опасности </w:t>
            </w:r>
            <w:r>
              <w:rPr>
                <w:rFonts w:cstheme="minorHAnsi"/>
              </w:rPr>
              <w:t>ЧС бывают техногенного, природного и биолого-социального характера.</w:t>
            </w:r>
          </w:p>
          <w:tbl>
            <w:tblPr>
              <w:tblStyle w:val="a3"/>
              <w:tblW w:w="11761" w:type="dxa"/>
              <w:tblLayout w:type="fixed"/>
              <w:tblLook w:val="04A0"/>
            </w:tblPr>
            <w:tblGrid>
              <w:gridCol w:w="2314"/>
              <w:gridCol w:w="2643"/>
              <w:gridCol w:w="1985"/>
              <w:gridCol w:w="1984"/>
              <w:gridCol w:w="2835"/>
            </w:tblGrid>
            <w:tr w:rsidR="003E221A" w:rsidRPr="00BF0BDE" w:rsidTr="00BD27E4">
              <w:trPr>
                <w:trHeight w:val="602"/>
              </w:trPr>
              <w:tc>
                <w:tcPr>
                  <w:tcW w:w="4957" w:type="dxa"/>
                  <w:gridSpan w:val="2"/>
                  <w:shd w:val="clear" w:color="auto" w:fill="BFBFBF" w:themeFill="background1" w:themeFillShade="BF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BF0BDE">
                    <w:rPr>
                      <w:rFonts w:cstheme="minorHAnsi"/>
                      <w:b/>
                      <w:bCs/>
                    </w:rPr>
                    <w:t>Источники ЧС</w:t>
                  </w:r>
                </w:p>
                <w:p w:rsidR="003E221A" w:rsidRPr="00BF0BDE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BF0BDE">
                    <w:rPr>
                      <w:rFonts w:cstheme="minorHAnsi"/>
                      <w:b/>
                      <w:bCs/>
                    </w:rPr>
                    <w:t>техногенного характера</w:t>
                  </w:r>
                </w:p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3969" w:type="dxa"/>
                  <w:gridSpan w:val="2"/>
                  <w:shd w:val="clear" w:color="auto" w:fill="BFBFBF" w:themeFill="background1" w:themeFillShade="BF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</w:rPr>
                  </w:pPr>
                  <w:r w:rsidRPr="00BF0BDE">
                    <w:rPr>
                      <w:rFonts w:cstheme="minorHAnsi"/>
                      <w:b/>
                    </w:rPr>
                    <w:t>Источники ЧС</w:t>
                  </w:r>
                </w:p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</w:rPr>
                  </w:pPr>
                  <w:r w:rsidRPr="00BF0BDE">
                    <w:rPr>
                      <w:rFonts w:cstheme="minorHAnsi"/>
                      <w:b/>
                    </w:rPr>
                    <w:t>природного характера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</w:rPr>
                  </w:pPr>
                  <w:r w:rsidRPr="00BF0BDE">
                    <w:rPr>
                      <w:rFonts w:cstheme="minorHAnsi"/>
                      <w:b/>
                    </w:rPr>
                    <w:t>Источники ЧС</w:t>
                  </w:r>
                </w:p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  <w:r w:rsidRPr="00BF0BDE">
                    <w:rPr>
                      <w:rFonts w:cstheme="minorHAnsi"/>
                      <w:b/>
                    </w:rPr>
                    <w:t>биолого-социального характера</w:t>
                  </w:r>
                </w:p>
              </w:tc>
            </w:tr>
            <w:tr w:rsidR="003E221A" w:rsidRPr="00BF0BDE" w:rsidTr="00BD27E4">
              <w:trPr>
                <w:trHeight w:val="294"/>
              </w:trPr>
              <w:tc>
                <w:tcPr>
                  <w:tcW w:w="2314" w:type="dxa"/>
                  <w:shd w:val="clear" w:color="auto" w:fill="DDD9C3" w:themeFill="background2" w:themeFillShade="E6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jc w:val="center"/>
                    <w:rPr>
                      <w:rFonts w:cstheme="minorHAnsi"/>
                    </w:rPr>
                  </w:pPr>
                  <w:r w:rsidRPr="00BF0BDE">
                    <w:rPr>
                      <w:rFonts w:cstheme="minorHAnsi"/>
                      <w:b/>
                      <w:bCs/>
                    </w:rPr>
                    <w:t>Транспортные аварии</w:t>
                  </w:r>
                </w:p>
              </w:tc>
              <w:tc>
                <w:tcPr>
                  <w:tcW w:w="2643" w:type="dxa"/>
                  <w:shd w:val="clear" w:color="auto" w:fill="DDD9C3" w:themeFill="background2" w:themeFillShade="E6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BF0BDE">
                    <w:rPr>
                      <w:rFonts w:cstheme="minorHAnsi"/>
                      <w:b/>
                      <w:bCs/>
                    </w:rPr>
                    <w:t>Пожары и взрывы</w:t>
                  </w:r>
                </w:p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985" w:type="dxa"/>
                  <w:shd w:val="clear" w:color="auto" w:fill="B8CCE4" w:themeFill="accent1" w:themeFillTint="66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  <w:r w:rsidRPr="00BF0BDE">
                    <w:rPr>
                      <w:rFonts w:cstheme="minorHAnsi"/>
                      <w:b/>
                      <w:bCs/>
                    </w:rPr>
                    <w:t>Геофизические</w:t>
                  </w:r>
                </w:p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1984" w:type="dxa"/>
                  <w:shd w:val="clear" w:color="auto" w:fill="B8CCE4" w:themeFill="accent1" w:themeFillTint="66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  <w:r w:rsidRPr="00BF0BDE">
                    <w:rPr>
                      <w:rFonts w:cstheme="minorHAnsi"/>
                      <w:b/>
                      <w:bCs/>
                    </w:rPr>
                    <w:t>Геологические</w:t>
                  </w:r>
                </w:p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2835" w:type="dxa"/>
                  <w:shd w:val="clear" w:color="auto" w:fill="D6E3BC" w:themeFill="accent3" w:themeFillTint="66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</w:rPr>
                  </w:pPr>
                  <w:r w:rsidRPr="00BF0BDE">
                    <w:rPr>
                      <w:rFonts w:cstheme="minorHAnsi"/>
                      <w:b/>
                    </w:rPr>
                    <w:t>Заболевания людей</w:t>
                  </w:r>
                </w:p>
              </w:tc>
            </w:tr>
            <w:tr w:rsidR="003E221A" w:rsidRPr="00BF0BDE" w:rsidTr="00BD27E4">
              <w:trPr>
                <w:trHeight w:val="308"/>
              </w:trPr>
              <w:tc>
                <w:tcPr>
                  <w:tcW w:w="2314" w:type="dxa"/>
                  <w:shd w:val="clear" w:color="auto" w:fill="DDD9C3" w:themeFill="background2" w:themeFillShade="E6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jc w:val="center"/>
                    <w:rPr>
                      <w:rFonts w:cstheme="minorHAnsi"/>
                    </w:rPr>
                  </w:pPr>
                  <w:r w:rsidRPr="00BF0BDE">
                    <w:rPr>
                      <w:rFonts w:cstheme="minorHAnsi"/>
                      <w:b/>
                      <w:bCs/>
                    </w:rPr>
                    <w:t>Выброс опасных веществ</w:t>
                  </w:r>
                </w:p>
              </w:tc>
              <w:tc>
                <w:tcPr>
                  <w:tcW w:w="2643" w:type="dxa"/>
                  <w:shd w:val="clear" w:color="auto" w:fill="DDD9C3" w:themeFill="background2" w:themeFillShade="E6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jc w:val="center"/>
                    <w:rPr>
                      <w:rFonts w:cstheme="minorHAnsi"/>
                    </w:rPr>
                  </w:pPr>
                  <w:r w:rsidRPr="00BF0BDE">
                    <w:rPr>
                      <w:rFonts w:cstheme="minorHAnsi"/>
                      <w:b/>
                      <w:bCs/>
                    </w:rPr>
                    <w:t>Сбой систем обеспечения</w:t>
                  </w:r>
                </w:p>
              </w:tc>
              <w:tc>
                <w:tcPr>
                  <w:tcW w:w="1985" w:type="dxa"/>
                  <w:shd w:val="clear" w:color="auto" w:fill="B8CCE4" w:themeFill="accent1" w:themeFillTint="66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  <w:r w:rsidRPr="00BF0BDE">
                    <w:rPr>
                      <w:rFonts w:cstheme="minorHAnsi"/>
                      <w:b/>
                      <w:bCs/>
                    </w:rPr>
                    <w:t>Гидрологические</w:t>
                  </w:r>
                </w:p>
              </w:tc>
              <w:tc>
                <w:tcPr>
                  <w:tcW w:w="1984" w:type="dxa"/>
                  <w:shd w:val="clear" w:color="auto" w:fill="B8CCE4" w:themeFill="accent1" w:themeFillTint="66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  <w:r w:rsidRPr="00BF0BDE">
                    <w:rPr>
                      <w:rFonts w:cstheme="minorHAnsi"/>
                      <w:b/>
                      <w:bCs/>
                    </w:rPr>
                    <w:t>Метеорологические</w:t>
                  </w:r>
                </w:p>
              </w:tc>
              <w:tc>
                <w:tcPr>
                  <w:tcW w:w="2835" w:type="dxa"/>
                  <w:shd w:val="clear" w:color="auto" w:fill="D6E3BC" w:themeFill="accent3" w:themeFillTint="66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</w:rPr>
                  </w:pPr>
                  <w:r w:rsidRPr="00BF0BDE">
                    <w:rPr>
                      <w:rFonts w:cstheme="minorHAnsi"/>
                      <w:b/>
                    </w:rPr>
                    <w:t>Заболевания с.-х. животных</w:t>
                  </w:r>
                </w:p>
              </w:tc>
            </w:tr>
            <w:tr w:rsidR="003E221A" w:rsidRPr="00BF0BDE" w:rsidTr="00BD27E4">
              <w:trPr>
                <w:trHeight w:val="308"/>
              </w:trPr>
              <w:tc>
                <w:tcPr>
                  <w:tcW w:w="2314" w:type="dxa"/>
                  <w:shd w:val="clear" w:color="auto" w:fill="DDD9C3" w:themeFill="background2" w:themeFillShade="E6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jc w:val="center"/>
                    <w:rPr>
                      <w:rFonts w:cstheme="minorHAnsi"/>
                    </w:rPr>
                  </w:pPr>
                  <w:r w:rsidRPr="00BF0BDE">
                    <w:rPr>
                      <w:rFonts w:cstheme="minorHAnsi"/>
                      <w:b/>
                      <w:bCs/>
                    </w:rPr>
                    <w:t>Обрушения</w:t>
                  </w:r>
                </w:p>
              </w:tc>
              <w:tc>
                <w:tcPr>
                  <w:tcW w:w="2643" w:type="dxa"/>
                  <w:shd w:val="clear" w:color="auto" w:fill="DDD9C3" w:themeFill="background2" w:themeFillShade="E6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BF0BDE">
                    <w:rPr>
                      <w:rFonts w:cstheme="minorHAnsi"/>
                      <w:b/>
                      <w:bCs/>
                    </w:rPr>
                    <w:t>Аварии на очистных сооружениях и плотинах</w:t>
                  </w:r>
                </w:p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</w:rPr>
                  </w:pPr>
                </w:p>
              </w:tc>
              <w:tc>
                <w:tcPr>
                  <w:tcW w:w="3969" w:type="dxa"/>
                  <w:gridSpan w:val="2"/>
                  <w:shd w:val="clear" w:color="auto" w:fill="B8CCE4" w:themeFill="accent1" w:themeFillTint="66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</w:rPr>
                  </w:pPr>
                  <w:r w:rsidRPr="00BF0BDE">
                    <w:rPr>
                      <w:rFonts w:cstheme="minorHAnsi"/>
                      <w:b/>
                    </w:rPr>
                    <w:t>Природные пожары</w:t>
                  </w:r>
                </w:p>
              </w:tc>
              <w:tc>
                <w:tcPr>
                  <w:tcW w:w="2835" w:type="dxa"/>
                  <w:shd w:val="clear" w:color="auto" w:fill="D6E3BC" w:themeFill="accent3" w:themeFillTint="66"/>
                </w:tcPr>
                <w:p w:rsidR="003E221A" w:rsidRPr="00BF0BDE" w:rsidRDefault="003E221A" w:rsidP="00BD27E4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cstheme="minorHAnsi"/>
                      <w:b/>
                    </w:rPr>
                  </w:pPr>
                  <w:r w:rsidRPr="00BF0BDE">
                    <w:rPr>
                      <w:rFonts w:cstheme="minorHAnsi"/>
                      <w:b/>
                      <w:bCs/>
                    </w:rPr>
                    <w:t>Поражение растений болезнями и вредителями</w:t>
                  </w:r>
                </w:p>
              </w:tc>
            </w:tr>
          </w:tbl>
          <w:p w:rsidR="003E221A" w:rsidRPr="00203087" w:rsidRDefault="003E221A" w:rsidP="00BD27E4">
            <w:pPr>
              <w:tabs>
                <w:tab w:val="left" w:pos="1080"/>
              </w:tabs>
              <w:contextualSpacing/>
              <w:rPr>
                <w:rFonts w:cstheme="minorHAnsi"/>
              </w:rPr>
            </w:pPr>
          </w:p>
          <w:p w:rsidR="003E221A" w:rsidRPr="00203087" w:rsidRDefault="003E221A" w:rsidP="00BD27E4">
            <w:pPr>
              <w:tabs>
                <w:tab w:val="left" w:pos="1080"/>
              </w:tabs>
              <w:contextualSpacing/>
              <w:rPr>
                <w:rFonts w:cstheme="minorHAnsi"/>
              </w:rPr>
            </w:pPr>
          </w:p>
          <w:p w:rsidR="003E221A" w:rsidRPr="00982502" w:rsidRDefault="003E221A" w:rsidP="00BD27E4">
            <w:pPr>
              <w:tabs>
                <w:tab w:val="left" w:pos="1080"/>
              </w:tabs>
              <w:contextualSpacing/>
              <w:rPr>
                <w:rFonts w:cstheme="minorHAnsi"/>
                <w:color w:val="0070C0"/>
              </w:rPr>
            </w:pPr>
            <w:r w:rsidRPr="006F1309">
              <w:rPr>
                <w:rFonts w:cstheme="minorHAnsi"/>
                <w:color w:val="0070C0"/>
              </w:rPr>
              <w:t xml:space="preserve"> (14 </w:t>
            </w:r>
            <w:r>
              <w:rPr>
                <w:rFonts w:cstheme="minorHAnsi"/>
                <w:color w:val="0070C0"/>
              </w:rPr>
              <w:t xml:space="preserve">раскрывающихся </w:t>
            </w:r>
            <w:r w:rsidRPr="006F1309">
              <w:rPr>
                <w:rFonts w:cstheme="minorHAnsi"/>
                <w:color w:val="0070C0"/>
              </w:rPr>
              <w:t>плашек</w:t>
            </w:r>
            <w:r>
              <w:rPr>
                <w:rFonts w:cstheme="minorHAnsi"/>
                <w:color w:val="0070C0"/>
              </w:rPr>
              <w:t xml:space="preserve"> </w:t>
            </w:r>
            <w:r w:rsidRPr="006F1309">
              <w:rPr>
                <w:rFonts w:cstheme="minorHAnsi"/>
                <w:color w:val="0070C0"/>
              </w:rPr>
              <w:t>с доп. информацией)</w:t>
            </w:r>
          </w:p>
          <w:tbl>
            <w:tblPr>
              <w:tblStyle w:val="a3"/>
              <w:tblW w:w="0" w:type="auto"/>
              <w:tblLayout w:type="fixed"/>
              <w:tblLook w:val="04A0"/>
            </w:tblPr>
            <w:tblGrid>
              <w:gridCol w:w="5240"/>
              <w:gridCol w:w="3260"/>
              <w:gridCol w:w="3176"/>
            </w:tblGrid>
            <w:tr w:rsidR="003E221A" w:rsidTr="00BD27E4">
              <w:tc>
                <w:tcPr>
                  <w:tcW w:w="5240" w:type="dxa"/>
                </w:tcPr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8D74C9">
                    <w:rPr>
                      <w:rFonts w:cstheme="minorHAnsi"/>
                      <w:b/>
                      <w:bCs/>
                    </w:rPr>
                    <w:t xml:space="preserve">Транспортные аварии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 – аварии поездов и судов;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ДТП;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авиационные катастрофы;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аварии на трубопроводах и буровых установках.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8D74C9">
                    <w:rPr>
                      <w:rFonts w:cstheme="minorHAnsi"/>
                      <w:b/>
                      <w:bCs/>
                    </w:rPr>
                    <w:t xml:space="preserve">Пожары и взрывы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пожары в зданиях;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пожары на объектах хранения взрывчатых веществ;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пожары на транспорте и судах;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– пожары в шахтах;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пожары на трубопроводах;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обнаружение неразорвавшихся боеприпасов.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8D74C9">
                    <w:rPr>
                      <w:rFonts w:cstheme="minorHAnsi"/>
                      <w:b/>
                      <w:bCs/>
                    </w:rPr>
                    <w:t xml:space="preserve">Выброс опасных веществ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аварии с выбросом</w:t>
                  </w:r>
                  <w:r w:rsidRPr="008D74C9">
                    <w:rPr>
                      <w:rFonts w:cstheme="minorHAnsi"/>
                    </w:rPr>
                    <w:t xml:space="preserve"> </w:t>
                  </w:r>
                  <w:r w:rsidRPr="008D74C9">
                    <w:rPr>
                      <w:rFonts w:cstheme="minorHAnsi"/>
                      <w:bCs/>
                    </w:rPr>
                    <w:t xml:space="preserve">аварийно химически опасных веществ (АХОВ);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с выбросом радиоактивных веществ (РВ);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lastRenderedPageBreak/>
                    <w:t xml:space="preserve">– с выбросом опасных биологических веществ (ОБВ);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выбросы метана, углекислого газа;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выбросы на нефтяных и газовых месторождениях;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аварии на АЭС, на предприятиях ядерно-топливного комплекса;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испытательные ядерные взрывы;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аварии с боеприпасами;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обнаружение источников ионизирующих излучений;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аварии на предприятиях и в лабораториях.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8D74C9">
                    <w:rPr>
                      <w:rFonts w:cstheme="minorHAnsi"/>
                      <w:b/>
                      <w:bCs/>
                    </w:rPr>
                    <w:t>Обрушения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обрушение зданий;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обрушение элементов транспортных коммуникаций;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обрушение пород;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аварии на подземных сооружениях.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/>
                      <w:bCs/>
                    </w:rPr>
                    <w:t>Сбой систем обеспечения</w:t>
                  </w:r>
                  <w:r w:rsidRPr="008D74C9">
                    <w:rPr>
                      <w:rFonts w:cstheme="minorHAnsi"/>
                      <w:bCs/>
                    </w:rPr>
                    <w:t xml:space="preserve">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аварии на электроэнергетических системах с перерывом электроснабжения;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</w:t>
                  </w:r>
                  <w:r w:rsidRPr="008D74C9">
                    <w:rPr>
                      <w:rFonts w:cstheme="minorHAnsi"/>
                      <w:color w:val="000000"/>
                    </w:rPr>
                    <w:t xml:space="preserve">выход из строя </w:t>
                  </w:r>
                  <w:r w:rsidRPr="008D74C9">
                    <w:rPr>
                      <w:rFonts w:eastAsia="Calibri" w:cstheme="minorHAnsi"/>
                      <w:color w:val="000000"/>
                    </w:rPr>
                    <w:t>электрических</w:t>
                  </w:r>
                  <w:r w:rsidRPr="008D74C9">
                    <w:rPr>
                      <w:rFonts w:cstheme="minorHAnsi"/>
                      <w:color w:val="000000"/>
                    </w:rPr>
                    <w:t xml:space="preserve"> сетей;</w:t>
                  </w:r>
                  <w:r w:rsidRPr="008D74C9">
                    <w:rPr>
                      <w:rFonts w:cstheme="minorHAnsi"/>
                      <w:bCs/>
                    </w:rPr>
                    <w:t xml:space="preserve">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аварии на коммунальных системах жизнеобеспечения (водоснабжени</w:t>
                  </w:r>
                  <w:r>
                    <w:rPr>
                      <w:rFonts w:cstheme="minorHAnsi"/>
                      <w:bCs/>
                    </w:rPr>
                    <w:t>е</w:t>
                  </w:r>
                  <w:r w:rsidRPr="008D74C9">
                    <w:rPr>
                      <w:rFonts w:cstheme="minorHAnsi"/>
                      <w:bCs/>
                    </w:rPr>
                    <w:t>, тепловы</w:t>
                  </w:r>
                  <w:r>
                    <w:rPr>
                      <w:rFonts w:cstheme="minorHAnsi"/>
                      <w:bCs/>
                    </w:rPr>
                    <w:t>е</w:t>
                  </w:r>
                  <w:r w:rsidRPr="008D74C9">
                    <w:rPr>
                      <w:rFonts w:cstheme="minorHAnsi"/>
                      <w:bCs/>
                    </w:rPr>
                    <w:t xml:space="preserve"> сет</w:t>
                  </w:r>
                  <w:r>
                    <w:rPr>
                      <w:rFonts w:cstheme="minorHAnsi"/>
                      <w:bCs/>
                    </w:rPr>
                    <w:t>и, газопровод)</w:t>
                  </w:r>
                  <w:r w:rsidRPr="008D74C9">
                    <w:rPr>
                      <w:rFonts w:cstheme="minorHAnsi"/>
                      <w:bCs/>
                    </w:rPr>
                    <w:t xml:space="preserve">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аварии в канализации с выбросом загрязняющих веществ.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8D74C9">
                    <w:rPr>
                      <w:rFonts w:cstheme="minorHAnsi"/>
                      <w:b/>
                      <w:bCs/>
                    </w:rPr>
                    <w:t>Аварии на очистных сооружениях и плотинах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аварии на очистных сооружениях сточных вод;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на промышленных установках по очистке газов;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прорывы плотин с образованием затоплений;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затопление водой горных выработок;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размыв береговой полосы.</w:t>
                  </w:r>
                </w:p>
                <w:p w:rsidR="003E221A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/>
                      <w:bCs/>
                    </w:rPr>
                  </w:pPr>
                </w:p>
              </w:tc>
              <w:tc>
                <w:tcPr>
                  <w:tcW w:w="3260" w:type="dxa"/>
                </w:tcPr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/>
                      <w:bCs/>
                    </w:rPr>
                    <w:lastRenderedPageBreak/>
                    <w:t>Геофизические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землетрясения;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извержения вулканов.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8D74C9">
                    <w:rPr>
                      <w:rFonts w:cstheme="minorHAnsi"/>
                      <w:b/>
                      <w:bCs/>
                    </w:rPr>
                    <w:t xml:space="preserve">Геологические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оползни;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обвалы;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провалы земной поверхности.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8D74C9">
                    <w:rPr>
                      <w:rFonts w:cstheme="minorHAnsi"/>
                      <w:b/>
                      <w:bCs/>
                    </w:rPr>
                    <w:t>Гидрологические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наводнения;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половодье;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дождевые паводки.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/>
                      <w:bCs/>
                    </w:rPr>
                    <w:t>Метеорологические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ураганы;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ливни;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крупный град;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сильный снегопад;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сильный гололед;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lastRenderedPageBreak/>
                    <w:t xml:space="preserve">– сильный мороз;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лавины;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сильная жара;</w:t>
                  </w:r>
                  <w:r>
                    <w:rPr>
                      <w:rFonts w:cstheme="minorHAnsi"/>
                      <w:bCs/>
                    </w:rPr>
                    <w:t xml:space="preserve">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засуха;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сильный туман.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/>
                      <w:bCs/>
                    </w:rPr>
                  </w:pPr>
                  <w:r w:rsidRPr="008D74C9">
                    <w:rPr>
                      <w:rFonts w:cstheme="minorHAnsi"/>
                      <w:b/>
                      <w:bCs/>
                    </w:rPr>
                    <w:t>Природные пожары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лесные пожары;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пожары степных массивов;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подземные пожары горючих ископаемых.</w:t>
                  </w:r>
                </w:p>
                <w:p w:rsidR="003E221A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/>
                      <w:bCs/>
                    </w:rPr>
                  </w:pPr>
                </w:p>
              </w:tc>
              <w:tc>
                <w:tcPr>
                  <w:tcW w:w="3176" w:type="dxa"/>
                </w:tcPr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/>
                      <w:bCs/>
                    </w:rPr>
                    <w:lastRenderedPageBreak/>
                    <w:t>Заболевания людей</w:t>
                  </w:r>
                  <w:r w:rsidRPr="008D74C9">
                    <w:rPr>
                      <w:rFonts w:cstheme="minorHAnsi"/>
                      <w:bCs/>
                    </w:rPr>
                    <w:t xml:space="preserve">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экзотические и особо опасные инфекционные заболевания;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групповые случаи опасных заболеваний;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эпидемическая вспышка;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эпидемия;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пандемия (огромная по масштабам эпидемия)</w:t>
                  </w:r>
                  <w:r>
                    <w:rPr>
                      <w:rFonts w:cstheme="minorHAnsi"/>
                      <w:bCs/>
                    </w:rPr>
                    <w:t>.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/>
                      <w:bCs/>
                    </w:rPr>
                    <w:t>Заболевания сельскохозяйственных животных</w:t>
                  </w:r>
                  <w:r w:rsidRPr="008D74C9">
                    <w:rPr>
                      <w:rFonts w:cstheme="minorHAnsi"/>
                      <w:bCs/>
                    </w:rPr>
                    <w:t xml:space="preserve">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экзотические и особо опасные инфекционные заболевания;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эпизоотия (</w:t>
                  </w:r>
                  <w:r>
                    <w:rPr>
                      <w:rFonts w:cstheme="minorHAnsi"/>
                      <w:bCs/>
                    </w:rPr>
                    <w:t>то же, что</w:t>
                  </w:r>
                  <w:r w:rsidRPr="008D74C9">
                    <w:rPr>
                      <w:rFonts w:cstheme="minorHAnsi"/>
                      <w:bCs/>
                    </w:rPr>
                    <w:t xml:space="preserve"> </w:t>
                  </w:r>
                  <w:r w:rsidRPr="008D74C9">
                    <w:rPr>
                      <w:rFonts w:cstheme="minorHAnsi"/>
                      <w:bCs/>
                    </w:rPr>
                    <w:lastRenderedPageBreak/>
                    <w:t xml:space="preserve">эпидемия у людей);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панзоотия (</w:t>
                  </w:r>
                  <w:r>
                    <w:rPr>
                      <w:rFonts w:cstheme="minorHAnsi"/>
                      <w:bCs/>
                    </w:rPr>
                    <w:t xml:space="preserve">то же, что </w:t>
                  </w:r>
                  <w:r w:rsidRPr="008D74C9">
                    <w:rPr>
                      <w:rFonts w:cstheme="minorHAnsi"/>
                      <w:bCs/>
                    </w:rPr>
                    <w:t xml:space="preserve">пандемия у людей);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заболевания водных животных.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/>
                      <w:bCs/>
                    </w:rPr>
                    <w:t>Поражение растений болезнями и вредителями</w:t>
                  </w:r>
                  <w:r w:rsidRPr="008D74C9">
                    <w:rPr>
                      <w:rFonts w:cstheme="minorHAnsi"/>
                      <w:bCs/>
                    </w:rPr>
                    <w:t xml:space="preserve">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эпифитотия (</w:t>
                  </w:r>
                  <w:r>
                    <w:rPr>
                      <w:rFonts w:cstheme="minorHAnsi"/>
                      <w:bCs/>
                    </w:rPr>
                    <w:t>то же, что</w:t>
                  </w:r>
                  <w:r w:rsidRPr="008D74C9">
                    <w:rPr>
                      <w:rFonts w:cstheme="minorHAnsi"/>
                      <w:bCs/>
                    </w:rPr>
                    <w:t xml:space="preserve"> эпидемия у людей);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 xml:space="preserve">– </w:t>
                  </w:r>
                  <w:proofErr w:type="spellStart"/>
                  <w:r w:rsidRPr="008D74C9">
                    <w:rPr>
                      <w:rFonts w:cstheme="minorHAnsi"/>
                      <w:bCs/>
                    </w:rPr>
                    <w:t>панфитотия</w:t>
                  </w:r>
                  <w:proofErr w:type="spellEnd"/>
                  <w:r w:rsidRPr="008D74C9">
                    <w:rPr>
                      <w:rFonts w:cstheme="minorHAnsi"/>
                      <w:bCs/>
                    </w:rPr>
                    <w:t xml:space="preserve"> (</w:t>
                  </w:r>
                  <w:r>
                    <w:rPr>
                      <w:rFonts w:cstheme="minorHAnsi"/>
                      <w:bCs/>
                    </w:rPr>
                    <w:t xml:space="preserve">то же, что </w:t>
                  </w:r>
                  <w:r w:rsidRPr="008D74C9">
                    <w:rPr>
                      <w:rFonts w:cstheme="minorHAnsi"/>
                      <w:bCs/>
                    </w:rPr>
                    <w:t xml:space="preserve">пандемия у людей); </w:t>
                  </w:r>
                </w:p>
                <w:p w:rsidR="003E221A" w:rsidRPr="008D74C9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suppressOverlap/>
                    <w:rPr>
                      <w:rFonts w:cstheme="minorHAnsi"/>
                      <w:bCs/>
                    </w:rPr>
                  </w:pPr>
                  <w:r w:rsidRPr="008D74C9">
                    <w:rPr>
                      <w:rFonts w:cstheme="minorHAnsi"/>
                      <w:bCs/>
                    </w:rPr>
                    <w:t>– массовое распространение вредителей.</w:t>
                  </w:r>
                </w:p>
                <w:p w:rsidR="003E221A" w:rsidRDefault="003E221A" w:rsidP="00BD27E4">
                  <w:pPr>
                    <w:framePr w:hSpace="180" w:wrap="around" w:vAnchor="text" w:hAnchor="text" w:y="1"/>
                    <w:tabs>
                      <w:tab w:val="left" w:pos="1080"/>
                    </w:tabs>
                    <w:contextualSpacing/>
                    <w:suppressOverlap/>
                    <w:rPr>
                      <w:rFonts w:cstheme="minorHAnsi"/>
                      <w:b/>
                      <w:bCs/>
                    </w:rPr>
                  </w:pPr>
                </w:p>
              </w:tc>
            </w:tr>
          </w:tbl>
          <w:p w:rsidR="003E221A" w:rsidRPr="00BF0BDE" w:rsidRDefault="003E221A" w:rsidP="00BD27E4">
            <w:pPr>
              <w:tabs>
                <w:tab w:val="left" w:pos="1080"/>
              </w:tabs>
              <w:contextualSpacing/>
              <w:rPr>
                <w:rFonts w:cstheme="minorHAnsi"/>
                <w:b/>
              </w:rPr>
            </w:pPr>
          </w:p>
        </w:tc>
        <w:tc>
          <w:tcPr>
            <w:tcW w:w="2551" w:type="dxa"/>
          </w:tcPr>
          <w:p w:rsidR="003E221A" w:rsidRPr="00DC3BDB" w:rsidRDefault="003E221A" w:rsidP="00BD27E4">
            <w:pPr>
              <w:rPr>
                <w:rFonts w:cstheme="minorHAnsi"/>
                <w:color w:val="0070C0"/>
              </w:rPr>
            </w:pPr>
            <w:r w:rsidRPr="00DC3BDB">
              <w:rPr>
                <w:rFonts w:cstheme="minorHAnsi"/>
                <w:color w:val="0070C0"/>
              </w:rPr>
              <w:lastRenderedPageBreak/>
              <w:t>Анимированная таблица. Три главных элемента (источники): в первом 6 кнопок, во втором – 5, в третьем – 3 кнопки. При нажатии мышкой на одну из 14ти кнопок всплывает плашка с доп. информацией (или выпадает список).</w:t>
            </w:r>
          </w:p>
          <w:p w:rsidR="003E221A" w:rsidRPr="00DC3BDB" w:rsidRDefault="003E221A" w:rsidP="00BD27E4">
            <w:pPr>
              <w:rPr>
                <w:rFonts w:cstheme="minorHAnsi"/>
                <w:bCs/>
                <w:noProof/>
                <w:color w:val="0070C0"/>
                <w:lang w:eastAsia="ru-RU"/>
              </w:rPr>
            </w:pPr>
            <w:r w:rsidRPr="00DC3BDB">
              <w:rPr>
                <w:rFonts w:cstheme="minorHAnsi"/>
                <w:color w:val="0070C0"/>
              </w:rPr>
              <w:t>Вариант дизайна таблицы</w:t>
            </w:r>
            <w:r>
              <w:rPr>
                <w:rFonts w:cstheme="minorHAnsi"/>
                <w:color w:val="0070C0"/>
              </w:rPr>
              <w:t>:</w:t>
            </w:r>
          </w:p>
          <w:p w:rsidR="003E221A" w:rsidRPr="00DC3BDB" w:rsidRDefault="003E221A" w:rsidP="00BD27E4">
            <w:pPr>
              <w:rPr>
                <w:rFonts w:cstheme="minorHAnsi"/>
                <w:bCs/>
                <w:noProof/>
                <w:color w:val="0070C0"/>
                <w:lang w:eastAsia="ru-RU"/>
              </w:rPr>
            </w:pPr>
            <w:r w:rsidRPr="00DC3BDB">
              <w:rPr>
                <w:rFonts w:cstheme="minorHAnsi"/>
                <w:bCs/>
                <w:noProof/>
                <w:color w:val="0070C0"/>
                <w:lang w:eastAsia="ru-RU"/>
              </w:rPr>
              <w:drawing>
                <wp:inline distT="0" distB="0" distL="0" distR="0">
                  <wp:extent cx="1470319" cy="1144988"/>
                  <wp:effectExtent l="19050" t="0" r="0" b="0"/>
                  <wp:docPr id="1" name="Рисунок 10" descr="C:\Users\ilobanov\Desktop\ПГК ГО\рефы (мои)\вариант для структуры таблицы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lobanov\Desktop\ПГК ГО\рефы (мои)\вариант для структуры таблицы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146" cy="1149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21A" w:rsidRPr="00DC3BDB" w:rsidRDefault="003E221A" w:rsidP="00BD27E4">
            <w:pPr>
              <w:rPr>
                <w:rFonts w:cstheme="minorHAnsi"/>
                <w:color w:val="0070C0"/>
              </w:rPr>
            </w:pPr>
            <w:r w:rsidRPr="00DC3BDB">
              <w:rPr>
                <w:rFonts w:cstheme="minorHAnsi"/>
                <w:color w:val="0070C0"/>
              </w:rPr>
              <w:t>Оформление списка, буллиты</w:t>
            </w:r>
            <w:r w:rsidRPr="00DC3BDB">
              <w:rPr>
                <w:rFonts w:cstheme="minorHAnsi"/>
                <w:noProof/>
                <w:color w:val="0070C0"/>
                <w:lang w:eastAsia="ru-RU"/>
              </w:rPr>
              <w:drawing>
                <wp:inline distT="0" distB="0" distL="0" distR="0">
                  <wp:extent cx="211538" cy="173904"/>
                  <wp:effectExtent l="19050" t="0" r="0" b="0"/>
                  <wp:docPr id="2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 l="3029" t="46063" r="96172" b="523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91" cy="174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221A" w:rsidRPr="00DC3BDB" w:rsidRDefault="003E221A" w:rsidP="00BD27E4">
            <w:pPr>
              <w:rPr>
                <w:rFonts w:cstheme="minorHAnsi"/>
                <w:bCs/>
                <w:noProof/>
                <w:color w:val="0070C0"/>
                <w:lang w:eastAsia="ru-RU"/>
              </w:rPr>
            </w:pPr>
          </w:p>
          <w:p w:rsidR="003E221A" w:rsidRPr="00BF0BDE" w:rsidRDefault="003E221A" w:rsidP="00BD27E4">
            <w:pPr>
              <w:rPr>
                <w:rFonts w:cstheme="minorHAnsi"/>
              </w:rPr>
            </w:pPr>
          </w:p>
        </w:tc>
      </w:tr>
    </w:tbl>
    <w:p w:rsidR="0002545A" w:rsidRPr="003E221A" w:rsidRDefault="0002545A" w:rsidP="003E221A"/>
    <w:sectPr w:rsidR="0002545A" w:rsidRPr="003E221A" w:rsidSect="003E22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E221A"/>
    <w:rsid w:val="0002545A"/>
    <w:rsid w:val="003E2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2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E22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E2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22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КравченкоАлексей</dc:creator>
  <cp:keywords/>
  <dc:description/>
  <cp:lastModifiedBy>КравченкоАлексей</cp:lastModifiedBy>
  <cp:revision>2</cp:revision>
  <dcterms:created xsi:type="dcterms:W3CDTF">2020-01-30T08:57:00Z</dcterms:created>
  <dcterms:modified xsi:type="dcterms:W3CDTF">2020-01-30T09:00:00Z</dcterms:modified>
</cp:coreProperties>
</file>