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868C" w14:textId="32F90DD2" w:rsidR="00FA25A4" w:rsidRPr="00FA25A4" w:rsidRDefault="003B63A2" w:rsidP="003B63A2">
      <w:pPr>
        <w:rPr>
          <w:rFonts w:ascii="Calibri Light" w:hAnsi="Calibri Light" w:cs="Calibri Light" w:hint="eastAsia"/>
          <w:b/>
          <w:bCs/>
          <w:sz w:val="24"/>
        </w:rPr>
      </w:pPr>
      <w:r w:rsidRPr="0055644F">
        <w:rPr>
          <w:rFonts w:ascii="Calibri Light" w:hAnsi="Calibri Light" w:cs="Calibri Light"/>
          <w:b/>
          <w:bCs/>
          <w:sz w:val="40"/>
          <w:szCs w:val="40"/>
        </w:rPr>
        <w:t>Appendix I</w:t>
      </w:r>
      <w:r>
        <w:rPr>
          <w:rFonts w:ascii="Calibri Light" w:hAnsi="Calibri Light" w:cs="Calibri Light" w:hint="eastAsia"/>
          <w:b/>
          <w:bCs/>
          <w:sz w:val="40"/>
          <w:szCs w:val="40"/>
        </w:rPr>
        <w:t>V</w:t>
      </w:r>
      <w:r w:rsidRPr="0055644F">
        <w:rPr>
          <w:rFonts w:ascii="Calibri Light" w:hAnsi="Calibri Light" w:cs="Calibri Light"/>
          <w:b/>
          <w:bCs/>
          <w:sz w:val="40"/>
          <w:szCs w:val="40"/>
        </w:rPr>
        <w:t xml:space="preserve">. </w:t>
      </w:r>
      <w:r w:rsidRPr="003B63A2">
        <w:rPr>
          <w:rFonts w:ascii="Calibri Light" w:hAnsi="Calibri Light" w:cs="Calibri Light"/>
          <w:b/>
          <w:bCs/>
          <w:sz w:val="40"/>
          <w:szCs w:val="40"/>
        </w:rPr>
        <w:t>Manual Codebook for Adjudicated ACOS Evidence Annotation</w:t>
      </w:r>
    </w:p>
    <w:p w14:paraId="33CE9D7B" w14:textId="730A880E"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Purpose and coding objective</w:t>
      </w:r>
    </w:p>
    <w:p w14:paraId="6A8293EC"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 xml:space="preserve">This codebook specifies the rules used to manually adjudicate aspect–category–opinion–sentiment (ACOS) tuples from restaurant reviews for measurement purposes. Its goal is not merely to </w:t>
      </w:r>
      <w:proofErr w:type="spellStart"/>
      <w:r w:rsidRPr="003B63A2">
        <w:rPr>
          <w:rFonts w:ascii="Calibri Light" w:hAnsi="Calibri Light" w:cs="Calibri Light"/>
          <w:sz w:val="24"/>
        </w:rPr>
        <w:t>maximise</w:t>
      </w:r>
      <w:proofErr w:type="spellEnd"/>
      <w:r w:rsidRPr="003B63A2">
        <w:rPr>
          <w:rFonts w:ascii="Calibri Light" w:hAnsi="Calibri Light" w:cs="Calibri Light"/>
          <w:sz w:val="24"/>
        </w:rPr>
        <w:t xml:space="preserve"> extraction coverage, but to ensure that each retained tuple functions as an admissible unit of textual evidence for subsequent construct scoring. Accordingly, a tuple is retained only when it is grounded in explicit review text, can be assigned to one of the predefined facet categories, and conveys evaluative or diagnostically meaningful information relevant to the target construct domain.</w:t>
      </w:r>
    </w:p>
    <w:p w14:paraId="51DF031E" w14:textId="61383FBF"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Definition of admissible textual evidence</w:t>
      </w:r>
    </w:p>
    <w:p w14:paraId="5C582B79" w14:textId="77777777" w:rsidR="00FA25A4" w:rsidRPr="003B63A2" w:rsidRDefault="00FA25A4" w:rsidP="003B63A2">
      <w:pPr>
        <w:jc w:val="both"/>
        <w:rPr>
          <w:rFonts w:ascii="Calibri Light" w:hAnsi="Calibri Light" w:cs="Calibri Light"/>
          <w:sz w:val="24"/>
        </w:rPr>
      </w:pPr>
      <w:r w:rsidRPr="00C523B4">
        <w:rPr>
          <w:rFonts w:ascii="Calibri Light" w:hAnsi="Calibri Light" w:cs="Calibri Light"/>
          <w:sz w:val="24"/>
        </w:rPr>
        <w:t xml:space="preserve">A textual segment is considered admissible evidence when it satisfies </w:t>
      </w:r>
      <w:proofErr w:type="gramStart"/>
      <w:r w:rsidRPr="00C523B4">
        <w:rPr>
          <w:rFonts w:ascii="Calibri Light" w:hAnsi="Calibri Light" w:cs="Calibri Light"/>
          <w:sz w:val="24"/>
        </w:rPr>
        <w:t>all of</w:t>
      </w:r>
      <w:proofErr w:type="gramEnd"/>
      <w:r w:rsidRPr="00C523B4">
        <w:rPr>
          <w:rFonts w:ascii="Calibri Light" w:hAnsi="Calibri Light" w:cs="Calibri Light"/>
          <w:sz w:val="24"/>
        </w:rPr>
        <w:t xml:space="preserve"> the following conditions. First, the evidence must be explicitly present in the review text and must not be inferred by the annotator. Second, it must be assignable to one and only one of the predefined task categories: FOOD#QUALITY, SERVICE#GENERAL, or AMBIENCE#GENERAL. Th</w:t>
      </w:r>
      <w:r w:rsidRPr="003B63A2">
        <w:rPr>
          <w:rFonts w:ascii="Calibri Light" w:hAnsi="Calibri Light" w:cs="Calibri Light"/>
          <w:sz w:val="24"/>
        </w:rPr>
        <w:t xml:space="preserve">ird, it must contain evaluative or </w:t>
      </w:r>
      <w:proofErr w:type="gramStart"/>
      <w:r w:rsidRPr="003B63A2">
        <w:rPr>
          <w:rFonts w:ascii="Calibri Light" w:hAnsi="Calibri Light" w:cs="Calibri Light"/>
          <w:sz w:val="24"/>
        </w:rPr>
        <w:t>diagnostically</w:t>
      </w:r>
      <w:proofErr w:type="gramEnd"/>
      <w:r w:rsidRPr="003B63A2">
        <w:rPr>
          <w:rFonts w:ascii="Calibri Light" w:hAnsi="Calibri Light" w:cs="Calibri Light"/>
          <w:sz w:val="24"/>
        </w:rPr>
        <w:t xml:space="preserve"> meaningful content, rather than merely naming an object or describing a factual circumstance with no interpretable quality implication. Fourth, it must be sufficiently </w:t>
      </w:r>
      <w:proofErr w:type="spellStart"/>
      <w:r w:rsidRPr="003B63A2">
        <w:rPr>
          <w:rFonts w:ascii="Calibri Light" w:hAnsi="Calibri Light" w:cs="Calibri Light"/>
          <w:sz w:val="24"/>
        </w:rPr>
        <w:t>localisable</w:t>
      </w:r>
      <w:proofErr w:type="spellEnd"/>
      <w:r w:rsidRPr="003B63A2">
        <w:rPr>
          <w:rFonts w:ascii="Calibri Light" w:hAnsi="Calibri Light" w:cs="Calibri Light"/>
          <w:sz w:val="24"/>
        </w:rPr>
        <w:t xml:space="preserve"> in the review so that the basis for the coding decision can be inspected and justified during adjudication.</w:t>
      </w:r>
    </w:p>
    <w:p w14:paraId="3D889FAB"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Under this definition, admissible evidence includes both concrete local evaluations (e.g., “the paella was soggy”, “the staff were attentive”, “the place was noisy”) and explicit facet-level evaluative statements (e.g., “good service”, “the food was very good”, “Food: 5/5”). By contrast, evidence is not admissible when it is too vague, lacks a clear facet anchor, or primarily reflects global endorsement rather than an observable facet-specific evaluation.</w:t>
      </w:r>
    </w:p>
    <w:p w14:paraId="2EDCD96F" w14:textId="69314F7C"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Unit of coding</w:t>
      </w:r>
    </w:p>
    <w:p w14:paraId="7A7395F0"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 xml:space="preserve">The coding unit is the ACOS tuple, represented as [ASPECT, CATEGORY, OPINION, SENTIMENT]. Annotators should code the smallest interpretable evidence unit that still preserves substantive meaning. The ASPECT should identify the object, attribute, or evaluative target referred to in the review. </w:t>
      </w:r>
      <w:proofErr w:type="gramStart"/>
      <w:r w:rsidRPr="00C523B4">
        <w:rPr>
          <w:rFonts w:ascii="Calibri Light" w:hAnsi="Calibri Light" w:cs="Calibri Light"/>
          <w:sz w:val="24"/>
        </w:rPr>
        <w:t>The CATEGORY</w:t>
      </w:r>
      <w:proofErr w:type="gramEnd"/>
      <w:r w:rsidRPr="00C523B4">
        <w:rPr>
          <w:rFonts w:ascii="Calibri Light" w:hAnsi="Calibri Light" w:cs="Calibri Light"/>
          <w:sz w:val="24"/>
        </w:rPr>
        <w:t xml:space="preserve"> should map that evidence </w:t>
      </w:r>
      <w:proofErr w:type="gramStart"/>
      <w:r w:rsidRPr="00C523B4">
        <w:rPr>
          <w:rFonts w:ascii="Calibri Light" w:hAnsi="Calibri Light" w:cs="Calibri Light"/>
          <w:sz w:val="24"/>
        </w:rPr>
        <w:t>to</w:t>
      </w:r>
      <w:proofErr w:type="gramEnd"/>
      <w:r w:rsidRPr="00C523B4">
        <w:rPr>
          <w:rFonts w:ascii="Calibri Light" w:hAnsi="Calibri Light" w:cs="Calibri Light"/>
          <w:sz w:val="24"/>
        </w:rPr>
        <w:t xml:space="preserve"> one of the three predefined task categories. The OPINION should capture the evaluative phrase or local judgement expressed in the text. The SENTIMENT should record the polarity and intensity of that judgement.</w:t>
      </w:r>
    </w:p>
    <w:p w14:paraId="3F4BFEC4"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 xml:space="preserve">Where possible, the opinion phrase should remain close to the wording used in the original review rather than being replaced with an abstract paraphrase. The coding objective is therefore not stylistic </w:t>
      </w:r>
      <w:proofErr w:type="spellStart"/>
      <w:r w:rsidRPr="00C523B4">
        <w:rPr>
          <w:rFonts w:ascii="Calibri Light" w:hAnsi="Calibri Light" w:cs="Calibri Light"/>
          <w:sz w:val="24"/>
        </w:rPr>
        <w:t>normalisation</w:t>
      </w:r>
      <w:proofErr w:type="spellEnd"/>
      <w:r w:rsidRPr="00C523B4">
        <w:rPr>
          <w:rFonts w:ascii="Calibri Light" w:hAnsi="Calibri Light" w:cs="Calibri Light"/>
          <w:sz w:val="24"/>
        </w:rPr>
        <w:t>, but transparent recovery of admissible evidence units.</w:t>
      </w:r>
    </w:p>
    <w:p w14:paraId="413B7402" w14:textId="353A4B4F"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lastRenderedPageBreak/>
        <w:t>Category definitions</w:t>
      </w:r>
    </w:p>
    <w:p w14:paraId="0B22F0A8"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 xml:space="preserve">FOOD#QUALITY covers evaluations of food, drinks, dishes, ingredients, </w:t>
      </w:r>
      <w:proofErr w:type="spellStart"/>
      <w:r w:rsidRPr="00C523B4">
        <w:rPr>
          <w:rFonts w:ascii="Calibri Light" w:hAnsi="Calibri Light" w:cs="Calibri Light"/>
          <w:sz w:val="24"/>
        </w:rPr>
        <w:t>flavour</w:t>
      </w:r>
      <w:proofErr w:type="spellEnd"/>
      <w:r w:rsidRPr="00C523B4">
        <w:rPr>
          <w:rFonts w:ascii="Calibri Light" w:hAnsi="Calibri Light" w:cs="Calibri Light"/>
          <w:sz w:val="24"/>
        </w:rPr>
        <w:t>, freshness, texture, temperature, preparation, portion adequacy when discussed as a food-quality matter, menu quality or variety, and other product-related aspects of consumption. Examples include comments on taste, quality, greasiness, overcooking, menu variety, or specific dishes.</w:t>
      </w:r>
    </w:p>
    <w:p w14:paraId="56771A19"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 xml:space="preserve">SERVICE#GENERAL covers evaluations of staff behaviour, attentiveness, friendliness, professionalism, speed, </w:t>
      </w:r>
      <w:proofErr w:type="spellStart"/>
      <w:r w:rsidRPr="00C523B4">
        <w:rPr>
          <w:rFonts w:ascii="Calibri Light" w:hAnsi="Calibri Light" w:cs="Calibri Light"/>
          <w:sz w:val="24"/>
        </w:rPr>
        <w:t>organisation</w:t>
      </w:r>
      <w:proofErr w:type="spellEnd"/>
      <w:r w:rsidRPr="00C523B4">
        <w:rPr>
          <w:rFonts w:ascii="Calibri Light" w:hAnsi="Calibri Light" w:cs="Calibri Light"/>
          <w:sz w:val="24"/>
        </w:rPr>
        <w:t>, responsiveness, communication, handling of requests, service failures, waiting processes, and other aspects of the service encounter. This category also includes operational features when they are experienced as part of service delivery, such as delays, lack of apology, order handling, or staff coordination.</w:t>
      </w:r>
    </w:p>
    <w:p w14:paraId="32310C59"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AMBIENCE#GENERAL covers evaluations of the physical and environmental setting, including noise, crowding, cleanliness, comfort, décor, atmosphere, spaciousness, seating conditions, and other contextual characteristics of the dining environment. This category also includes location or setting-related comments when they are clearly framed evaluatively as part of the dining experience.</w:t>
      </w:r>
    </w:p>
    <w:p w14:paraId="214A0088" w14:textId="40E7DF46"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Generic versus specific evidence</w:t>
      </w:r>
    </w:p>
    <w:p w14:paraId="64B43817"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Not all generic evidence is inadmissible. The codebook distinguishes between facet-explicit generic evaluations and unanchored generic praise or complaint.</w:t>
      </w:r>
    </w:p>
    <w:p w14:paraId="70D8C60F"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 xml:space="preserve">Facet-explicit generic evaluations are admissible when the review clearly identifies the facet under evaluation. Examples include “good service”, “very good food”, and “the place is great”. Although these expressions are broad and less diagnostic than more local evidence, they remain textually explicit </w:t>
      </w:r>
      <w:proofErr w:type="gramStart"/>
      <w:r w:rsidRPr="00C523B4">
        <w:rPr>
          <w:rFonts w:ascii="Calibri Light" w:hAnsi="Calibri Light" w:cs="Calibri Light"/>
          <w:sz w:val="24"/>
        </w:rPr>
        <w:t>and facet</w:t>
      </w:r>
      <w:proofErr w:type="gramEnd"/>
      <w:r w:rsidRPr="00C523B4">
        <w:rPr>
          <w:rFonts w:ascii="Calibri Light" w:hAnsi="Calibri Light" w:cs="Calibri Light"/>
          <w:sz w:val="24"/>
        </w:rPr>
        <w:t>-</w:t>
      </w:r>
      <w:proofErr w:type="gramStart"/>
      <w:r w:rsidRPr="00C523B4">
        <w:rPr>
          <w:rFonts w:ascii="Calibri Light" w:hAnsi="Calibri Light" w:cs="Calibri Light"/>
          <w:sz w:val="24"/>
        </w:rPr>
        <w:t>assignable, and</w:t>
      </w:r>
      <w:proofErr w:type="gramEnd"/>
      <w:r w:rsidRPr="00C523B4">
        <w:rPr>
          <w:rFonts w:ascii="Calibri Light" w:hAnsi="Calibri Light" w:cs="Calibri Light"/>
          <w:sz w:val="24"/>
        </w:rPr>
        <w:t xml:space="preserve"> therefore constitute admissible evidence under the present coding design.</w:t>
      </w:r>
    </w:p>
    <w:p w14:paraId="47332961"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By contrast, unanchored generic praise or complaint should not be coded when it is impossible to determine with sufficient confidence whether the evaluation refers to food, service, or ambience. Expressions such as “Excellent!”, “Very good!!!”, or “Amazing” should therefore be excluded unless the surrounding review text provides a clear and inspectable facet anchor.</w:t>
      </w:r>
    </w:p>
    <w:p w14:paraId="10C758DD" w14:textId="77777777" w:rsidR="00FA25A4" w:rsidRPr="00C523B4" w:rsidRDefault="00FA25A4" w:rsidP="003B63A2">
      <w:pPr>
        <w:jc w:val="both"/>
        <w:rPr>
          <w:rFonts w:ascii="Calibri Light" w:hAnsi="Calibri Light" w:cs="Calibri Light"/>
          <w:sz w:val="24"/>
        </w:rPr>
      </w:pPr>
      <w:r w:rsidRPr="00C523B4">
        <w:rPr>
          <w:rFonts w:ascii="Calibri Light" w:hAnsi="Calibri Light" w:cs="Calibri Light"/>
          <w:sz w:val="24"/>
        </w:rPr>
        <w:t xml:space="preserve">When a review contains both a broad generic judgement and a more specific piece of evidence for the same category, annotators should </w:t>
      </w:r>
      <w:proofErr w:type="spellStart"/>
      <w:r w:rsidRPr="00C523B4">
        <w:rPr>
          <w:rFonts w:ascii="Calibri Light" w:hAnsi="Calibri Light" w:cs="Calibri Light"/>
          <w:sz w:val="24"/>
        </w:rPr>
        <w:t>prioritise</w:t>
      </w:r>
      <w:proofErr w:type="spellEnd"/>
      <w:r w:rsidRPr="00C523B4">
        <w:rPr>
          <w:rFonts w:ascii="Calibri Light" w:hAnsi="Calibri Light" w:cs="Calibri Light"/>
          <w:sz w:val="24"/>
        </w:rPr>
        <w:t xml:space="preserve"> the more specific evidence. The broad judgement may be omitted when it adds little interpretive value beyond the more diagnostic tuple already identified.</w:t>
      </w:r>
    </w:p>
    <w:p w14:paraId="64C28555" w14:textId="5569F1CD"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Treatment of ratings</w:t>
      </w:r>
    </w:p>
    <w:p w14:paraId="4B0B9016" w14:textId="77777777" w:rsidR="00FA25A4" w:rsidRPr="003B63A2" w:rsidRDefault="00FA25A4" w:rsidP="003B63A2">
      <w:pPr>
        <w:jc w:val="both"/>
        <w:rPr>
          <w:rFonts w:ascii="Calibri Light" w:hAnsi="Calibri Light" w:cs="Calibri Light"/>
          <w:sz w:val="24"/>
        </w:rPr>
      </w:pPr>
      <w:r w:rsidRPr="003B63A2">
        <w:rPr>
          <w:rFonts w:ascii="Calibri Light" w:hAnsi="Calibri Light" w:cs="Calibri Light"/>
          <w:sz w:val="24"/>
        </w:rPr>
        <w:t xml:space="preserve">Facet-explicit numerical ratings are admissible evidence and should be coded when the review clearly associates the rating with a target category. Examples include “Food: 5/5”, “Service: 1/5”, and </w:t>
      </w:r>
      <w:r w:rsidRPr="003B63A2">
        <w:rPr>
          <w:rFonts w:ascii="Calibri Light" w:hAnsi="Calibri Light" w:cs="Calibri Light"/>
          <w:sz w:val="24"/>
        </w:rPr>
        <w:lastRenderedPageBreak/>
        <w:t>“Atmosphere: 2/5”. These statements are admissible because they are explicit, inspectable, and directly attributable to a specific facet.</w:t>
      </w:r>
    </w:p>
    <w:p w14:paraId="15A3716A"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However, numerical ratings that are not tied to a clear facet should not be coded as ACOS evidence. A standalone score such as “5/5” or “10/10” without a recoverable facet anchor should be excluded.</w:t>
      </w:r>
    </w:p>
    <w:p w14:paraId="45C09C64" w14:textId="2BBA9C81"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Recommendation and endorsement expressions</w:t>
      </w:r>
    </w:p>
    <w:p w14:paraId="29DAEA91" w14:textId="77777777" w:rsidR="00FA25A4" w:rsidRPr="003B63A2" w:rsidRDefault="00FA25A4" w:rsidP="003B63A2">
      <w:pPr>
        <w:jc w:val="both"/>
        <w:rPr>
          <w:rFonts w:ascii="Calibri Light" w:hAnsi="Calibri Light" w:cs="Calibri Light"/>
          <w:sz w:val="24"/>
        </w:rPr>
      </w:pPr>
      <w:r w:rsidRPr="003B63A2">
        <w:rPr>
          <w:rFonts w:ascii="Calibri Light" w:hAnsi="Calibri Light" w:cs="Calibri Light"/>
          <w:sz w:val="24"/>
        </w:rPr>
        <w:t>Recommendation-only statements should not be coded as ACOS evidence when they merely express endorsement, revisit intention, or general approval without providing facet-specific evaluative content. Examples include “recommended”, “worth visiting”, “we will repeat”, “I would come back”, or “highly recommended”. These expressions may reflect a downstream behavioural orientation or overall attitude, but they do not by themselves constitute an admissible facet-specific evidence unit.</w:t>
      </w:r>
    </w:p>
    <w:p w14:paraId="4E6574CC"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If a recommendation phrase is embedded in a broader sentence that also contains independent facet-specific evidence, only the facet-specific evaluative content should be coded.</w:t>
      </w:r>
    </w:p>
    <w:p w14:paraId="146FAABE" w14:textId="06987494"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Neutral evidence</w:t>
      </w:r>
    </w:p>
    <w:p w14:paraId="6C6D0BB7"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 xml:space="preserve">Neutral sentiment should be assigned only when the review expresses descriptive information that is relevant to a facet and has interpretive </w:t>
      </w:r>
      <w:proofErr w:type="gramStart"/>
      <w:r w:rsidRPr="003B63A2">
        <w:rPr>
          <w:rFonts w:ascii="Calibri Light" w:hAnsi="Calibri Light" w:cs="Calibri Light"/>
          <w:sz w:val="24"/>
        </w:rPr>
        <w:t>value, but</w:t>
      </w:r>
      <w:proofErr w:type="gramEnd"/>
      <w:r w:rsidRPr="003B63A2">
        <w:rPr>
          <w:rFonts w:ascii="Calibri Light" w:hAnsi="Calibri Light" w:cs="Calibri Light"/>
          <w:sz w:val="24"/>
        </w:rPr>
        <w:t xml:space="preserve"> does not clearly imply positive or negative evaluation. Examples include statements about an ordering system, location, or operational arrangement when the wording is essentially descriptive rather than evaluative. Neutral coding should not be used as a default filler for </w:t>
      </w:r>
      <w:proofErr w:type="gramStart"/>
      <w:r w:rsidRPr="003B63A2">
        <w:rPr>
          <w:rFonts w:ascii="Calibri Light" w:hAnsi="Calibri Light" w:cs="Calibri Light"/>
          <w:sz w:val="24"/>
        </w:rPr>
        <w:t>absent</w:t>
      </w:r>
      <w:proofErr w:type="gramEnd"/>
      <w:r w:rsidRPr="003B63A2">
        <w:rPr>
          <w:rFonts w:ascii="Calibri Light" w:hAnsi="Calibri Light" w:cs="Calibri Light"/>
          <w:sz w:val="24"/>
        </w:rPr>
        <w:t xml:space="preserve"> evidence. If no admissible evidence is present for a facet, no tuple should be created for that facet.</w:t>
      </w:r>
    </w:p>
    <w:p w14:paraId="291999DF" w14:textId="1C270368"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Multiple tuples within the same review</w:t>
      </w:r>
    </w:p>
    <w:p w14:paraId="4C98B891" w14:textId="77777777" w:rsidR="00FA25A4" w:rsidRPr="003B63A2" w:rsidRDefault="00FA25A4" w:rsidP="003B63A2">
      <w:pPr>
        <w:jc w:val="both"/>
        <w:rPr>
          <w:rFonts w:ascii="Calibri Light" w:hAnsi="Calibri Light" w:cs="Calibri Light"/>
          <w:sz w:val="24"/>
        </w:rPr>
      </w:pPr>
      <w:r w:rsidRPr="003B63A2">
        <w:rPr>
          <w:rFonts w:ascii="Calibri Light" w:hAnsi="Calibri Light" w:cs="Calibri Light"/>
          <w:sz w:val="24"/>
        </w:rPr>
        <w:t xml:space="preserve">A single review may yield multiple tuples if it contains distinct evidence units referring to different aspects, categories, or sentiments. Multiple tuples within the same category are permitted when they reflect substantively different pieces of evidence, such as “the paella was soggy” and “the </w:t>
      </w:r>
      <w:proofErr w:type="spellStart"/>
      <w:r w:rsidRPr="003B63A2">
        <w:rPr>
          <w:rFonts w:ascii="Calibri Light" w:hAnsi="Calibri Light" w:cs="Calibri Light"/>
          <w:sz w:val="24"/>
        </w:rPr>
        <w:t>flavour</w:t>
      </w:r>
      <w:proofErr w:type="spellEnd"/>
      <w:r w:rsidRPr="003B63A2">
        <w:rPr>
          <w:rFonts w:ascii="Calibri Light" w:hAnsi="Calibri Light" w:cs="Calibri Light"/>
          <w:sz w:val="24"/>
        </w:rPr>
        <w:t xml:space="preserve"> was good”. However, annotators should avoid creating redundant tuples that merely restate the same evidence in slightly different words.</w:t>
      </w:r>
    </w:p>
    <w:p w14:paraId="19ED610E"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Where the same item receives clearly contrasting evaluations in the review, multiple tuples may be assigned if the contrast is textually explicit and materially interpretable. The coding decision should preserve genuine evaluative complexity rather than forcing artificial simplification.</w:t>
      </w:r>
    </w:p>
    <w:p w14:paraId="62D6AA7C" w14:textId="112EA619"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Prohibited inference and facet completion</w:t>
      </w:r>
    </w:p>
    <w:p w14:paraId="1CC2EB3F"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 xml:space="preserve">Annotators must not infer unmentioned facets from the overall tone of the review. If a review only contains admissible evidence for food, then only food-related tuples should be coded. Positive food evidence must not be expanded into assumed positive service or ambience tuples, and negative </w:t>
      </w:r>
      <w:r w:rsidRPr="003B63A2">
        <w:rPr>
          <w:rFonts w:ascii="Calibri Light" w:hAnsi="Calibri Light" w:cs="Calibri Light"/>
          <w:sz w:val="24"/>
        </w:rPr>
        <w:lastRenderedPageBreak/>
        <w:t xml:space="preserve">service evidence must not be </w:t>
      </w:r>
      <w:proofErr w:type="spellStart"/>
      <w:r w:rsidRPr="003B63A2">
        <w:rPr>
          <w:rFonts w:ascii="Calibri Light" w:hAnsi="Calibri Light" w:cs="Calibri Light"/>
          <w:sz w:val="24"/>
        </w:rPr>
        <w:t>generalised</w:t>
      </w:r>
      <w:proofErr w:type="spellEnd"/>
      <w:r w:rsidRPr="003B63A2">
        <w:rPr>
          <w:rFonts w:ascii="Calibri Light" w:hAnsi="Calibri Light" w:cs="Calibri Light"/>
          <w:sz w:val="24"/>
        </w:rPr>
        <w:t xml:space="preserve"> to the whole experience unless the review explicitly supports such extension. This rule is essential to ensure that the coded evidence remains auditable and that construct scores are based on observed rather than imputed textual information.</w:t>
      </w:r>
    </w:p>
    <w:p w14:paraId="2B9B9656" w14:textId="5EA5A3CF"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Sentiment coding rules</w:t>
      </w:r>
    </w:p>
    <w:p w14:paraId="0E324B03" w14:textId="77777777" w:rsidR="00FA25A4" w:rsidRPr="003B63A2" w:rsidRDefault="00FA25A4" w:rsidP="003B63A2">
      <w:pPr>
        <w:jc w:val="both"/>
        <w:rPr>
          <w:rFonts w:ascii="Calibri Light" w:hAnsi="Calibri Light" w:cs="Calibri Light"/>
          <w:sz w:val="24"/>
        </w:rPr>
      </w:pPr>
      <w:r w:rsidRPr="003B63A2">
        <w:rPr>
          <w:rFonts w:ascii="Calibri Light" w:hAnsi="Calibri Light" w:cs="Calibri Light"/>
          <w:sz w:val="24"/>
        </w:rPr>
        <w:t xml:space="preserve">Sentiment should be coded on a five-level scale: very negative, negative, neutral, positive, very positive. The stronger poles, very negative and very positive, should be reserved for cases in which the wording is clearly extreme or emphatic, such as “the worst”, “disgusting”, “absolutely amazing”, or explicit facet-level ratings at the ends of the scale. When the wording is evaluative but not strongly intensified, annotators should prefer positive or negative. Neutral should only be used when the statement is relevant and interpretable yet not clearly </w:t>
      </w:r>
      <w:proofErr w:type="spellStart"/>
      <w:r w:rsidRPr="003B63A2">
        <w:rPr>
          <w:rFonts w:ascii="Calibri Light" w:hAnsi="Calibri Light" w:cs="Calibri Light"/>
          <w:sz w:val="24"/>
        </w:rPr>
        <w:t>valenced</w:t>
      </w:r>
      <w:proofErr w:type="spellEnd"/>
      <w:r w:rsidRPr="003B63A2">
        <w:rPr>
          <w:rFonts w:ascii="Calibri Light" w:hAnsi="Calibri Light" w:cs="Calibri Light"/>
          <w:sz w:val="24"/>
        </w:rPr>
        <w:t>.</w:t>
      </w:r>
    </w:p>
    <w:p w14:paraId="48BB4D65" w14:textId="04AD624C"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Adjudication principle</w:t>
      </w:r>
    </w:p>
    <w:p w14:paraId="1D60C93F" w14:textId="77777777" w:rsidR="00FA25A4" w:rsidRDefault="00FA25A4" w:rsidP="003B63A2">
      <w:pPr>
        <w:jc w:val="both"/>
        <w:rPr>
          <w:rFonts w:ascii="Calibri Light" w:hAnsi="Calibri Light" w:cs="Calibri Light"/>
          <w:sz w:val="24"/>
        </w:rPr>
      </w:pPr>
      <w:r w:rsidRPr="003B63A2">
        <w:rPr>
          <w:rFonts w:ascii="Calibri Light" w:hAnsi="Calibri Light" w:cs="Calibri Light"/>
          <w:sz w:val="24"/>
        </w:rPr>
        <w:t xml:space="preserve">In cases of disagreement, adjudication should </w:t>
      </w:r>
      <w:proofErr w:type="spellStart"/>
      <w:r w:rsidRPr="003B63A2">
        <w:rPr>
          <w:rFonts w:ascii="Calibri Light" w:hAnsi="Calibri Light" w:cs="Calibri Light"/>
          <w:sz w:val="24"/>
        </w:rPr>
        <w:t>prioritise</w:t>
      </w:r>
      <w:proofErr w:type="spellEnd"/>
      <w:r w:rsidRPr="003B63A2">
        <w:rPr>
          <w:rFonts w:ascii="Calibri Light" w:hAnsi="Calibri Light" w:cs="Calibri Light"/>
          <w:sz w:val="24"/>
        </w:rPr>
        <w:t xml:space="preserve"> the most text-faithful, </w:t>
      </w:r>
      <w:proofErr w:type="gramStart"/>
      <w:r w:rsidRPr="003B63A2">
        <w:rPr>
          <w:rFonts w:ascii="Calibri Light" w:hAnsi="Calibri Light" w:cs="Calibri Light"/>
          <w:sz w:val="24"/>
        </w:rPr>
        <w:t>facet</w:t>
      </w:r>
      <w:proofErr w:type="gramEnd"/>
      <w:r w:rsidRPr="003B63A2">
        <w:rPr>
          <w:rFonts w:ascii="Calibri Light" w:hAnsi="Calibri Light" w:cs="Calibri Light"/>
          <w:sz w:val="24"/>
        </w:rPr>
        <w:t xml:space="preserve">-specific, and inspectable interpretation. Preference should be given to tuples that preserve explicit wording from the review, avoid unnecessary abstraction, and provide a defensible link between textual evidence and coded output. The adjudication process should therefore </w:t>
      </w:r>
      <w:proofErr w:type="spellStart"/>
      <w:r w:rsidRPr="003B63A2">
        <w:rPr>
          <w:rFonts w:ascii="Calibri Light" w:hAnsi="Calibri Light" w:cs="Calibri Light"/>
          <w:sz w:val="24"/>
        </w:rPr>
        <w:t>favour</w:t>
      </w:r>
      <w:proofErr w:type="spellEnd"/>
      <w:r w:rsidRPr="003B63A2">
        <w:rPr>
          <w:rFonts w:ascii="Calibri Light" w:hAnsi="Calibri Light" w:cs="Calibri Light"/>
          <w:sz w:val="24"/>
        </w:rPr>
        <w:t xml:space="preserve"> coding decisions that strengthen traceability and support downstream measurement validity rather than </w:t>
      </w:r>
      <w:proofErr w:type="spellStart"/>
      <w:r w:rsidRPr="003B63A2">
        <w:rPr>
          <w:rFonts w:ascii="Calibri Light" w:hAnsi="Calibri Light" w:cs="Calibri Light"/>
          <w:sz w:val="24"/>
        </w:rPr>
        <w:t>maximising</w:t>
      </w:r>
      <w:proofErr w:type="spellEnd"/>
      <w:r w:rsidRPr="003B63A2">
        <w:rPr>
          <w:rFonts w:ascii="Calibri Light" w:hAnsi="Calibri Light" w:cs="Calibri Light"/>
          <w:sz w:val="24"/>
        </w:rPr>
        <w:t xml:space="preserve"> the number of extracted tuples.</w:t>
      </w:r>
    </w:p>
    <w:p w14:paraId="3E370BD6" w14:textId="2B2F126B" w:rsidR="003B63A2" w:rsidRPr="0055644F" w:rsidRDefault="003B63A2" w:rsidP="003B63A2">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Summary decision rule</w:t>
      </w:r>
    </w:p>
    <w:p w14:paraId="3CE2ACC7" w14:textId="77777777" w:rsidR="00FA25A4" w:rsidRPr="003B63A2" w:rsidRDefault="00FA25A4" w:rsidP="003B63A2">
      <w:pPr>
        <w:jc w:val="both"/>
        <w:rPr>
          <w:rFonts w:ascii="Calibri Light" w:hAnsi="Calibri Light" w:cs="Calibri Light"/>
          <w:sz w:val="24"/>
        </w:rPr>
      </w:pPr>
      <w:r w:rsidRPr="003B63A2">
        <w:rPr>
          <w:rFonts w:ascii="Calibri Light" w:hAnsi="Calibri Light" w:cs="Calibri Light"/>
          <w:sz w:val="24"/>
        </w:rPr>
        <w:t xml:space="preserve">In summary, a tuple should be retained only if it is explicitly grounded in the review text, assignable to a predefined facet category, evaluatively or diagnostically meaningful, and sufficiently </w:t>
      </w:r>
      <w:proofErr w:type="spellStart"/>
      <w:r w:rsidRPr="003B63A2">
        <w:rPr>
          <w:rFonts w:ascii="Calibri Light" w:hAnsi="Calibri Light" w:cs="Calibri Light"/>
          <w:sz w:val="24"/>
        </w:rPr>
        <w:t>localisable</w:t>
      </w:r>
      <w:proofErr w:type="spellEnd"/>
      <w:r w:rsidRPr="003B63A2">
        <w:rPr>
          <w:rFonts w:ascii="Calibri Light" w:hAnsi="Calibri Light" w:cs="Calibri Light"/>
          <w:sz w:val="24"/>
        </w:rPr>
        <w:t xml:space="preserve"> for later inspection. Facet-explicit generic evaluations and facet-explicit ratings may be retained, whereas recommendation-only expressions, unanchored generic praise or complaint, inferred facet completions, and redundant restatements should be excluded.</w:t>
      </w:r>
    </w:p>
    <w:p w14:paraId="3D5CC61D" w14:textId="77777777" w:rsidR="00A91C66" w:rsidRPr="00FA25A4" w:rsidRDefault="00A91C66" w:rsidP="003B63A2">
      <w:pPr>
        <w:jc w:val="both"/>
        <w:rPr>
          <w:rFonts w:ascii="Calibri Light" w:hAnsi="Calibri Light" w:cs="Calibri Light"/>
          <w:sz w:val="24"/>
        </w:rPr>
      </w:pPr>
    </w:p>
    <w:sectPr w:rsidR="00A91C66" w:rsidRPr="00FA25A4" w:rsidSect="00FA25A4">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74E3A" w14:textId="77777777" w:rsidR="004B6454" w:rsidRDefault="004B6454" w:rsidP="003B63A2">
      <w:pPr>
        <w:spacing w:after="0" w:line="240" w:lineRule="auto"/>
      </w:pPr>
      <w:r>
        <w:separator/>
      </w:r>
    </w:p>
  </w:endnote>
  <w:endnote w:type="continuationSeparator" w:id="0">
    <w:p w14:paraId="4E92BCF6" w14:textId="77777777" w:rsidR="004B6454" w:rsidRDefault="004B6454" w:rsidP="003B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CA62" w14:textId="77777777" w:rsidR="004B6454" w:rsidRDefault="004B6454" w:rsidP="003B63A2">
      <w:pPr>
        <w:spacing w:after="0" w:line="240" w:lineRule="auto"/>
      </w:pPr>
      <w:r>
        <w:separator/>
      </w:r>
    </w:p>
  </w:footnote>
  <w:footnote w:type="continuationSeparator" w:id="0">
    <w:p w14:paraId="14853ED2" w14:textId="77777777" w:rsidR="004B6454" w:rsidRDefault="004B6454" w:rsidP="003B6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A4"/>
    <w:rsid w:val="0016772B"/>
    <w:rsid w:val="0025504D"/>
    <w:rsid w:val="003B63A2"/>
    <w:rsid w:val="004B6454"/>
    <w:rsid w:val="008372E2"/>
    <w:rsid w:val="00A91C66"/>
    <w:rsid w:val="00B17E58"/>
    <w:rsid w:val="00C523B4"/>
    <w:rsid w:val="00F603CB"/>
    <w:rsid w:val="00FA2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CB69F"/>
  <w15:chartTrackingRefBased/>
  <w15:docId w15:val="{F4134430-7195-4ACE-9EDB-FB54AB5B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25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5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5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5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5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5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5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5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5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5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5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5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5A4"/>
    <w:rPr>
      <w:rFonts w:cstheme="majorBidi"/>
      <w:color w:val="0F4761" w:themeColor="accent1" w:themeShade="BF"/>
      <w:sz w:val="28"/>
      <w:szCs w:val="28"/>
    </w:rPr>
  </w:style>
  <w:style w:type="character" w:customStyle="1" w:styleId="50">
    <w:name w:val="标题 5 字符"/>
    <w:basedOn w:val="a0"/>
    <w:link w:val="5"/>
    <w:uiPriority w:val="9"/>
    <w:semiHidden/>
    <w:rsid w:val="00FA25A4"/>
    <w:rPr>
      <w:rFonts w:cstheme="majorBidi"/>
      <w:color w:val="0F4761" w:themeColor="accent1" w:themeShade="BF"/>
      <w:sz w:val="24"/>
    </w:rPr>
  </w:style>
  <w:style w:type="character" w:customStyle="1" w:styleId="60">
    <w:name w:val="标题 6 字符"/>
    <w:basedOn w:val="a0"/>
    <w:link w:val="6"/>
    <w:uiPriority w:val="9"/>
    <w:semiHidden/>
    <w:rsid w:val="00FA25A4"/>
    <w:rPr>
      <w:rFonts w:cstheme="majorBidi"/>
      <w:b/>
      <w:bCs/>
      <w:color w:val="0F4761" w:themeColor="accent1" w:themeShade="BF"/>
    </w:rPr>
  </w:style>
  <w:style w:type="character" w:customStyle="1" w:styleId="70">
    <w:name w:val="标题 7 字符"/>
    <w:basedOn w:val="a0"/>
    <w:link w:val="7"/>
    <w:uiPriority w:val="9"/>
    <w:semiHidden/>
    <w:rsid w:val="00FA25A4"/>
    <w:rPr>
      <w:rFonts w:cstheme="majorBidi"/>
      <w:b/>
      <w:bCs/>
      <w:color w:val="595959" w:themeColor="text1" w:themeTint="A6"/>
    </w:rPr>
  </w:style>
  <w:style w:type="character" w:customStyle="1" w:styleId="80">
    <w:name w:val="标题 8 字符"/>
    <w:basedOn w:val="a0"/>
    <w:link w:val="8"/>
    <w:uiPriority w:val="9"/>
    <w:semiHidden/>
    <w:rsid w:val="00FA25A4"/>
    <w:rPr>
      <w:rFonts w:cstheme="majorBidi"/>
      <w:color w:val="595959" w:themeColor="text1" w:themeTint="A6"/>
    </w:rPr>
  </w:style>
  <w:style w:type="character" w:customStyle="1" w:styleId="90">
    <w:name w:val="标题 9 字符"/>
    <w:basedOn w:val="a0"/>
    <w:link w:val="9"/>
    <w:uiPriority w:val="9"/>
    <w:semiHidden/>
    <w:rsid w:val="00FA25A4"/>
    <w:rPr>
      <w:rFonts w:eastAsiaTheme="majorEastAsia" w:cstheme="majorBidi"/>
      <w:color w:val="595959" w:themeColor="text1" w:themeTint="A6"/>
    </w:rPr>
  </w:style>
  <w:style w:type="paragraph" w:styleId="a3">
    <w:name w:val="Title"/>
    <w:basedOn w:val="a"/>
    <w:next w:val="a"/>
    <w:link w:val="a4"/>
    <w:uiPriority w:val="10"/>
    <w:qFormat/>
    <w:rsid w:val="00FA25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5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5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5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5A4"/>
    <w:pPr>
      <w:spacing w:before="160"/>
      <w:jc w:val="center"/>
    </w:pPr>
    <w:rPr>
      <w:i/>
      <w:iCs/>
      <w:color w:val="404040" w:themeColor="text1" w:themeTint="BF"/>
    </w:rPr>
  </w:style>
  <w:style w:type="character" w:customStyle="1" w:styleId="a8">
    <w:name w:val="引用 字符"/>
    <w:basedOn w:val="a0"/>
    <w:link w:val="a7"/>
    <w:uiPriority w:val="29"/>
    <w:rsid w:val="00FA25A4"/>
    <w:rPr>
      <w:i/>
      <w:iCs/>
      <w:color w:val="404040" w:themeColor="text1" w:themeTint="BF"/>
    </w:rPr>
  </w:style>
  <w:style w:type="paragraph" w:styleId="a9">
    <w:name w:val="List Paragraph"/>
    <w:basedOn w:val="a"/>
    <w:uiPriority w:val="34"/>
    <w:qFormat/>
    <w:rsid w:val="00FA25A4"/>
    <w:pPr>
      <w:ind w:left="720"/>
      <w:contextualSpacing/>
    </w:pPr>
  </w:style>
  <w:style w:type="character" w:styleId="aa">
    <w:name w:val="Intense Emphasis"/>
    <w:basedOn w:val="a0"/>
    <w:uiPriority w:val="21"/>
    <w:qFormat/>
    <w:rsid w:val="00FA25A4"/>
    <w:rPr>
      <w:i/>
      <w:iCs/>
      <w:color w:val="0F4761" w:themeColor="accent1" w:themeShade="BF"/>
    </w:rPr>
  </w:style>
  <w:style w:type="paragraph" w:styleId="ab">
    <w:name w:val="Intense Quote"/>
    <w:basedOn w:val="a"/>
    <w:next w:val="a"/>
    <w:link w:val="ac"/>
    <w:uiPriority w:val="30"/>
    <w:qFormat/>
    <w:rsid w:val="00FA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5A4"/>
    <w:rPr>
      <w:i/>
      <w:iCs/>
      <w:color w:val="0F4761" w:themeColor="accent1" w:themeShade="BF"/>
    </w:rPr>
  </w:style>
  <w:style w:type="character" w:styleId="ad">
    <w:name w:val="Intense Reference"/>
    <w:basedOn w:val="a0"/>
    <w:uiPriority w:val="32"/>
    <w:qFormat/>
    <w:rsid w:val="00FA25A4"/>
    <w:rPr>
      <w:b/>
      <w:bCs/>
      <w:smallCaps/>
      <w:color w:val="0F4761" w:themeColor="accent1" w:themeShade="BF"/>
      <w:spacing w:val="5"/>
    </w:rPr>
  </w:style>
  <w:style w:type="paragraph" w:styleId="ae">
    <w:name w:val="header"/>
    <w:basedOn w:val="a"/>
    <w:link w:val="af"/>
    <w:uiPriority w:val="99"/>
    <w:unhideWhenUsed/>
    <w:rsid w:val="003B63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63A2"/>
    <w:rPr>
      <w:sz w:val="18"/>
      <w:szCs w:val="18"/>
    </w:rPr>
  </w:style>
  <w:style w:type="paragraph" w:styleId="af0">
    <w:name w:val="footer"/>
    <w:basedOn w:val="a"/>
    <w:link w:val="af1"/>
    <w:uiPriority w:val="99"/>
    <w:unhideWhenUsed/>
    <w:rsid w:val="003B63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63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1490</Words>
  <Characters>8496</Characters>
  <Application>Microsoft Office Word</Application>
  <DocSecurity>0</DocSecurity>
  <Lines>70</Lines>
  <Paragraphs>19</Paragraphs>
  <ScaleCrop>false</ScaleCrop>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3</cp:revision>
  <dcterms:created xsi:type="dcterms:W3CDTF">2026-04-11T10:30:00Z</dcterms:created>
  <dcterms:modified xsi:type="dcterms:W3CDTF">2026-04-23T15:12:00Z</dcterms:modified>
</cp:coreProperties>
</file>